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6E611B" w14:textId="77777777" w:rsidR="00ED320E" w:rsidRDefault="00000000">
      <w:pPr>
        <w:jc w:val="center"/>
      </w:pPr>
      <w:r>
        <w:rPr>
          <w:b/>
          <w:bCs/>
          <w:noProof/>
        </w:rPr>
        <w:drawing>
          <wp:inline distT="0" distB="0" distL="0" distR="0" wp14:anchorId="4100E6C0" wp14:editId="5AA13515">
            <wp:extent cx="2987043" cy="1493516"/>
            <wp:effectExtent l="0" t="0" r="3807" b="0"/>
            <wp:docPr id="127533578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2987043" cy="1493516"/>
                    </a:xfrm>
                    <a:prstGeom prst="rect">
                      <a:avLst/>
                    </a:prstGeom>
                    <a:noFill/>
                    <a:ln>
                      <a:noFill/>
                      <a:prstDash/>
                    </a:ln>
                  </pic:spPr>
                </pic:pic>
              </a:graphicData>
            </a:graphic>
          </wp:inline>
        </w:drawing>
      </w:r>
    </w:p>
    <w:p w14:paraId="238FFD7C" w14:textId="77777777" w:rsidR="00ED320E" w:rsidRDefault="00ED320E">
      <w:pPr>
        <w:jc w:val="center"/>
        <w:rPr>
          <w:b/>
          <w:bCs/>
        </w:rPr>
      </w:pPr>
    </w:p>
    <w:p w14:paraId="65FC4C1F" w14:textId="77777777" w:rsidR="00ED320E" w:rsidRDefault="00ED320E">
      <w:pPr>
        <w:jc w:val="center"/>
        <w:rPr>
          <w:b/>
          <w:bCs/>
        </w:rPr>
      </w:pPr>
    </w:p>
    <w:p w14:paraId="1B012572" w14:textId="77777777" w:rsidR="00ED320E" w:rsidRDefault="00000000">
      <w:pPr>
        <w:jc w:val="center"/>
        <w:rPr>
          <w:b/>
          <w:bCs/>
          <w:sz w:val="40"/>
          <w:szCs w:val="40"/>
        </w:rPr>
      </w:pPr>
      <w:r>
        <w:rPr>
          <w:b/>
          <w:bCs/>
          <w:sz w:val="40"/>
          <w:szCs w:val="40"/>
        </w:rPr>
        <w:t>Assessment 1</w:t>
      </w:r>
    </w:p>
    <w:p w14:paraId="16063446" w14:textId="77777777" w:rsidR="00ED320E" w:rsidRDefault="00ED320E">
      <w:pPr>
        <w:jc w:val="center"/>
        <w:rPr>
          <w:b/>
          <w:bCs/>
          <w:sz w:val="40"/>
          <w:szCs w:val="40"/>
        </w:rPr>
      </w:pPr>
    </w:p>
    <w:p w14:paraId="07101B34" w14:textId="77777777" w:rsidR="00ED320E" w:rsidRDefault="00ED320E">
      <w:pPr>
        <w:jc w:val="center"/>
        <w:rPr>
          <w:b/>
          <w:bCs/>
          <w:sz w:val="40"/>
          <w:szCs w:val="40"/>
        </w:rPr>
      </w:pPr>
    </w:p>
    <w:p w14:paraId="0FF04F18" w14:textId="77777777" w:rsidR="00ED320E" w:rsidRDefault="00000000">
      <w:pPr>
        <w:jc w:val="center"/>
      </w:pPr>
      <w:r>
        <w:rPr>
          <w:b/>
          <w:bCs/>
          <w:sz w:val="40"/>
          <w:szCs w:val="40"/>
        </w:rPr>
        <w:t xml:space="preserve">Module </w:t>
      </w:r>
      <w:proofErr w:type="gramStart"/>
      <w:r>
        <w:rPr>
          <w:b/>
          <w:bCs/>
          <w:sz w:val="40"/>
          <w:szCs w:val="40"/>
        </w:rPr>
        <w:t>Name :</w:t>
      </w:r>
      <w:proofErr w:type="gramEnd"/>
      <w:r>
        <w:rPr>
          <w:b/>
          <w:bCs/>
          <w:sz w:val="40"/>
          <w:szCs w:val="40"/>
        </w:rPr>
        <w:t xml:space="preserve"> </w:t>
      </w:r>
      <w:r>
        <w:rPr>
          <w:sz w:val="40"/>
          <w:szCs w:val="40"/>
        </w:rPr>
        <w:t>Human Capital Management</w:t>
      </w:r>
    </w:p>
    <w:p w14:paraId="1116FDD9" w14:textId="77777777" w:rsidR="00ED320E" w:rsidRDefault="00000000">
      <w:pPr>
        <w:tabs>
          <w:tab w:val="center" w:pos="4513"/>
          <w:tab w:val="left" w:pos="6300"/>
        </w:tabs>
        <w:jc w:val="left"/>
      </w:pPr>
      <w:r>
        <w:rPr>
          <w:b/>
          <w:bCs/>
          <w:sz w:val="40"/>
          <w:szCs w:val="40"/>
        </w:rPr>
        <w:tab/>
        <w:t xml:space="preserve">Module </w:t>
      </w:r>
      <w:proofErr w:type="gramStart"/>
      <w:r>
        <w:rPr>
          <w:b/>
          <w:bCs/>
          <w:sz w:val="40"/>
          <w:szCs w:val="40"/>
        </w:rPr>
        <w:t>Code :</w:t>
      </w:r>
      <w:proofErr w:type="gramEnd"/>
      <w:r>
        <w:rPr>
          <w:b/>
          <w:bCs/>
          <w:sz w:val="40"/>
          <w:szCs w:val="40"/>
        </w:rPr>
        <w:t xml:space="preserve">  </w:t>
      </w:r>
      <w:r>
        <w:rPr>
          <w:sz w:val="40"/>
          <w:szCs w:val="40"/>
        </w:rPr>
        <w:t>LCMB7023_LON</w:t>
      </w:r>
    </w:p>
    <w:p w14:paraId="3A15352A" w14:textId="77777777" w:rsidR="00ED320E" w:rsidRDefault="00000000">
      <w:pPr>
        <w:jc w:val="center"/>
      </w:pPr>
      <w:r>
        <w:rPr>
          <w:b/>
          <w:bCs/>
          <w:sz w:val="40"/>
          <w:szCs w:val="40"/>
        </w:rPr>
        <w:t>Student Name</w:t>
      </w:r>
      <w:r>
        <w:rPr>
          <w:sz w:val="40"/>
          <w:szCs w:val="40"/>
        </w:rPr>
        <w:t>: Kush Jani</w:t>
      </w:r>
    </w:p>
    <w:p w14:paraId="5AA56319" w14:textId="77777777" w:rsidR="00ED320E" w:rsidRDefault="00000000">
      <w:pPr>
        <w:jc w:val="center"/>
      </w:pPr>
      <w:r>
        <w:rPr>
          <w:b/>
          <w:bCs/>
          <w:sz w:val="40"/>
          <w:szCs w:val="40"/>
        </w:rPr>
        <w:t xml:space="preserve">Student Number: </w:t>
      </w:r>
      <w:r>
        <w:rPr>
          <w:sz w:val="40"/>
          <w:szCs w:val="40"/>
        </w:rPr>
        <w:t>2504341</w:t>
      </w:r>
    </w:p>
    <w:p w14:paraId="15D7A3EE" w14:textId="77777777" w:rsidR="00ED320E" w:rsidRDefault="00000000">
      <w:pPr>
        <w:jc w:val="center"/>
      </w:pPr>
      <w:r>
        <w:rPr>
          <w:b/>
          <w:bCs/>
          <w:sz w:val="40"/>
          <w:szCs w:val="40"/>
        </w:rPr>
        <w:t xml:space="preserve">Lecturer’s Name: </w:t>
      </w:r>
      <w:r>
        <w:rPr>
          <w:sz w:val="40"/>
          <w:szCs w:val="40"/>
        </w:rPr>
        <w:t>Dr Gladius Kulothungan</w:t>
      </w:r>
      <w:r>
        <w:rPr>
          <w:b/>
          <w:bCs/>
          <w:sz w:val="40"/>
          <w:szCs w:val="40"/>
        </w:rPr>
        <w:t xml:space="preserve"> </w:t>
      </w:r>
    </w:p>
    <w:p w14:paraId="0CB89FE1" w14:textId="77777777" w:rsidR="00ED320E" w:rsidRDefault="00000000">
      <w:pPr>
        <w:jc w:val="center"/>
      </w:pPr>
      <w:r>
        <w:rPr>
          <w:b/>
          <w:bCs/>
          <w:sz w:val="40"/>
          <w:szCs w:val="40"/>
        </w:rPr>
        <w:t>Word Count</w:t>
      </w:r>
      <w:r>
        <w:rPr>
          <w:sz w:val="40"/>
          <w:szCs w:val="40"/>
        </w:rPr>
        <w:t>: 2625</w:t>
      </w:r>
    </w:p>
    <w:p w14:paraId="21DA39FB" w14:textId="77777777" w:rsidR="00ED320E" w:rsidRDefault="00ED320E">
      <w:pPr>
        <w:jc w:val="center"/>
        <w:rPr>
          <w:b/>
          <w:bCs/>
          <w:sz w:val="40"/>
          <w:szCs w:val="40"/>
        </w:rPr>
      </w:pPr>
    </w:p>
    <w:p w14:paraId="4BEF1159" w14:textId="77777777" w:rsidR="00ED320E" w:rsidRDefault="00000000">
      <w:pPr>
        <w:jc w:val="center"/>
        <w:rPr>
          <w:b/>
          <w:bCs/>
          <w:sz w:val="40"/>
          <w:szCs w:val="40"/>
        </w:rPr>
      </w:pPr>
      <w:r>
        <w:rPr>
          <w:b/>
          <w:bCs/>
          <w:sz w:val="40"/>
          <w:szCs w:val="40"/>
        </w:rPr>
        <w:t>Term 1</w:t>
      </w:r>
    </w:p>
    <w:p w14:paraId="2D7961E5" w14:textId="77777777" w:rsidR="00ED320E" w:rsidRDefault="00ED320E">
      <w:pPr>
        <w:rPr>
          <w:b/>
          <w:bCs/>
        </w:rPr>
      </w:pPr>
    </w:p>
    <w:p w14:paraId="24AD4A83" w14:textId="77777777" w:rsidR="00ED320E" w:rsidRDefault="00ED320E">
      <w:pPr>
        <w:pageBreakBefore/>
        <w:spacing w:after="160" w:line="251" w:lineRule="auto"/>
        <w:jc w:val="left"/>
        <w:rPr>
          <w:b/>
          <w:bCs/>
        </w:rPr>
      </w:pPr>
    </w:p>
    <w:p w14:paraId="27103F89" w14:textId="77777777" w:rsidR="00ED320E" w:rsidRDefault="00000000">
      <w:pPr>
        <w:rPr>
          <w:b/>
        </w:rPr>
      </w:pPr>
      <w:r>
        <w:rPr>
          <w:b/>
        </w:rPr>
        <w:t>Introduction</w:t>
      </w:r>
    </w:p>
    <w:p w14:paraId="35622A3C" w14:textId="77777777" w:rsidR="00ED320E" w:rsidRDefault="00000000">
      <w:r>
        <w:t>The employment market influences the growth of the organisation through productivity, high demand for the job, wages and many more. It is essential to adopt necessary strategies for talent retention and workforce management to manage organisational performance in favourable as well as challenging employment conditions (</w:t>
      </w:r>
      <w:proofErr w:type="spellStart"/>
      <w:r>
        <w:t>Urme</w:t>
      </w:r>
      <w:proofErr w:type="spellEnd"/>
      <w:r>
        <w:t xml:space="preserve">, 2023). This report aims to analyse the impact of technological advancements on the labour market and identify geopolitical and demographic factors that influence the employment market. Furthermore, it has explored the strategies to address talent shortages in critical sectors like hospitality, technology, healthcare and many more. A set of four questions helps to know the impact of the employment market on HRM (“Human Resource Management”) strategies, along with identifying the necessary factors required to enter the labour market. </w:t>
      </w:r>
    </w:p>
    <w:p w14:paraId="11FB13DF" w14:textId="77777777" w:rsidR="00ED320E" w:rsidRDefault="00000000">
      <w:pPr>
        <w:rPr>
          <w:b/>
        </w:rPr>
      </w:pPr>
      <w:r>
        <w:rPr>
          <w:b/>
        </w:rPr>
        <w:t xml:space="preserve">Ways Technological advancements reshape labour markets and implications on HRM and IHRM </w:t>
      </w:r>
    </w:p>
    <w:p w14:paraId="6835FDD8" w14:textId="77777777" w:rsidR="00ED320E" w:rsidRDefault="00000000">
      <w:r>
        <w:t xml:space="preserve">Technological advancement in terms of AI, digital platforms and automation has restructured the global labour market. It has revolutionised the ways of organising, managing and performing the work. Besides that, technological growth creates new opportunities like enhancing organisational productivity, meeting the latest trends and reducing errors (Naim, 2023). Adoption of automation and AI significantly reshape the nature of work through automating repetitive tasks, reducing human errors and many more. According to Rai </w:t>
      </w:r>
      <w:r>
        <w:rPr>
          <w:i/>
          <w:iCs/>
        </w:rPr>
        <w:t>et al.</w:t>
      </w:r>
      <w:r>
        <w:t xml:space="preserve"> (2021), industries like manufacturing, customer service, logistics and many more use digital tools and machine learning to increase productivity. This transition creates the growing demand for analytical and digital skills. On the other hand, digital platforms like Upwork, Uber, and others accelerated the growth of the gig economy. </w:t>
      </w:r>
    </w:p>
    <w:p w14:paraId="7A582B45" w14:textId="77777777" w:rsidR="00ED320E" w:rsidRDefault="00000000">
      <w:r>
        <w:t>It can be stated that technological advancements have reshaped the labour market by enhancing efficiency. For example, automation, AI and digital platforms streamline operations and create digital roles, which lead to job insecurity (</w:t>
      </w:r>
      <w:proofErr w:type="spellStart"/>
      <w:r>
        <w:t>Kampermann</w:t>
      </w:r>
      <w:proofErr w:type="spellEnd"/>
      <w:r>
        <w:t xml:space="preserve"> </w:t>
      </w:r>
      <w:r>
        <w:rPr>
          <w:i/>
          <w:iCs/>
        </w:rPr>
        <w:t>et al.,</w:t>
      </w:r>
      <w:r>
        <w:t xml:space="preserve"> 2021). On the other hand, algorithm bias during recruitment also raises ethical questions about transparency and fairness. Hence, the HR strategies should embrace innovation and focus on ethical integrity. They also need to prioritise the requirements </w:t>
      </w:r>
      <w:r>
        <w:lastRenderedPageBreak/>
        <w:t>of the workers and ensure to provide job security rather than replacing human capability.</w:t>
      </w:r>
    </w:p>
    <w:p w14:paraId="2380F42C" w14:textId="77777777" w:rsidR="00ED320E" w:rsidRDefault="00ED320E"/>
    <w:p w14:paraId="25240A70" w14:textId="77777777" w:rsidR="00ED320E" w:rsidRDefault="00000000">
      <w:r>
        <w:t xml:space="preserve">In the context of HRM, the technological transformation is based on shifting the strategic priority. For instance, talent management becomes future-oriented, which builds on the development of digital competencies. Hence, it has created potential advantages to develop agility to adapt to technological changes. Continuous reskilling programs are essential, which are further supported by “Learning Management Systems” (LMS) (Thangavel, 2023). At the same time, AI-based analytics provide personalised development pathways, which can analyse the performance of the workers and support them with their needs. For example, companies like IBM have integrated AI-driven career development tools for anticipating the needs of the workers and providing necessary support (Downie and Hayes, 2024). Consequently, HRM functions are improved by adopting the latest tools in recruiting and hiring workers. For example, AI-powered recruitment tools are used by HR to streamline talent acquisition through automating resume screening, improving efficiency and many more. </w:t>
      </w:r>
    </w:p>
    <w:p w14:paraId="72B124FB" w14:textId="77777777" w:rsidR="00ED320E" w:rsidRDefault="00000000">
      <w:r>
        <w:t>Digital HR problems also enhance employee engagement through real-time feedback. It can assess the performance of the workers and provide necessary feedback to them, which will help to increase their productivity. However, this technological advancement has also introduced some new challenges for HR, including worker classification, contingent workforce, continuous learning, adaptability issues and many more (</w:t>
      </w:r>
      <w:proofErr w:type="spellStart"/>
      <w:r>
        <w:t>Urme</w:t>
      </w:r>
      <w:proofErr w:type="spellEnd"/>
      <w:r>
        <w:t xml:space="preserve">, 2023). The workforce planning needs to incorporate technological forecasting, which can predict future skill demands, and HR managers should take data-driven decisions. </w:t>
      </w:r>
    </w:p>
    <w:p w14:paraId="10E4972A" w14:textId="77777777" w:rsidR="00ED320E" w:rsidRDefault="00000000">
      <w:r>
        <w:t>IHRM (“International Human Resource Management”) faced complexities due to managing cultural differences, regulatory issues and many more. The digital technologies enable companies to work with geographically dispersed teams, which is facilitated by a cloud-based collaboration tool. However, they need to focus on developing robust security in the digital communication platform to reduce the chances of cyber threats (</w:t>
      </w:r>
      <w:proofErr w:type="spellStart"/>
      <w:r>
        <w:t>Mızrak</w:t>
      </w:r>
      <w:proofErr w:type="spellEnd"/>
      <w:r>
        <w:t xml:space="preserve">, 2024). Besides that, managing a virtual team requires intercultural competence, and IHRM should implement a flexible staffing model to manage the talents. Variations in data protection laws also create issues in handling </w:t>
      </w:r>
      <w:r>
        <w:lastRenderedPageBreak/>
        <w:t xml:space="preserve">employee data. Hence, focusing on these areas can ensure skill availability for the organisation and improve overall performance. </w:t>
      </w:r>
    </w:p>
    <w:p w14:paraId="2C87E1FA" w14:textId="77777777" w:rsidR="00ED320E" w:rsidRDefault="00000000">
      <w:pPr>
        <w:rPr>
          <w:b/>
        </w:rPr>
      </w:pPr>
      <w:r>
        <w:rPr>
          <w:b/>
        </w:rPr>
        <w:t>Key demographic and geopolitical factors influence the employment market.</w:t>
      </w:r>
    </w:p>
    <w:p w14:paraId="73F504BD" w14:textId="77777777" w:rsidR="00ED320E" w:rsidRDefault="00000000">
      <w:r>
        <w:t xml:space="preserve">Technological changes have interacted with the demographic shifts in terms of reshaping the labour supply. The global population is one of the most consequential macro trends, where it is projected that the number of people in the age group of 60 and above will be 2.1 billion by 2050 (World Health Organisation, 2025). Hence, an increased number of aged people can shrink the talent pools. This will reduce the growth of primary labour in the advanced economies and also raise the demand for young workers. On the other hand, the youth labour market dynamics are also critical. Standing at 13 per cent in 2023, the global youth unemployment rate does not just reflect a full recovery from the COVID-19 peak; it is also at its lowest level in the past 15 years. (ILO, 2024). High unemployment rate is due to a mismatch of skills, particularly in technological skills, and a lack of workplace readiness. The HR should focus on investing in apprenticeships and providing targeted onboarding, which can reduce these gaps. </w:t>
      </w:r>
    </w:p>
    <w:p w14:paraId="19C3CD75" w14:textId="77777777" w:rsidR="00ED320E" w:rsidRDefault="00000000">
      <w:r>
        <w:t xml:space="preserve">Furthermore, the migration and cross-border mobility increase complexity in the employment market. For instance, the United Nations estimates approximately 300 million international migrants in 2024, which has increased the labour market heterogeneity (United Nations, n.d.). It also offers companies access to a diverse talent pool, but at the same time, HR needs to focus on complying with the integration issues. Gender shifts also influence the labour market, where the female labour force participation has increased in many regions. Only 47% of women are active in global labour markets compared to 72% of men, according to the IMF report. It points out that emerging and developing economies have the most to gain by closing the gap in economic participation between men and women. (World Economic Forum, 2023).  However, the women are overrepresented in lower-paid roles. The HR needs to design equitable recruitment and flexible working opportunities for all the workers, regardless of their gender, and boost the retention that will help to retain the top talent. </w:t>
      </w:r>
    </w:p>
    <w:p w14:paraId="07ADD2A8" w14:textId="77777777" w:rsidR="00ED320E" w:rsidRDefault="00000000">
      <w:r>
        <w:t xml:space="preserve">The geopolitical factors like regional conflict and fragmentation can directly influence the employment market by disrupting workforce continuity, raising input costs and many more. The World Trade Organisation analyses the slower trade growth from 2.8% to 0.5% in 2026, which could reduce GDP and trade volumes (World Trade Organisation, 2025). In the meantime, the HR needs to translate the shifting hiring </w:t>
      </w:r>
      <w:r>
        <w:lastRenderedPageBreak/>
        <w:t xml:space="preserve">footprints by developing contingency talent plans and reskilling the workers. Climate change and resource-related geopolitics have an impact on the labour markets. For instance, the extreme weather ecosystem changes heat exposure and many more can disproportionately influence sectors like agriculture, construction and others. Here, the HR should identify the risk and ensure the delivery of concrete management practices. For example, they can protect vulnerable workers like older adults, provide necessary safeguards and manage the climate impact. </w:t>
      </w:r>
    </w:p>
    <w:p w14:paraId="32771FA5" w14:textId="77777777" w:rsidR="00ED320E" w:rsidRDefault="00000000">
      <w:r>
        <w:t xml:space="preserve">Rapid occupational change requires continuous reskilling, and HR needs to reconfigure the talent requirements for delivering the best services to the organisation. Redesigning the HR strategies to provide benefits to older workers, such as flexible timing, financial security, can boost their performance (Zhang and Li, 2025). IHRM can develop the policies for the credential recognition, hybrid global staffing and even the culturally sensitive onboarding for managing the migrant talent. It is essential to provide necessary support to the workers to increase their skills that are required for the company to manage future needs. Hence, the HR Professionals should focus on strategic foresight by integrating the demographic and geopolitical scenario, invest in global reskilling and build flexible mobility. This will help to ensure success within the employment market and provide advantages to hire and retain the best talent. </w:t>
      </w:r>
    </w:p>
    <w:p w14:paraId="1F05C1A7" w14:textId="77777777" w:rsidR="00ED320E" w:rsidRDefault="00000000">
      <w:pPr>
        <w:rPr>
          <w:b/>
        </w:rPr>
      </w:pPr>
      <w:r>
        <w:rPr>
          <w:b/>
        </w:rPr>
        <w:t>Addressing skills gaps and talent shortages</w:t>
      </w:r>
    </w:p>
    <w:p w14:paraId="3AE2ECCC" w14:textId="77777777" w:rsidR="00ED320E" w:rsidRDefault="00000000">
      <w:r>
        <w:t>Talent shortages and persistent skill gaps are the critical challenges in various sectors like technology, healthcare and others due to the rapid growth in demand and technological disruption. Strategic HRM plays an important role in developing long-term solutions by aligning organisational goals with the labour market. Before the development of strategies, it is required to identify the nature of skill gaps. For instance, in technology, digital transformation outpaced the training systems, which creates shortages in data analytics, cybersecurity and many more. The “World Economic Forum” estimated that 44% of workers’ skills can be disrupted within the next five years, which requires continuous reskilling (World Economic Forum, 2023). On the other hand, the “World Health Organisation” projected the shortfall of approximately 10 million healthcare professionals by 2030 (WHO, n.d.). Hence, the hospitality industry can face a workforce crisis, which should be managed by developing a strategic framework.</w:t>
      </w:r>
    </w:p>
    <w:p w14:paraId="2EA332BD" w14:textId="77777777" w:rsidR="00ED320E" w:rsidRDefault="00000000">
      <w:r>
        <w:t xml:space="preserve">Using the Contingency theory, HR focuses on workforce planning, which enables companies to identify future skill needs. This theory states that no single best way can </w:t>
      </w:r>
      <w:r>
        <w:lastRenderedPageBreak/>
        <w:t xml:space="preserve">manage human resources, and HR strategies should align with the internal and external business environment (Opara and </w:t>
      </w:r>
      <w:proofErr w:type="spellStart"/>
      <w:r>
        <w:t>Waheduzzaman</w:t>
      </w:r>
      <w:proofErr w:type="spellEnd"/>
      <w:r>
        <w:t xml:space="preserve">, 2024). HRM needs to strengthen the employer brand by improving the working conditions, transparency, developing the career progression pathways, and many more in the hospitality sector (Parasa, 2023). In contrast, the healthcare organisations ensure a continuous professional development program to keep the clinicians updated with the medical technologies, patient data management systems, telehealth practices and many more. However, the limitation lies in implementation complexity, where continuous monitoring and necessary resources are essential. The inconsistent HR practices can also affect to management of the skills gap issues. </w:t>
      </w:r>
    </w:p>
    <w:p w14:paraId="45DE5454" w14:textId="77777777" w:rsidR="00ED320E" w:rsidRDefault="00000000">
      <w:r>
        <w:t>The HR department requires collaboration with the educational institution to ensure that the activities are aligned with the industrial requirements. Talent shortage can negatively influence the growth of the organisation (Naim, 2023). Modern AI systems embedded in platforms such as SAP SuccessFactors aim to create intelligent partnerships between humans and algorithms. These systems not only enhance decision accuracy but also democratize access to career guidance, allowing employees at all levels to visualize potential paths that were previously invisible or inaccessible. (Parasa, 2023). The reskilling and Upskilling initiative is an effective response to manage skill shortage. The HRM needs to emphasise creating a learning culture supported by the technology, career mobility, mentorship and many more. For example, IBM adopted the “skills academy model”, where it offers digital badges to equip the workers for emerging technologies like AI and cloud computing (IBM, 2025). Consequently, the hospitals can use predictive analytics for anticipating nursing shortages and design the targeted hiring process with attractive incentives, reduced workload pressure and others.</w:t>
      </w:r>
    </w:p>
    <w:p w14:paraId="7D55E1EB" w14:textId="77777777" w:rsidR="00ED320E" w:rsidRDefault="00000000">
      <w:r>
        <w:t xml:space="preserve">Providing a supportive working environment, a mental health and recognition program can increase employee engagement. Companies having a strong employee value proposition observe 69% lower turnover (Evans </w:t>
      </w:r>
      <w:r>
        <w:rPr>
          <w:i/>
          <w:iCs/>
        </w:rPr>
        <w:t>et al.,</w:t>
      </w:r>
      <w:r>
        <w:t xml:space="preserve"> 2025). Therefore, it is required that HR needs to enhance employee retention by understanding their requirements and providing the best support to them. The hiring strategies should be based on recruiting global talent, promoting virtual mobility and providing equal opportunities to the workers. For instance, the healthcare system in the UK relies on the international recruitment drivers for nurses. Hence, the HR should ensure ethical recruitment practices and provide necessary training to avoid exploitation.</w:t>
      </w:r>
    </w:p>
    <w:p w14:paraId="62C8F88B" w14:textId="77777777" w:rsidR="00ED320E" w:rsidRDefault="00000000">
      <w:pPr>
        <w:rPr>
          <w:b/>
        </w:rPr>
      </w:pPr>
      <w:r>
        <w:rPr>
          <w:b/>
        </w:rPr>
        <w:lastRenderedPageBreak/>
        <w:t>Reflection on capabilities to work in an international Context</w:t>
      </w:r>
    </w:p>
    <w:p w14:paraId="52F3D638" w14:textId="77777777" w:rsidR="00ED320E" w:rsidRDefault="00000000">
      <w:r>
        <w:t>The 21st century is filled with diversity, due to the ‘global world’ we live in, which is enhanced by numerous ways of technology-driven communication and collaboration,</w:t>
      </w:r>
    </w:p>
    <w:p w14:paraId="6F6E077F" w14:textId="77777777" w:rsidR="00ED320E" w:rsidRDefault="00000000">
      <w:r>
        <w:t>and a variety of different religions, genders, and cultures, with different beliefs, ways</w:t>
      </w:r>
    </w:p>
    <w:p w14:paraId="6B227537" w14:textId="77777777" w:rsidR="00ED320E" w:rsidRDefault="00000000">
      <w:r>
        <w:t>of thinking, abilities, and ways of communicating. (</w:t>
      </w:r>
      <w:proofErr w:type="spellStart"/>
      <w:r>
        <w:t>Kampermann</w:t>
      </w:r>
      <w:proofErr w:type="spellEnd"/>
      <w:r>
        <w:t xml:space="preserve"> </w:t>
      </w:r>
      <w:r>
        <w:rPr>
          <w:i/>
          <w:iCs/>
        </w:rPr>
        <w:t>et al.,</w:t>
      </w:r>
      <w:r>
        <w:t xml:space="preserve"> 2021). Reflecting on my background, like having a bachelor's degree in business administration and an MBA in international business, I have developed the valuable competencies that can support my international career aspiration. This reflection can evaluate my current capabilities and also identify my strengths and weaknesses, which is essential to take further strategies for improving the weak areas to become competent professionally. </w:t>
      </w:r>
    </w:p>
    <w:p w14:paraId="23F7B658" w14:textId="77777777" w:rsidR="00ED320E" w:rsidRDefault="00000000">
      <w:r>
        <w:t>Technology is the central part of the international business operation that can enable data-driven decisions, remote collaboration, digital marketing and many more. I have acquired the technological proficiency in CRM software, Microsoft, and social media analytics when I worked as a sales executive. This helped me manage my communication by using technology and strengthened my confidence in digital interactions with customers. However, at the same time, I need to focus on learning the new technologies and acquire skills that will provide competitive advantages to me for getting a successful position in the international market. I have a strength in understanding the ways technology can drive consumer engagement, and using technology, I can also analyse consumer behaviour. However, there is a lack of in-depth knowledge of emerging technologies like big data analytics, automation, AI and many more (</w:t>
      </w:r>
      <w:proofErr w:type="spellStart"/>
      <w:r>
        <w:t>Thayyib</w:t>
      </w:r>
      <w:proofErr w:type="spellEnd"/>
      <w:r>
        <w:t xml:space="preserve"> </w:t>
      </w:r>
      <w:r>
        <w:rPr>
          <w:i/>
          <w:iCs/>
        </w:rPr>
        <w:t>et al.,</w:t>
      </w:r>
      <w:r>
        <w:t xml:space="preserve"> 2023). I need to improve my skills in data visualisation tools such as Power BI, Tableau and others. </w:t>
      </w:r>
    </w:p>
    <w:p w14:paraId="711B0F14" w14:textId="77777777" w:rsidR="00ED320E" w:rsidRDefault="00000000">
      <w:r>
        <w:t xml:space="preserve">On the other hand, effective communication is essential for achieving success in international business, where having verbal and written communication skills is very important to make connections with diverse workers. I have a strength in communication and am also capable of tailoring my message according to the needs of the situation. But despite this strength, I recognise there is a need for improving the specific intercultural communication. For example, I faced challenges in understanding the non-verbal cues in a multicultural setting when I worked on a project in my MBA course. Therefore, it is essential to evaluate the different needs of my colleagues who are from various backgrounds, which can streamline the international teamwork. </w:t>
      </w:r>
    </w:p>
    <w:p w14:paraId="361E6C8D" w14:textId="77777777" w:rsidR="00ED320E" w:rsidRDefault="00000000">
      <w:r>
        <w:lastRenderedPageBreak/>
        <w:t xml:space="preserve">While I have focused on my teamwork and collaboration, I found that I have the strength to adopt a diverse perspective and am capable of managing conflicts between my team members. Throughout my MBA experience, I participated in various group projects that have created advantages in working with the cross-functional team. But at the same time, I noticed that the underrepresentation of my viewpoint can negatively influence the quality of work. I also have the leadership capability in terms of understanding the vision and requirements of my team members. The leadership strengths include motivational capacity, and I am also able to lead my team successfully. But I need to improve my strategic leadership skills and strengthen my ability to lead ambiguity. </w:t>
      </w:r>
    </w:p>
    <w:p w14:paraId="4837217B" w14:textId="77777777" w:rsidR="00ED320E" w:rsidRDefault="00000000">
      <w:r>
        <w:t>In the digital age, directed learning is essential for continuously engaging different learning practices. My educational journey has supported creating a reflective journey, and I proactively seek knowledge from various sources like industry reports, academic journals, professional networks and many more. I have developed an action plan to address my weak areas and also leverage my strengths, which is discussed below.</w:t>
      </w:r>
    </w:p>
    <w:p w14:paraId="060C57BC" w14:textId="77777777" w:rsidR="00ED320E" w:rsidRDefault="00ED320E"/>
    <w:tbl>
      <w:tblPr>
        <w:tblW w:w="9016" w:type="dxa"/>
        <w:tblCellMar>
          <w:left w:w="10" w:type="dxa"/>
          <w:right w:w="10" w:type="dxa"/>
        </w:tblCellMar>
        <w:tblLook w:val="04A0" w:firstRow="1" w:lastRow="0" w:firstColumn="1" w:lastColumn="0" w:noHBand="0" w:noVBand="1"/>
      </w:tblPr>
      <w:tblGrid>
        <w:gridCol w:w="3040"/>
        <w:gridCol w:w="3155"/>
        <w:gridCol w:w="2821"/>
      </w:tblGrid>
      <w:tr w:rsidR="00ED320E" w14:paraId="4EBE69C3" w14:textId="77777777">
        <w:tblPrEx>
          <w:tblCellMar>
            <w:top w:w="0" w:type="dxa"/>
            <w:bottom w:w="0" w:type="dxa"/>
          </w:tblCellMar>
        </w:tblPrEx>
        <w:tc>
          <w:tcPr>
            <w:tcW w:w="30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28E77ED" w14:textId="77777777" w:rsidR="00ED320E" w:rsidRDefault="00000000">
            <w:pPr>
              <w:rPr>
                <w:b/>
                <w:bCs/>
              </w:rPr>
            </w:pPr>
            <w:r>
              <w:rPr>
                <w:b/>
                <w:bCs/>
              </w:rPr>
              <w:t xml:space="preserve">Skills </w:t>
            </w:r>
          </w:p>
        </w:tc>
        <w:tc>
          <w:tcPr>
            <w:tcW w:w="31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E9B9484" w14:textId="77777777" w:rsidR="00ED320E" w:rsidRDefault="00000000">
            <w:pPr>
              <w:rPr>
                <w:b/>
                <w:bCs/>
              </w:rPr>
            </w:pPr>
            <w:r>
              <w:rPr>
                <w:b/>
                <w:bCs/>
              </w:rPr>
              <w:t>Way to Achieve</w:t>
            </w:r>
          </w:p>
        </w:tc>
        <w:tc>
          <w:tcPr>
            <w:tcW w:w="28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19D687D" w14:textId="77777777" w:rsidR="00ED320E" w:rsidRDefault="00000000">
            <w:pPr>
              <w:rPr>
                <w:b/>
                <w:bCs/>
              </w:rPr>
            </w:pPr>
            <w:r>
              <w:rPr>
                <w:b/>
                <w:bCs/>
              </w:rPr>
              <w:t>Timeline</w:t>
            </w:r>
          </w:p>
        </w:tc>
      </w:tr>
      <w:tr w:rsidR="00ED320E" w14:paraId="1C2FAEA6" w14:textId="77777777">
        <w:tblPrEx>
          <w:tblCellMar>
            <w:top w:w="0" w:type="dxa"/>
            <w:bottom w:w="0" w:type="dxa"/>
          </w:tblCellMar>
        </w:tblPrEx>
        <w:tc>
          <w:tcPr>
            <w:tcW w:w="30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9EC3C52" w14:textId="77777777" w:rsidR="00ED320E" w:rsidRDefault="00000000">
            <w:r>
              <w:t xml:space="preserve">Technological Expertise </w:t>
            </w:r>
          </w:p>
        </w:tc>
        <w:tc>
          <w:tcPr>
            <w:tcW w:w="31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6D317DD" w14:textId="77777777" w:rsidR="00ED320E" w:rsidRDefault="00000000">
            <w:r>
              <w:t xml:space="preserve">Enrol in professional development courses in AI, data analytics </w:t>
            </w:r>
          </w:p>
        </w:tc>
        <w:tc>
          <w:tcPr>
            <w:tcW w:w="28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B475FB7" w14:textId="77777777" w:rsidR="00ED320E" w:rsidRDefault="00000000">
            <w:r>
              <w:t xml:space="preserve">6 months- 1 </w:t>
            </w:r>
            <w:proofErr w:type="gramStart"/>
            <w:r>
              <w:t>year</w:t>
            </w:r>
            <w:proofErr w:type="gramEnd"/>
          </w:p>
        </w:tc>
      </w:tr>
      <w:tr w:rsidR="00ED320E" w14:paraId="28EF0927" w14:textId="77777777">
        <w:tblPrEx>
          <w:tblCellMar>
            <w:top w:w="0" w:type="dxa"/>
            <w:bottom w:w="0" w:type="dxa"/>
          </w:tblCellMar>
        </w:tblPrEx>
        <w:tc>
          <w:tcPr>
            <w:tcW w:w="30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C4BCE80" w14:textId="77777777" w:rsidR="00ED320E" w:rsidRDefault="00000000">
            <w:r>
              <w:t xml:space="preserve">Communication </w:t>
            </w:r>
          </w:p>
        </w:tc>
        <w:tc>
          <w:tcPr>
            <w:tcW w:w="31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3DE72F" w14:textId="77777777" w:rsidR="00ED320E" w:rsidRDefault="00000000">
            <w:r>
              <w:t xml:space="preserve">Attend a communication workshop with an international peer and seek feedback from colleagues </w:t>
            </w:r>
          </w:p>
        </w:tc>
        <w:tc>
          <w:tcPr>
            <w:tcW w:w="28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DAB217" w14:textId="77777777" w:rsidR="00ED320E" w:rsidRDefault="00000000">
            <w:r>
              <w:t xml:space="preserve">3-6 months </w:t>
            </w:r>
          </w:p>
        </w:tc>
      </w:tr>
      <w:tr w:rsidR="00ED320E" w14:paraId="4CB4039D" w14:textId="77777777">
        <w:tblPrEx>
          <w:tblCellMar>
            <w:top w:w="0" w:type="dxa"/>
            <w:bottom w:w="0" w:type="dxa"/>
          </w:tblCellMar>
        </w:tblPrEx>
        <w:tc>
          <w:tcPr>
            <w:tcW w:w="30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53EED1D" w14:textId="77777777" w:rsidR="00ED320E" w:rsidRDefault="00000000">
            <w:r>
              <w:t xml:space="preserve">Teamwork and collaboration </w:t>
            </w:r>
          </w:p>
        </w:tc>
        <w:tc>
          <w:tcPr>
            <w:tcW w:w="31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A1B6A79" w14:textId="77777777" w:rsidR="00ED320E" w:rsidRDefault="00000000">
            <w:r>
              <w:t xml:space="preserve">Using a collaboration tool for improving coordination efficiency </w:t>
            </w:r>
          </w:p>
        </w:tc>
        <w:tc>
          <w:tcPr>
            <w:tcW w:w="28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8D05E06" w14:textId="77777777" w:rsidR="00ED320E" w:rsidRDefault="00000000">
            <w:r>
              <w:t xml:space="preserve">6-10 months </w:t>
            </w:r>
          </w:p>
        </w:tc>
      </w:tr>
      <w:tr w:rsidR="00ED320E" w14:paraId="160B6A89" w14:textId="77777777">
        <w:tblPrEx>
          <w:tblCellMar>
            <w:top w:w="0" w:type="dxa"/>
            <w:bottom w:w="0" w:type="dxa"/>
          </w:tblCellMar>
        </w:tblPrEx>
        <w:tc>
          <w:tcPr>
            <w:tcW w:w="30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0FB8C68" w14:textId="77777777" w:rsidR="00ED320E" w:rsidRDefault="00000000">
            <w:r>
              <w:t xml:space="preserve">Leadership capability </w:t>
            </w:r>
          </w:p>
        </w:tc>
        <w:tc>
          <w:tcPr>
            <w:tcW w:w="31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D463A9D" w14:textId="77777777" w:rsidR="00ED320E" w:rsidRDefault="00000000">
            <w:r>
              <w:t>Participate in leadership development programs and lead an international project</w:t>
            </w:r>
          </w:p>
        </w:tc>
        <w:tc>
          <w:tcPr>
            <w:tcW w:w="28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A4361CA" w14:textId="77777777" w:rsidR="00ED320E" w:rsidRDefault="00000000">
            <w:r>
              <w:t xml:space="preserve">1-2 years </w:t>
            </w:r>
          </w:p>
        </w:tc>
      </w:tr>
    </w:tbl>
    <w:p w14:paraId="4F02CFAD" w14:textId="77777777" w:rsidR="00ED320E" w:rsidRDefault="00ED320E"/>
    <w:p w14:paraId="39E60BBF" w14:textId="77777777" w:rsidR="00ED320E" w:rsidRDefault="00000000">
      <w:r>
        <w:t xml:space="preserve">I believe that managing and improving the weak areas, like understanding communication and technological adoption, can help me to leverage my strengths. </w:t>
      </w:r>
      <w:r>
        <w:lastRenderedPageBreak/>
        <w:t>Reflecting on my current capabilities revealed that I have strong foundational skills in motivation, teamwork, and communication. But in the global business environment, continuous learning is essential, particularly focusing on technological adaptability and strategic leadership. Hence, I believe that actively pursuing these learning opportunities can enhance my communication skills and also address the technical limitations. This will help me to position myself as a globally competent worker, and my long-term goal is to become a strategic leader who will be capable of managing the multicultural team's knowledge in digital innovation that can positively contribute to the international business.</w:t>
      </w:r>
    </w:p>
    <w:p w14:paraId="495D6771" w14:textId="77777777" w:rsidR="00ED320E" w:rsidRDefault="00000000">
      <w:pPr>
        <w:rPr>
          <w:b/>
        </w:rPr>
      </w:pPr>
      <w:r>
        <w:rPr>
          <w:b/>
        </w:rPr>
        <w:t xml:space="preserve">Conclusion </w:t>
      </w:r>
    </w:p>
    <w:p w14:paraId="1F5637B7" w14:textId="77777777" w:rsidR="00ED320E" w:rsidRDefault="00000000">
      <w:r>
        <w:t>It is concluded that technological advancements, geopolitical shifts and demographic transformations reshape the global label market. Technologies like AI Automation also redefined the job structure, and HRM should evolve into the strategic enablers for managing the workforce activities. They need to focus on investing in workforce planning, reskilling the strategies for aged workers, employer branding, ethical HR practices and others. This will help to cultivate digital fluency and strive for success in the business. The growth of the modern labour market depends on the performance of the HR practices, and here the organisation should focus on reskilling the employees and retaining the top talent that is essential to get competitive advantages in the rapidly evolving environment.</w:t>
      </w:r>
    </w:p>
    <w:p w14:paraId="49A41CE7" w14:textId="77777777" w:rsidR="00ED320E" w:rsidRDefault="00ED320E">
      <w:pPr>
        <w:pageBreakBefore/>
      </w:pPr>
    </w:p>
    <w:p w14:paraId="37F5B750" w14:textId="77777777" w:rsidR="00ED320E" w:rsidRDefault="00000000">
      <w:pPr>
        <w:rPr>
          <w:b/>
        </w:rPr>
      </w:pPr>
      <w:r>
        <w:rPr>
          <w:b/>
        </w:rPr>
        <w:t>Reference list</w:t>
      </w:r>
    </w:p>
    <w:p w14:paraId="68865964" w14:textId="77777777" w:rsidR="00ED320E" w:rsidRDefault="00000000">
      <w:r>
        <w:t xml:space="preserve">Downie, A. and Hayes, M. (2024) </w:t>
      </w:r>
      <w:r>
        <w:rPr>
          <w:i/>
          <w:iCs/>
        </w:rPr>
        <w:t>AI in the workplace</w:t>
      </w:r>
      <w:r>
        <w:t xml:space="preserve">, </w:t>
      </w:r>
      <w:r>
        <w:rPr>
          <w:i/>
          <w:iCs/>
        </w:rPr>
        <w:t>Ibm.com</w:t>
      </w:r>
      <w:r>
        <w:t xml:space="preserve">. Available at: </w:t>
      </w:r>
      <w:hyperlink r:id="rId7" w:history="1">
        <w:r>
          <w:rPr>
            <w:rStyle w:val="Hyperlink"/>
          </w:rPr>
          <w:t>https://www.ibm.com/think/topics/ai-in-the-workplace</w:t>
        </w:r>
      </w:hyperlink>
      <w:r>
        <w:t xml:space="preserve"> </w:t>
      </w:r>
    </w:p>
    <w:p w14:paraId="05204FA9" w14:textId="77777777" w:rsidR="00ED320E" w:rsidRDefault="00000000">
      <w:r>
        <w:t xml:space="preserve">Evans, R., Rizk, N., Naina </w:t>
      </w:r>
      <w:proofErr w:type="spellStart"/>
      <w:r>
        <w:t>Sabherwal</w:t>
      </w:r>
      <w:proofErr w:type="spellEnd"/>
      <w:r>
        <w:t xml:space="preserve"> and Dale, F. (2025) </w:t>
      </w:r>
      <w:r>
        <w:rPr>
          <w:i/>
          <w:iCs/>
        </w:rPr>
        <w:t>Employee Value Proposition: Creating a Human-Centred and Experience-Driven Organisation | Deloitte UK</w:t>
      </w:r>
      <w:r>
        <w:t xml:space="preserve">, </w:t>
      </w:r>
      <w:r>
        <w:rPr>
          <w:i/>
          <w:iCs/>
        </w:rPr>
        <w:t>Deloitte United Kingdom</w:t>
      </w:r>
      <w:r>
        <w:t xml:space="preserve">. Deloitte. Available at: </w:t>
      </w:r>
      <w:hyperlink r:id="rId8" w:history="1">
        <w:r>
          <w:rPr>
            <w:rStyle w:val="Hyperlink"/>
          </w:rPr>
          <w:t>https://www.deloitte.com/uk/en/services/consulting/blogs/2025/employee-value-proposition-creating-a-human-centred-and-experience-driven-organisation.html</w:t>
        </w:r>
      </w:hyperlink>
      <w:r>
        <w:t xml:space="preserve"> </w:t>
      </w:r>
    </w:p>
    <w:p w14:paraId="439CC350" w14:textId="77777777" w:rsidR="00ED320E" w:rsidRDefault="00000000">
      <w:r>
        <w:t xml:space="preserve">IBM (2025) </w:t>
      </w:r>
      <w:r>
        <w:rPr>
          <w:i/>
          <w:iCs/>
        </w:rPr>
        <w:t>IBM Training</w:t>
      </w:r>
      <w:r>
        <w:t xml:space="preserve">, </w:t>
      </w:r>
      <w:r>
        <w:rPr>
          <w:i/>
          <w:iCs/>
        </w:rPr>
        <w:t>Ibm.com</w:t>
      </w:r>
      <w:r>
        <w:t xml:space="preserve">. Available at: </w:t>
      </w:r>
      <w:hyperlink r:id="rId9" w:history="1">
        <w:r>
          <w:rPr>
            <w:rStyle w:val="Hyperlink"/>
          </w:rPr>
          <w:t>https://www.ibm.com/training/credentials/badges</w:t>
        </w:r>
      </w:hyperlink>
      <w:r>
        <w:t xml:space="preserve">  (Accessed: 4 November 2025)</w:t>
      </w:r>
    </w:p>
    <w:p w14:paraId="6FFDA163" w14:textId="77777777" w:rsidR="00ED320E" w:rsidRDefault="00000000">
      <w:r>
        <w:t xml:space="preserve">ILO (2024) </w:t>
      </w:r>
      <w:r>
        <w:rPr>
          <w:i/>
          <w:iCs/>
        </w:rPr>
        <w:t xml:space="preserve">Number of </w:t>
      </w:r>
      <w:proofErr w:type="gramStart"/>
      <w:r>
        <w:rPr>
          <w:i/>
          <w:iCs/>
        </w:rPr>
        <w:t>youth</w:t>
      </w:r>
      <w:proofErr w:type="gramEnd"/>
      <w:r>
        <w:rPr>
          <w:i/>
          <w:iCs/>
        </w:rPr>
        <w:t xml:space="preserve"> not in employment, education, or training (NEET) a cause for concern, despite falling jobless rate</w:t>
      </w:r>
      <w:r>
        <w:t xml:space="preserve">, </w:t>
      </w:r>
      <w:r>
        <w:rPr>
          <w:i/>
          <w:iCs/>
        </w:rPr>
        <w:t>International Labour Organization</w:t>
      </w:r>
      <w:r>
        <w:t xml:space="preserve">. Available at: </w:t>
      </w:r>
      <w:hyperlink r:id="rId10" w:history="1">
        <w:r>
          <w:rPr>
            <w:rStyle w:val="Hyperlink"/>
          </w:rPr>
          <w:t>https://www.ilo.org/resource/news/number-youth-not-employment-education-or-training-neet-cause-concern</w:t>
        </w:r>
      </w:hyperlink>
      <w:r>
        <w:t xml:space="preserve"> </w:t>
      </w:r>
    </w:p>
    <w:p w14:paraId="70253E2F" w14:textId="77777777" w:rsidR="00ED320E" w:rsidRDefault="00000000">
      <w:r>
        <w:t xml:space="preserve">Kampermann, A., </w:t>
      </w:r>
      <w:proofErr w:type="spellStart"/>
      <w:r>
        <w:t>Opdenakker</w:t>
      </w:r>
      <w:proofErr w:type="spellEnd"/>
      <w:r>
        <w:t xml:space="preserve">, R., Heijden, B.V. der and Bücker, J. (2021) ‘Intercultural Competencies for Fostering Technology-Mediated Collaboration in Developing Countries’, </w:t>
      </w:r>
      <w:r>
        <w:rPr>
          <w:i/>
          <w:iCs/>
        </w:rPr>
        <w:t>Sustainability</w:t>
      </w:r>
      <w:r>
        <w:t xml:space="preserve">, 13(14), p. 7790. Available at: </w:t>
      </w:r>
      <w:hyperlink r:id="rId11" w:history="1">
        <w:r>
          <w:rPr>
            <w:rStyle w:val="Hyperlink"/>
          </w:rPr>
          <w:t>https://doi.org/10.3390/su13147790</w:t>
        </w:r>
      </w:hyperlink>
      <w:r>
        <w:t xml:space="preserve"> </w:t>
      </w:r>
    </w:p>
    <w:p w14:paraId="5FCF8E94" w14:textId="77777777" w:rsidR="00ED320E" w:rsidRDefault="00000000">
      <w:proofErr w:type="spellStart"/>
      <w:r>
        <w:t>Mızrak</w:t>
      </w:r>
      <w:proofErr w:type="spellEnd"/>
      <w:r>
        <w:t xml:space="preserve">, F. (2024) ‘İNSAN KAYNAKLARI YÖNETİMİ ENTEGRASYONUNUN KAVRAMSAL ANALİZİ ARACILIĞIYLA BİLGİ GÜVENLİĞİ RİSK YÖNETİMİNİN GELİŞTİRİLMESİ’, </w:t>
      </w:r>
      <w:proofErr w:type="spellStart"/>
      <w:r>
        <w:rPr>
          <w:i/>
          <w:iCs/>
        </w:rPr>
        <w:t>Yönetim</w:t>
      </w:r>
      <w:proofErr w:type="spellEnd"/>
      <w:r>
        <w:rPr>
          <w:i/>
          <w:iCs/>
        </w:rPr>
        <w:t xml:space="preserve"> </w:t>
      </w:r>
      <w:proofErr w:type="spellStart"/>
      <w:r>
        <w:rPr>
          <w:i/>
          <w:iCs/>
        </w:rPr>
        <w:t>Bilimleri</w:t>
      </w:r>
      <w:proofErr w:type="spellEnd"/>
      <w:r>
        <w:rPr>
          <w:i/>
          <w:iCs/>
        </w:rPr>
        <w:t xml:space="preserve"> Dergisi</w:t>
      </w:r>
      <w:r>
        <w:t xml:space="preserve"> [Preprint]. Available at: </w:t>
      </w:r>
      <w:hyperlink r:id="rId12" w:history="1">
        <w:r>
          <w:rPr>
            <w:rStyle w:val="Hyperlink"/>
          </w:rPr>
          <w:t>https://doi.org/10.35408/comuybd.1342408</w:t>
        </w:r>
      </w:hyperlink>
      <w:r>
        <w:t xml:space="preserve"> </w:t>
      </w:r>
    </w:p>
    <w:p w14:paraId="389DA732" w14:textId="77777777" w:rsidR="00ED320E" w:rsidRDefault="00000000">
      <w:r>
        <w:t xml:space="preserve">Naim, A.F.A. (2023) ‘ENHANCING WORKFORCE PRODUCTIVITY AND ORGANIZATIONAL AGILITY THROUGH DIGITAL TRANSFORMATION: ROLE OF TECHNOLOGICAL INTEGRATION, SKILLS DEVELOPMENT INITIATIVES AND LOW ORGANIZATIONAL TRUST’, </w:t>
      </w:r>
      <w:r>
        <w:rPr>
          <w:i/>
          <w:iCs/>
        </w:rPr>
        <w:t>The Journal of Modern Project Management</w:t>
      </w:r>
      <w:r>
        <w:t xml:space="preserve">, 11(1), pp. 324–341. Available at: </w:t>
      </w:r>
      <w:hyperlink r:id="rId13" w:history="1">
        <w:r>
          <w:rPr>
            <w:rStyle w:val="Hyperlink"/>
          </w:rPr>
          <w:t>https://journalmodernpm.com/manuscript/index.php/jmpm/article/view/642</w:t>
        </w:r>
      </w:hyperlink>
      <w:r>
        <w:t>.</w:t>
      </w:r>
    </w:p>
    <w:p w14:paraId="1324046E" w14:textId="77777777" w:rsidR="00ED320E" w:rsidRDefault="00000000">
      <w:r>
        <w:t xml:space="preserve">Opara, S. and </w:t>
      </w:r>
      <w:proofErr w:type="spellStart"/>
      <w:r>
        <w:t>Waheduzzaman</w:t>
      </w:r>
      <w:proofErr w:type="spellEnd"/>
      <w:r>
        <w:t xml:space="preserve">, W. (2024). ‘The universal, Contingency or Configurational HRM Approaches for Organizational performance: Lessons from Australian Performing Arts.’ </w:t>
      </w:r>
      <w:proofErr w:type="spellStart"/>
      <w:r>
        <w:rPr>
          <w:i/>
          <w:iCs/>
        </w:rPr>
        <w:t>Zeitschrift</w:t>
      </w:r>
      <w:proofErr w:type="spellEnd"/>
      <w:r>
        <w:rPr>
          <w:i/>
          <w:iCs/>
        </w:rPr>
        <w:t xml:space="preserve"> Fur Personalforschung</w:t>
      </w:r>
      <w:r>
        <w:t xml:space="preserve">, [online] 1(1). Pp. 5-10. Available at: </w:t>
      </w:r>
      <w:hyperlink r:id="rId14" w:history="1">
        <w:r>
          <w:rPr>
            <w:rStyle w:val="Hyperlink"/>
          </w:rPr>
          <w:t>https://doi.org/10.1177/23970022241231538</w:t>
        </w:r>
      </w:hyperlink>
      <w:r>
        <w:t xml:space="preserve"> </w:t>
      </w:r>
    </w:p>
    <w:p w14:paraId="67CAAC93" w14:textId="77777777" w:rsidR="00ED320E" w:rsidRDefault="00000000">
      <w:r>
        <w:lastRenderedPageBreak/>
        <w:t xml:space="preserve">Parasa, M. (2023). Optimizing Career Mobility and Development Using AI-Powered Path Mapping Tools Within SAP Success Factors Career Development Module. Available at: </w:t>
      </w:r>
      <w:hyperlink r:id="rId15" w:history="1">
        <w:r>
          <w:rPr>
            <w:rStyle w:val="Hyperlink"/>
          </w:rPr>
          <w:t>https://www.researchgate.net/profile/Manoj-Parasa-2/publication/396989896_Optimizing_Career_Mobility_and_Development_Using_AI-Powered_Path_Mapping_Tools_Within_SAP_Success_Factors_Career_Development_Module/links/6901061ca2b691617b6754dc/Optimizing-Career-Mobility-and-Development-Using-AI-Powered-Path-Mapping-Tools-Within-SAP-Success-Factors-Career-Development-Module.pdf</w:t>
        </w:r>
      </w:hyperlink>
    </w:p>
    <w:p w14:paraId="654B8194" w14:textId="77777777" w:rsidR="00ED320E" w:rsidRDefault="00000000">
      <w:r>
        <w:t xml:space="preserve">Rai, R., Tiwari, M.K., Ivanov, D. and </w:t>
      </w:r>
      <w:proofErr w:type="spellStart"/>
      <w:r>
        <w:t>Dolgui</w:t>
      </w:r>
      <w:proofErr w:type="spellEnd"/>
      <w:r>
        <w:t xml:space="preserve">, A. (2021) ‘Machine learning in manufacturing and industry 4.0 applications’, </w:t>
      </w:r>
      <w:r>
        <w:rPr>
          <w:i/>
          <w:iCs/>
        </w:rPr>
        <w:t>International Journal of Production Research</w:t>
      </w:r>
      <w:r>
        <w:t xml:space="preserve">, 59(16), pp. 4773–4778. Available at: </w:t>
      </w:r>
      <w:hyperlink r:id="rId16" w:history="1">
        <w:r>
          <w:rPr>
            <w:rStyle w:val="Hyperlink"/>
          </w:rPr>
          <w:t>https://doi.org/10.1080/00207543.2021.1956675</w:t>
        </w:r>
      </w:hyperlink>
      <w:r>
        <w:t xml:space="preserve"> </w:t>
      </w:r>
    </w:p>
    <w:p w14:paraId="1CB7067A" w14:textId="77777777" w:rsidR="00ED320E" w:rsidRDefault="00000000">
      <w:r>
        <w:t xml:space="preserve">Thangavel, V. (2023) ‘Global Effects of E-Learning Management Systems: Under the New Educational Revolution, LMS Establish a Global Educational System - Comparative Study’, </w:t>
      </w:r>
      <w:r>
        <w:rPr>
          <w:i/>
          <w:iCs/>
        </w:rPr>
        <w:t>Social Science Research Network</w:t>
      </w:r>
      <w:r>
        <w:t xml:space="preserve"> [Preprint]. Available at: </w:t>
      </w:r>
      <w:hyperlink r:id="rId17" w:history="1">
        <w:r>
          <w:rPr>
            <w:rStyle w:val="Hyperlink"/>
          </w:rPr>
          <w:t>https://doi.org/10.2139/ssrn.4644051</w:t>
        </w:r>
      </w:hyperlink>
    </w:p>
    <w:p w14:paraId="34802587" w14:textId="77777777" w:rsidR="00ED320E" w:rsidRDefault="00000000">
      <w:proofErr w:type="spellStart"/>
      <w:r>
        <w:t>Thayyib</w:t>
      </w:r>
      <w:proofErr w:type="spellEnd"/>
      <w:r>
        <w:t xml:space="preserve">, P.V., Mamilla, R., Khan, M., Fatima, H., Asim, M., Anwar, I., </w:t>
      </w:r>
      <w:proofErr w:type="spellStart"/>
      <w:r>
        <w:t>Shamsudheen</w:t>
      </w:r>
      <w:proofErr w:type="spellEnd"/>
      <w:r>
        <w:t xml:space="preserve">, M.K. and Khan, M.A. (2023) ‘State-of-the-Art of Artificial Intelligence and Big Data Analytics Reviews in Five Different Domains: A Bibliometric Summary’, </w:t>
      </w:r>
      <w:r>
        <w:rPr>
          <w:i/>
          <w:iCs/>
        </w:rPr>
        <w:t>Sustainability</w:t>
      </w:r>
      <w:r>
        <w:t xml:space="preserve">, 15(5), p. 4026. Available at: </w:t>
      </w:r>
      <w:hyperlink r:id="rId18" w:history="1">
        <w:r>
          <w:rPr>
            <w:rStyle w:val="Hyperlink"/>
          </w:rPr>
          <w:t>https://doi.org/10.3390/su15054026</w:t>
        </w:r>
      </w:hyperlink>
      <w:r>
        <w:t xml:space="preserve"> </w:t>
      </w:r>
    </w:p>
    <w:p w14:paraId="332C7027" w14:textId="77777777" w:rsidR="00ED320E" w:rsidRDefault="00000000">
      <w:r>
        <w:t xml:space="preserve">United Nations (no date) </w:t>
      </w:r>
      <w:r>
        <w:rPr>
          <w:i/>
          <w:iCs/>
        </w:rPr>
        <w:t>International migration</w:t>
      </w:r>
      <w:r>
        <w:t xml:space="preserve">, </w:t>
      </w:r>
      <w:r>
        <w:rPr>
          <w:i/>
          <w:iCs/>
        </w:rPr>
        <w:t>United Nations</w:t>
      </w:r>
      <w:r>
        <w:t xml:space="preserve">. Available at: </w:t>
      </w:r>
      <w:hyperlink r:id="rId19" w:history="1">
        <w:r>
          <w:rPr>
            <w:rStyle w:val="Hyperlink"/>
          </w:rPr>
          <w:t>https://www.un.org/en/global-issues/migration</w:t>
        </w:r>
      </w:hyperlink>
      <w:r>
        <w:t xml:space="preserve"> </w:t>
      </w:r>
    </w:p>
    <w:p w14:paraId="4AD76647" w14:textId="77777777" w:rsidR="00ED320E" w:rsidRDefault="00000000">
      <w:proofErr w:type="spellStart"/>
      <w:r>
        <w:t>Urme</w:t>
      </w:r>
      <w:proofErr w:type="spellEnd"/>
      <w:r>
        <w:t xml:space="preserve">, U.N. (2023) ‘The Impact of Talent Management Strategies on Employee Retention’, </w:t>
      </w:r>
      <w:r>
        <w:rPr>
          <w:i/>
          <w:iCs/>
        </w:rPr>
        <w:t>International Journal of Science and Business</w:t>
      </w:r>
      <w:r>
        <w:t xml:space="preserve">, 28(1), pp. 127–146. Available at: </w:t>
      </w:r>
      <w:hyperlink r:id="rId20" w:history="1">
        <w:r>
          <w:rPr>
            <w:rStyle w:val="Hyperlink"/>
          </w:rPr>
          <w:t>https://doi.org/10.58970/IJSB.2209</w:t>
        </w:r>
      </w:hyperlink>
      <w:r>
        <w:t xml:space="preserve"> </w:t>
      </w:r>
    </w:p>
    <w:p w14:paraId="447B9107" w14:textId="77777777" w:rsidR="00ED320E" w:rsidRDefault="00000000">
      <w:r>
        <w:t xml:space="preserve">WHO (no date) </w:t>
      </w:r>
      <w:r>
        <w:rPr>
          <w:i/>
          <w:iCs/>
        </w:rPr>
        <w:t>Health workforce</w:t>
      </w:r>
      <w:r>
        <w:t xml:space="preserve">, </w:t>
      </w:r>
      <w:r>
        <w:rPr>
          <w:i/>
          <w:iCs/>
        </w:rPr>
        <w:t>www.who.int</w:t>
      </w:r>
      <w:r>
        <w:t xml:space="preserve">. Available at: </w:t>
      </w:r>
      <w:hyperlink r:id="rId21" w:history="1">
        <w:r>
          <w:rPr>
            <w:rStyle w:val="Hyperlink"/>
          </w:rPr>
          <w:t>https://www.who.int/health-topics/health-workforce</w:t>
        </w:r>
      </w:hyperlink>
      <w:r>
        <w:t xml:space="preserve"> </w:t>
      </w:r>
    </w:p>
    <w:p w14:paraId="53778E36" w14:textId="77777777" w:rsidR="00ED320E" w:rsidRDefault="00000000">
      <w:r>
        <w:t xml:space="preserve">World Economic Forum (2023a) </w:t>
      </w:r>
      <w:r>
        <w:rPr>
          <w:i/>
          <w:iCs/>
        </w:rPr>
        <w:t>Global Gender Gap Report 2023</w:t>
      </w:r>
      <w:r>
        <w:t xml:space="preserve">, </w:t>
      </w:r>
      <w:r>
        <w:rPr>
          <w:i/>
          <w:iCs/>
        </w:rPr>
        <w:t>World Economic Forum</w:t>
      </w:r>
      <w:r>
        <w:t xml:space="preserve">. Available at: </w:t>
      </w:r>
      <w:hyperlink r:id="rId22" w:history="1">
        <w:r>
          <w:rPr>
            <w:rStyle w:val="Hyperlink"/>
          </w:rPr>
          <w:t>https://www.weforum.org/publications/global-gender-gap-report-2023/in-full/gender-gaps-in-the-workforce/</w:t>
        </w:r>
      </w:hyperlink>
      <w:r>
        <w:t xml:space="preserve"> </w:t>
      </w:r>
    </w:p>
    <w:p w14:paraId="2C979133" w14:textId="77777777" w:rsidR="00ED320E" w:rsidRDefault="00000000">
      <w:r>
        <w:t xml:space="preserve">World Economic Forum (2023b) </w:t>
      </w:r>
      <w:r>
        <w:rPr>
          <w:i/>
          <w:iCs/>
        </w:rPr>
        <w:t>The Future of Jobs Report 2023</w:t>
      </w:r>
      <w:r>
        <w:t xml:space="preserve">, </w:t>
      </w:r>
      <w:r>
        <w:rPr>
          <w:i/>
          <w:iCs/>
        </w:rPr>
        <w:t>World Economic Forum</w:t>
      </w:r>
      <w:r>
        <w:t xml:space="preserve">. Available at: </w:t>
      </w:r>
      <w:hyperlink r:id="rId23" w:history="1">
        <w:r>
          <w:rPr>
            <w:rStyle w:val="Hyperlink"/>
          </w:rPr>
          <w:t>https://www.weforum.org/publications/the-future-of-jobs-report-2023/digest/</w:t>
        </w:r>
      </w:hyperlink>
      <w:r>
        <w:t xml:space="preserve"> </w:t>
      </w:r>
    </w:p>
    <w:p w14:paraId="4DAA145D" w14:textId="77777777" w:rsidR="00ED320E" w:rsidRDefault="00000000">
      <w:r>
        <w:lastRenderedPageBreak/>
        <w:t xml:space="preserve">World Health Organization (2025) </w:t>
      </w:r>
      <w:r>
        <w:rPr>
          <w:i/>
          <w:iCs/>
        </w:rPr>
        <w:t>Ageing and health</w:t>
      </w:r>
      <w:r>
        <w:t xml:space="preserve">, </w:t>
      </w:r>
      <w:r>
        <w:rPr>
          <w:i/>
          <w:iCs/>
        </w:rPr>
        <w:t>World Health Organization</w:t>
      </w:r>
      <w:r>
        <w:t xml:space="preserve">. Available at: </w:t>
      </w:r>
      <w:hyperlink r:id="rId24" w:history="1">
        <w:r>
          <w:rPr>
            <w:rStyle w:val="Hyperlink"/>
          </w:rPr>
          <w:t>https://www.who.int/news-room/fact-sheets/detail/ageing-and-health</w:t>
        </w:r>
      </w:hyperlink>
      <w:r>
        <w:t xml:space="preserve"> </w:t>
      </w:r>
    </w:p>
    <w:p w14:paraId="10DC0E87" w14:textId="77777777" w:rsidR="00ED320E" w:rsidRDefault="00000000">
      <w:r>
        <w:t xml:space="preserve">World Trade Organisation (2025) </w:t>
      </w:r>
      <w:r>
        <w:rPr>
          <w:i/>
          <w:iCs/>
        </w:rPr>
        <w:t>AI goods and frontloading lift world trade in 2025 but outlook dims for 2026</w:t>
      </w:r>
      <w:r>
        <w:t xml:space="preserve">, </w:t>
      </w:r>
      <w:r>
        <w:rPr>
          <w:i/>
          <w:iCs/>
        </w:rPr>
        <w:t>Wto.org</w:t>
      </w:r>
      <w:r>
        <w:t xml:space="preserve">. Available at: </w:t>
      </w:r>
      <w:hyperlink r:id="rId25" w:history="1">
        <w:r>
          <w:rPr>
            <w:rStyle w:val="Hyperlink"/>
          </w:rPr>
          <w:t>https://www.wto.org/english/news_e/news25_e/stat_07oct25_e.htm</w:t>
        </w:r>
      </w:hyperlink>
      <w:r>
        <w:t xml:space="preserve"> </w:t>
      </w:r>
    </w:p>
    <w:p w14:paraId="6526033E" w14:textId="77777777" w:rsidR="00ED320E" w:rsidRDefault="00000000">
      <w:r>
        <w:t xml:space="preserve">Zhang, X. and Li, Z. (2025). ‘Research on Management Strategies and Re-incentive Mechanisms for Senior Employees in Enterprises under the Context of an Ageing Society’. </w:t>
      </w:r>
      <w:r>
        <w:rPr>
          <w:i/>
          <w:iCs/>
        </w:rPr>
        <w:t>International Journal of Asian Social Science Research</w:t>
      </w:r>
      <w:r>
        <w:t xml:space="preserve">, [online] 2(1), pp.85–92. Available at: </w:t>
      </w:r>
      <w:hyperlink r:id="rId26" w:history="1">
        <w:r>
          <w:rPr>
            <w:rStyle w:val="Hyperlink"/>
          </w:rPr>
          <w:t>https://doi.org/10.70267/j6t03t69</w:t>
        </w:r>
      </w:hyperlink>
      <w:r>
        <w:t xml:space="preserve">  </w:t>
      </w:r>
    </w:p>
    <w:p w14:paraId="7E57562F" w14:textId="77777777" w:rsidR="00ED320E" w:rsidRDefault="00ED320E">
      <w:pPr>
        <w:rPr>
          <w:b/>
          <w:bCs/>
        </w:rPr>
      </w:pPr>
    </w:p>
    <w:p w14:paraId="77924228" w14:textId="77777777" w:rsidR="00ED320E" w:rsidRDefault="00ED320E"/>
    <w:sectPr w:rsidR="00ED320E">
      <w:headerReference w:type="default" r:id="rId27"/>
      <w:footerReference w:type="default" r:id="rId28"/>
      <w:pgSz w:w="11906" w:h="16838"/>
      <w:pgMar w:top="1440" w:right="1440" w:bottom="1440" w:left="1440" w:header="708" w:footer="708"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C05AE7" w14:textId="77777777" w:rsidR="00B713EB" w:rsidRDefault="00B713EB">
      <w:pPr>
        <w:spacing w:line="240" w:lineRule="auto"/>
      </w:pPr>
      <w:r>
        <w:separator/>
      </w:r>
    </w:p>
  </w:endnote>
  <w:endnote w:type="continuationSeparator" w:id="0">
    <w:p w14:paraId="529416CD" w14:textId="77777777" w:rsidR="00B713EB" w:rsidRDefault="00B713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24283D" w14:textId="77777777" w:rsidR="00000000" w:rsidRDefault="00000000">
    <w:pPr>
      <w:pStyle w:val="Footer"/>
      <w:jc w:val="right"/>
    </w:pPr>
    <w:r>
      <w:fldChar w:fldCharType="begin"/>
    </w:r>
    <w:r>
      <w:instrText xml:space="preserve"> PAGE </w:instrText>
    </w:r>
    <w:r>
      <w:fldChar w:fldCharType="separate"/>
    </w:r>
    <w:r>
      <w:t>2</w:t>
    </w:r>
    <w:r>
      <w:fldChar w:fldCharType="end"/>
    </w:r>
  </w:p>
  <w:p w14:paraId="25288481"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F5718B" w14:textId="77777777" w:rsidR="00B713EB" w:rsidRDefault="00B713EB">
      <w:pPr>
        <w:spacing w:line="240" w:lineRule="auto"/>
      </w:pPr>
      <w:r>
        <w:rPr>
          <w:color w:val="000000"/>
        </w:rPr>
        <w:separator/>
      </w:r>
    </w:p>
  </w:footnote>
  <w:footnote w:type="continuationSeparator" w:id="0">
    <w:p w14:paraId="75C589FD" w14:textId="77777777" w:rsidR="00B713EB" w:rsidRDefault="00B713E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CBC44F" w14:textId="77777777" w:rsidR="00000000"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ED320E"/>
    <w:rsid w:val="000547B8"/>
    <w:rsid w:val="004F67EE"/>
    <w:rsid w:val="00B713EB"/>
    <w:rsid w:val="00ED320E"/>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C2E150"/>
  <w15:docId w15:val="{904BA887-DE7A-4FF0-B268-2C4A77871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Shruti"/>
        <w:kern w:val="3"/>
        <w:sz w:val="24"/>
        <w:szCs w:val="24"/>
        <w:lang w:val="en-IN" w:eastAsia="en-US" w:bidi="gu-IN"/>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360" w:lineRule="auto"/>
      <w:jc w:val="both"/>
    </w:pPr>
    <w:rPr>
      <w:rFonts w:ascii="Arial" w:eastAsia="SimSun" w:hAnsi="Arial" w:cs="Times New Roman"/>
      <w:szCs w:val="21"/>
      <w:lang w:val="en-GB" w:eastAsia="en-IN" w:bidi="bn-IN"/>
    </w:r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s="Shruti"/>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s="Shruti"/>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s="Shruti"/>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cs="Shruti"/>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s="Shruti"/>
      <w:color w:val="0F4761"/>
    </w:rPr>
  </w:style>
  <w:style w:type="paragraph" w:styleId="Heading6">
    <w:name w:val="heading 6"/>
    <w:basedOn w:val="Normal"/>
    <w:next w:val="Normal"/>
    <w:uiPriority w:val="9"/>
    <w:semiHidden/>
    <w:unhideWhenUsed/>
    <w:qFormat/>
    <w:pPr>
      <w:keepNext/>
      <w:keepLines/>
      <w:spacing w:before="40"/>
      <w:outlineLvl w:val="5"/>
    </w:pPr>
    <w:rPr>
      <w:rFonts w:eastAsia="Times New Roman" w:cs="Shruti"/>
      <w:i/>
      <w:iCs/>
      <w:color w:val="595959"/>
    </w:rPr>
  </w:style>
  <w:style w:type="paragraph" w:styleId="Heading7">
    <w:name w:val="heading 7"/>
    <w:basedOn w:val="Normal"/>
    <w:next w:val="Normal"/>
    <w:pPr>
      <w:keepNext/>
      <w:keepLines/>
      <w:spacing w:before="40"/>
      <w:outlineLvl w:val="6"/>
    </w:pPr>
    <w:rPr>
      <w:rFonts w:eastAsia="Times New Roman" w:cs="Shruti"/>
      <w:color w:val="595959"/>
    </w:rPr>
  </w:style>
  <w:style w:type="paragraph" w:styleId="Heading8">
    <w:name w:val="heading 8"/>
    <w:basedOn w:val="Normal"/>
    <w:next w:val="Normal"/>
    <w:pPr>
      <w:keepNext/>
      <w:keepLines/>
      <w:outlineLvl w:val="7"/>
    </w:pPr>
    <w:rPr>
      <w:rFonts w:eastAsia="Times New Roman" w:cs="Shruti"/>
      <w:i/>
      <w:iCs/>
      <w:color w:val="272727"/>
    </w:rPr>
  </w:style>
  <w:style w:type="paragraph" w:styleId="Heading9">
    <w:name w:val="heading 9"/>
    <w:basedOn w:val="Normal"/>
    <w:next w:val="Normal"/>
    <w:pPr>
      <w:keepNext/>
      <w:keepLines/>
      <w:outlineLvl w:val="8"/>
    </w:pPr>
    <w:rPr>
      <w:rFonts w:eastAsia="Times New Roman" w:cs="Shrut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Shruti"/>
      <w:color w:val="0F4761"/>
      <w:sz w:val="40"/>
      <w:szCs w:val="40"/>
    </w:rPr>
  </w:style>
  <w:style w:type="character" w:customStyle="1" w:styleId="Heading2Char">
    <w:name w:val="Heading 2 Char"/>
    <w:basedOn w:val="DefaultParagraphFont"/>
    <w:rPr>
      <w:rFonts w:ascii="Aptos Display" w:eastAsia="Times New Roman" w:hAnsi="Aptos Display" w:cs="Shruti"/>
      <w:color w:val="0F4761"/>
      <w:sz w:val="32"/>
      <w:szCs w:val="32"/>
    </w:rPr>
  </w:style>
  <w:style w:type="character" w:customStyle="1" w:styleId="Heading3Char">
    <w:name w:val="Heading 3 Char"/>
    <w:basedOn w:val="DefaultParagraphFont"/>
    <w:rPr>
      <w:rFonts w:eastAsia="Times New Roman" w:cs="Shruti"/>
      <w:color w:val="0F4761"/>
      <w:sz w:val="28"/>
      <w:szCs w:val="28"/>
    </w:rPr>
  </w:style>
  <w:style w:type="character" w:customStyle="1" w:styleId="Heading4Char">
    <w:name w:val="Heading 4 Char"/>
    <w:basedOn w:val="DefaultParagraphFont"/>
    <w:rPr>
      <w:rFonts w:eastAsia="Times New Roman" w:cs="Shruti"/>
      <w:i/>
      <w:iCs/>
      <w:color w:val="0F4761"/>
    </w:rPr>
  </w:style>
  <w:style w:type="character" w:customStyle="1" w:styleId="Heading5Char">
    <w:name w:val="Heading 5 Char"/>
    <w:basedOn w:val="DefaultParagraphFont"/>
    <w:rPr>
      <w:rFonts w:eastAsia="Times New Roman" w:cs="Shruti"/>
      <w:color w:val="0F4761"/>
    </w:rPr>
  </w:style>
  <w:style w:type="character" w:customStyle="1" w:styleId="Heading6Char">
    <w:name w:val="Heading 6 Char"/>
    <w:basedOn w:val="DefaultParagraphFont"/>
    <w:rPr>
      <w:rFonts w:eastAsia="Times New Roman" w:cs="Shruti"/>
      <w:i/>
      <w:iCs/>
      <w:color w:val="595959"/>
    </w:rPr>
  </w:style>
  <w:style w:type="character" w:customStyle="1" w:styleId="Heading7Char">
    <w:name w:val="Heading 7 Char"/>
    <w:basedOn w:val="DefaultParagraphFont"/>
    <w:rPr>
      <w:rFonts w:eastAsia="Times New Roman" w:cs="Shruti"/>
      <w:color w:val="595959"/>
    </w:rPr>
  </w:style>
  <w:style w:type="character" w:customStyle="1" w:styleId="Heading8Char">
    <w:name w:val="Heading 8 Char"/>
    <w:basedOn w:val="DefaultParagraphFont"/>
    <w:rPr>
      <w:rFonts w:eastAsia="Times New Roman" w:cs="Shruti"/>
      <w:i/>
      <w:iCs/>
      <w:color w:val="272727"/>
    </w:rPr>
  </w:style>
  <w:style w:type="character" w:customStyle="1" w:styleId="Heading9Char">
    <w:name w:val="Heading 9 Char"/>
    <w:basedOn w:val="DefaultParagraphFont"/>
    <w:rPr>
      <w:rFonts w:eastAsia="Times New Roman" w:cs="Shruti"/>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cs="Shruti"/>
      <w:spacing w:val="-10"/>
      <w:sz w:val="56"/>
      <w:szCs w:val="56"/>
    </w:rPr>
  </w:style>
  <w:style w:type="character" w:customStyle="1" w:styleId="TitleChar">
    <w:name w:val="Title Char"/>
    <w:basedOn w:val="DefaultParagraphFont"/>
    <w:rPr>
      <w:rFonts w:ascii="Aptos Display" w:eastAsia="Times New Roman" w:hAnsi="Aptos Display" w:cs="Shruti"/>
      <w:spacing w:val="-10"/>
      <w:kern w:val="3"/>
      <w:sz w:val="56"/>
      <w:szCs w:val="56"/>
    </w:rPr>
  </w:style>
  <w:style w:type="paragraph" w:styleId="Subtitle">
    <w:name w:val="Subtitle"/>
    <w:basedOn w:val="Normal"/>
    <w:next w:val="Normal"/>
    <w:uiPriority w:val="11"/>
    <w:qFormat/>
    <w:rPr>
      <w:rFonts w:eastAsia="Times New Roman" w:cs="Shruti"/>
      <w:color w:val="595959"/>
      <w:spacing w:val="15"/>
      <w:sz w:val="28"/>
      <w:szCs w:val="28"/>
    </w:rPr>
  </w:style>
  <w:style w:type="character" w:customStyle="1" w:styleId="SubtitleChar">
    <w:name w:val="Subtitle Char"/>
    <w:basedOn w:val="DefaultParagraphFont"/>
    <w:rPr>
      <w:rFonts w:eastAsia="Times New Roman" w:cs="Shruti"/>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rPr>
      <w:rFonts w:ascii="Arial" w:eastAsia="SimSun" w:hAnsi="Arial" w:cs="Times New Roman"/>
      <w:szCs w:val="21"/>
      <w:lang w:val="en-GB" w:eastAsia="en-IN" w:bidi="bn-IN"/>
    </w:rPr>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rPr>
      <w:rFonts w:ascii="Arial" w:eastAsia="SimSun" w:hAnsi="Arial" w:cs="Times New Roman"/>
      <w:szCs w:val="21"/>
      <w:lang w:val="en-GB" w:eastAsia="en-IN"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deloitte.com/uk/en/services/consulting/blogs/2025/employee-value-proposition-creating-a-human-centred-and-experience-driven-organisation.html" TargetMode="External"/><Relationship Id="rId13" Type="http://schemas.openxmlformats.org/officeDocument/2006/relationships/hyperlink" Target="https://journalmodernpm.com/manuscript/index.php/jmpm/article/view/642" TargetMode="External"/><Relationship Id="rId18" Type="http://schemas.openxmlformats.org/officeDocument/2006/relationships/hyperlink" Target="https://doi.org/10.3390/su15054026" TargetMode="External"/><Relationship Id="rId26" Type="http://schemas.openxmlformats.org/officeDocument/2006/relationships/hyperlink" Target="https://doi.org/10.70267/j6t03t69" TargetMode="External"/><Relationship Id="rId3" Type="http://schemas.openxmlformats.org/officeDocument/2006/relationships/webSettings" Target="webSettings.xml"/><Relationship Id="rId21" Type="http://schemas.openxmlformats.org/officeDocument/2006/relationships/hyperlink" Target="https://www.who.int/health-topics/health-workforce" TargetMode="External"/><Relationship Id="rId7" Type="http://schemas.openxmlformats.org/officeDocument/2006/relationships/hyperlink" Target="https://www.ibm.com/think/topics/ai-in-the-workplace" TargetMode="External"/><Relationship Id="rId12" Type="http://schemas.openxmlformats.org/officeDocument/2006/relationships/hyperlink" Target="https://doi.org/10.35408/comuybd.1342408" TargetMode="External"/><Relationship Id="rId17" Type="http://schemas.openxmlformats.org/officeDocument/2006/relationships/hyperlink" Target="https://doi.org/10.2139/ssrn.4644051" TargetMode="External"/><Relationship Id="rId25" Type="http://schemas.openxmlformats.org/officeDocument/2006/relationships/hyperlink" Target="https://www.wto.org/english/news_e/news25_e/stat_07oct25_e.htm" TargetMode="External"/><Relationship Id="rId2" Type="http://schemas.openxmlformats.org/officeDocument/2006/relationships/settings" Target="settings.xml"/><Relationship Id="rId16" Type="http://schemas.openxmlformats.org/officeDocument/2006/relationships/hyperlink" Target="https://doi.org/10.1080/00207543.2021.1956675" TargetMode="External"/><Relationship Id="rId20" Type="http://schemas.openxmlformats.org/officeDocument/2006/relationships/hyperlink" Target="https://doi.org/10.58970/IJSB.2209"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3390/su13147790" TargetMode="External"/><Relationship Id="rId24" Type="http://schemas.openxmlformats.org/officeDocument/2006/relationships/hyperlink" Target="https://www.who.int/news-room/fact-sheets/detail/ageing-and-health" TargetMode="External"/><Relationship Id="rId5" Type="http://schemas.openxmlformats.org/officeDocument/2006/relationships/endnotes" Target="endnotes.xml"/><Relationship Id="rId15" Type="http://schemas.openxmlformats.org/officeDocument/2006/relationships/hyperlink" Target="https://www.researchgate.net/profile/Manoj-Parasa-2/publication/396989896_Optimizing_Career_Mobility_and_Development_Using_AI-Powered_Path_Mapping_Tools_Within_SAP_Success_Factors_Career_Development_Module/links/6901061ca2b691617b6754dc/Optimizing-Career-Mobility-and-Development-Using-AI-Powered-Path-Mapping-Tools-Within-SAP-Success-Factors-Career-Development-Module.pdf" TargetMode="External"/><Relationship Id="rId23" Type="http://schemas.openxmlformats.org/officeDocument/2006/relationships/hyperlink" Target="https://www.weforum.org/publications/the-future-of-jobs-report-2023/digest/" TargetMode="External"/><Relationship Id="rId28" Type="http://schemas.openxmlformats.org/officeDocument/2006/relationships/footer" Target="footer1.xml"/><Relationship Id="rId10" Type="http://schemas.openxmlformats.org/officeDocument/2006/relationships/hyperlink" Target="https://www.ilo.org/resource/news/number-youth-not-employment-education-or-training-neet-cause-concern" TargetMode="External"/><Relationship Id="rId19" Type="http://schemas.openxmlformats.org/officeDocument/2006/relationships/hyperlink" Target="https://www.un.org/en/global-issues/migration" TargetMode="External"/><Relationship Id="rId4" Type="http://schemas.openxmlformats.org/officeDocument/2006/relationships/footnotes" Target="footnotes.xml"/><Relationship Id="rId9" Type="http://schemas.openxmlformats.org/officeDocument/2006/relationships/hyperlink" Target="https://www.ibm.com/training/credentials/badges" TargetMode="External"/><Relationship Id="rId14" Type="http://schemas.openxmlformats.org/officeDocument/2006/relationships/hyperlink" Target="https://doi.org/10.1177/23970022241231538" TargetMode="External"/><Relationship Id="rId22" Type="http://schemas.openxmlformats.org/officeDocument/2006/relationships/hyperlink" Target="https://www.weforum.org/publications/global-gender-gap-report-2023/in-full/gender-gaps-in-the-workforce/" TargetMode="External"/><Relationship Id="rId27" Type="http://schemas.openxmlformats.org/officeDocument/2006/relationships/header" Target="header1.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3223</Words>
  <Characters>20617</Characters>
  <Application>Microsoft Office Word</Application>
  <DocSecurity>0</DocSecurity>
  <Lines>355</Lines>
  <Paragraphs>73</Paragraphs>
  <ScaleCrop>false</ScaleCrop>
  <Company/>
  <LinksUpToDate>false</LinksUpToDate>
  <CharactersWithSpaces>23812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Kush Jignesh Jani (2504341)</dc:creator>
  <dc:description/>
  <cp:lastModifiedBy>Kush Jignesh Jani (2504341)</cp:lastModifiedBy>
  <cp:revision>2</cp:revision>
  <dcterms:created xsi:type="dcterms:W3CDTF">2025-11-13T09:32:00Z</dcterms:created>
  <dcterms:modified xsi:type="dcterms:W3CDTF">2025-11-13T09:32:00Z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d8947efa-6e7e-4824-8354-4e8831f7e362</vt:lpwstr>
  </property>
</Properties>
</file>