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CB282" w14:textId="77777777" w:rsidR="00385FDE" w:rsidRDefault="00000000">
      <w:pPr>
        <w:spacing w:line="360" w:lineRule="auto"/>
        <w:ind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B5CB283" w14:textId="77777777" w:rsidR="00385FDE" w:rsidRDefault="00385FDE">
      <w:pPr>
        <w:spacing w:line="360" w:lineRule="auto"/>
        <w:ind w:hanging="2"/>
        <w:rPr>
          <w:rFonts w:ascii="Times New Roman" w:eastAsia="Times New Roman" w:hAnsi="Times New Roman" w:cs="Times New Roman"/>
          <w:sz w:val="24"/>
          <w:szCs w:val="24"/>
        </w:rPr>
      </w:pPr>
    </w:p>
    <w:p w14:paraId="7B5CB284" w14:textId="77777777" w:rsidR="00385FDE" w:rsidRDefault="00385FDE">
      <w:pPr>
        <w:spacing w:line="360" w:lineRule="auto"/>
        <w:ind w:hanging="2"/>
        <w:rPr>
          <w:rFonts w:ascii="Times New Roman" w:eastAsia="Times New Roman" w:hAnsi="Times New Roman" w:cs="Times New Roman"/>
          <w:sz w:val="24"/>
          <w:szCs w:val="24"/>
        </w:rPr>
      </w:pPr>
    </w:p>
    <w:p w14:paraId="7B5CB285" w14:textId="77777777" w:rsidR="00385FDE" w:rsidRDefault="00385FDE">
      <w:pPr>
        <w:spacing w:line="360" w:lineRule="auto"/>
        <w:ind w:hanging="2"/>
        <w:rPr>
          <w:rFonts w:ascii="Times New Roman" w:eastAsia="Times New Roman" w:hAnsi="Times New Roman" w:cs="Times New Roman"/>
          <w:sz w:val="24"/>
          <w:szCs w:val="24"/>
        </w:rPr>
      </w:pPr>
    </w:p>
    <w:p w14:paraId="7B5CB286" w14:textId="77777777" w:rsidR="00385FDE" w:rsidRDefault="00385FDE">
      <w:pPr>
        <w:spacing w:line="360" w:lineRule="auto"/>
        <w:ind w:hanging="2"/>
        <w:rPr>
          <w:rFonts w:ascii="Times New Roman" w:eastAsia="Times New Roman" w:hAnsi="Times New Roman" w:cs="Times New Roman"/>
          <w:sz w:val="24"/>
          <w:szCs w:val="24"/>
        </w:rPr>
      </w:pPr>
    </w:p>
    <w:p w14:paraId="7B5CB287" w14:textId="77777777" w:rsidR="00385FDE" w:rsidRDefault="00385FDE">
      <w:pPr>
        <w:spacing w:line="360" w:lineRule="auto"/>
        <w:ind w:hanging="2"/>
        <w:rPr>
          <w:rFonts w:ascii="Times New Roman" w:eastAsia="Times New Roman" w:hAnsi="Times New Roman" w:cs="Times New Roman"/>
          <w:sz w:val="24"/>
          <w:szCs w:val="24"/>
        </w:rPr>
      </w:pPr>
    </w:p>
    <w:p w14:paraId="7B5CB288" w14:textId="77777777" w:rsidR="00385FDE" w:rsidRDefault="00385FDE">
      <w:pPr>
        <w:spacing w:line="360" w:lineRule="auto"/>
        <w:ind w:hanging="2"/>
        <w:rPr>
          <w:rFonts w:ascii="Times New Roman" w:eastAsia="Times New Roman" w:hAnsi="Times New Roman" w:cs="Times New Roman"/>
          <w:sz w:val="24"/>
          <w:szCs w:val="24"/>
        </w:rPr>
      </w:pPr>
    </w:p>
    <w:p w14:paraId="7B5CB289" w14:textId="5AD1BAEF" w:rsidR="00385FDE" w:rsidRPr="002303FC" w:rsidRDefault="002303FC">
      <w:pPr>
        <w:spacing w:line="360" w:lineRule="auto"/>
        <w:ind w:hanging="2"/>
        <w:jc w:val="center"/>
        <w:rPr>
          <w:rFonts w:ascii="Times New Roman" w:eastAsia="Times New Roman" w:hAnsi="Times New Roman" w:cs="Times New Roman"/>
          <w:b/>
          <w:bCs/>
          <w:sz w:val="24"/>
          <w:szCs w:val="24"/>
        </w:rPr>
      </w:pPr>
      <w:r w:rsidRPr="002303FC">
        <w:rPr>
          <w:rFonts w:ascii="Times New Roman" w:eastAsia="Times New Roman" w:hAnsi="Times New Roman" w:cs="Times New Roman"/>
          <w:b/>
          <w:bCs/>
          <w:sz w:val="24"/>
          <w:szCs w:val="24"/>
        </w:rPr>
        <w:t>Introduction to Health and Social Care</w:t>
      </w:r>
      <w:r>
        <w:rPr>
          <w:rFonts w:ascii="Times New Roman" w:eastAsia="Times New Roman" w:hAnsi="Times New Roman" w:cs="Times New Roman"/>
          <w:b/>
          <w:bCs/>
          <w:sz w:val="24"/>
          <w:szCs w:val="24"/>
        </w:rPr>
        <w:t xml:space="preserve">: </w:t>
      </w:r>
      <w:r w:rsidR="00000000" w:rsidRPr="002303FC">
        <w:rPr>
          <w:rFonts w:ascii="Times New Roman" w:eastAsia="Times New Roman" w:hAnsi="Times New Roman" w:cs="Times New Roman"/>
          <w:b/>
          <w:bCs/>
          <w:sz w:val="24"/>
          <w:szCs w:val="24"/>
        </w:rPr>
        <w:t>Written Assignment</w:t>
      </w:r>
      <w:r w:rsidRPr="002303FC">
        <w:rPr>
          <w:rFonts w:ascii="Times New Roman" w:eastAsia="Times New Roman" w:hAnsi="Times New Roman" w:cs="Times New Roman"/>
          <w:b/>
          <w:bCs/>
          <w:sz w:val="24"/>
          <w:szCs w:val="24"/>
        </w:rPr>
        <w:br/>
      </w:r>
      <w:r w:rsidR="00901331" w:rsidRPr="00901331">
        <w:rPr>
          <w:rFonts w:ascii="Times New Roman" w:eastAsia="Times New Roman" w:hAnsi="Times New Roman" w:cs="Times New Roman"/>
          <w:sz w:val="24"/>
          <w:szCs w:val="24"/>
        </w:rPr>
        <w:t>Student Number</w:t>
      </w:r>
      <w:r w:rsidR="00901331">
        <w:rPr>
          <w:rFonts w:ascii="Times New Roman" w:eastAsia="Times New Roman" w:hAnsi="Times New Roman" w:cs="Times New Roman"/>
          <w:sz w:val="24"/>
          <w:szCs w:val="24"/>
        </w:rPr>
        <w:t xml:space="preserve">: </w:t>
      </w:r>
    </w:p>
    <w:p w14:paraId="2E9FDE9A" w14:textId="45227CE6" w:rsidR="002303FC" w:rsidRDefault="002303FC">
      <w:pPr>
        <w:spacing w:line="360" w:lineRule="auto"/>
        <w:ind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Module code: </w:t>
      </w:r>
      <w:r w:rsidRPr="002303FC">
        <w:rPr>
          <w:rFonts w:ascii="Times New Roman" w:eastAsia="Times New Roman" w:hAnsi="Times New Roman" w:cs="Times New Roman"/>
          <w:sz w:val="24"/>
          <w:szCs w:val="24"/>
        </w:rPr>
        <w:t>LCHS4003</w:t>
      </w:r>
    </w:p>
    <w:p w14:paraId="7B5CB28B" w14:textId="462B8D91" w:rsidR="00385FDE" w:rsidRDefault="00000000">
      <w:pPr>
        <w:spacing w:line="360" w:lineRule="auto"/>
        <w:ind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Module Leader</w:t>
      </w:r>
      <w:r w:rsidR="002303FC">
        <w:rPr>
          <w:rFonts w:ascii="Times New Roman" w:eastAsia="Times New Roman" w:hAnsi="Times New Roman" w:cs="Times New Roman"/>
          <w:sz w:val="24"/>
          <w:szCs w:val="24"/>
        </w:rPr>
        <w:t>:</w:t>
      </w:r>
    </w:p>
    <w:p w14:paraId="7B5CB28C" w14:textId="77777777" w:rsidR="00385FDE" w:rsidRDefault="00000000">
      <w:pPr>
        <w:spacing w:line="360" w:lineRule="auto"/>
        <w:ind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Course</w:t>
      </w:r>
    </w:p>
    <w:p w14:paraId="7B5CB28D" w14:textId="0391F96A" w:rsidR="00385FDE" w:rsidRDefault="00901331">
      <w:pPr>
        <w:spacing w:line="360" w:lineRule="auto"/>
        <w:ind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UW</w:t>
      </w:r>
      <w:r w:rsidR="00986FB4">
        <w:rPr>
          <w:rFonts w:ascii="Times New Roman" w:eastAsia="Times New Roman" w:hAnsi="Times New Roman" w:cs="Times New Roman"/>
          <w:sz w:val="24"/>
          <w:szCs w:val="24"/>
        </w:rPr>
        <w:t>TSD</w:t>
      </w:r>
    </w:p>
    <w:p w14:paraId="7B5CB28E" w14:textId="613B514A" w:rsidR="00385FDE" w:rsidRDefault="00901331">
      <w:pPr>
        <w:spacing w:line="360" w:lineRule="auto"/>
        <w:ind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 April 2026</w:t>
      </w:r>
    </w:p>
    <w:p w14:paraId="7B5CB28F" w14:textId="77777777" w:rsidR="00385FDE" w:rsidRDefault="00385FDE">
      <w:pPr>
        <w:spacing w:line="360" w:lineRule="auto"/>
        <w:ind w:hanging="2"/>
        <w:rPr>
          <w:rFonts w:ascii="Times New Roman" w:eastAsia="Times New Roman" w:hAnsi="Times New Roman" w:cs="Times New Roman"/>
          <w:sz w:val="24"/>
          <w:szCs w:val="24"/>
        </w:rPr>
      </w:pPr>
    </w:p>
    <w:p w14:paraId="7B5CB290" w14:textId="77777777" w:rsidR="00385FDE" w:rsidRDefault="00385FDE">
      <w:pPr>
        <w:spacing w:line="360" w:lineRule="auto"/>
        <w:ind w:hanging="2"/>
        <w:rPr>
          <w:rFonts w:ascii="Times New Roman" w:eastAsia="Times New Roman" w:hAnsi="Times New Roman" w:cs="Times New Roman"/>
          <w:sz w:val="24"/>
          <w:szCs w:val="24"/>
        </w:rPr>
      </w:pPr>
    </w:p>
    <w:p w14:paraId="7B5CB291" w14:textId="77777777" w:rsidR="00385FDE" w:rsidRDefault="00385FDE">
      <w:pPr>
        <w:spacing w:line="360" w:lineRule="auto"/>
        <w:ind w:hanging="2"/>
        <w:rPr>
          <w:rFonts w:ascii="Times New Roman" w:eastAsia="Times New Roman" w:hAnsi="Times New Roman" w:cs="Times New Roman"/>
          <w:sz w:val="24"/>
          <w:szCs w:val="24"/>
        </w:rPr>
      </w:pPr>
    </w:p>
    <w:p w14:paraId="7B5CB292" w14:textId="77777777" w:rsidR="00385FDE" w:rsidRDefault="00385FDE">
      <w:pPr>
        <w:spacing w:line="360" w:lineRule="auto"/>
        <w:ind w:hanging="2"/>
        <w:rPr>
          <w:rFonts w:ascii="Times New Roman" w:eastAsia="Times New Roman" w:hAnsi="Times New Roman" w:cs="Times New Roman"/>
          <w:sz w:val="24"/>
          <w:szCs w:val="24"/>
        </w:rPr>
      </w:pPr>
    </w:p>
    <w:p w14:paraId="7B5CB293" w14:textId="77777777" w:rsidR="00385FDE" w:rsidRDefault="00385FDE">
      <w:pPr>
        <w:spacing w:line="360" w:lineRule="auto"/>
        <w:ind w:hanging="2"/>
        <w:rPr>
          <w:rFonts w:ascii="Times New Roman" w:eastAsia="Times New Roman" w:hAnsi="Times New Roman" w:cs="Times New Roman"/>
          <w:sz w:val="24"/>
          <w:szCs w:val="24"/>
        </w:rPr>
      </w:pPr>
    </w:p>
    <w:p w14:paraId="7B5CB294" w14:textId="77777777" w:rsidR="00385FDE" w:rsidRDefault="00385FDE">
      <w:pPr>
        <w:spacing w:line="360" w:lineRule="auto"/>
        <w:ind w:firstLine="0"/>
        <w:rPr>
          <w:rFonts w:ascii="Times New Roman" w:eastAsia="Times New Roman" w:hAnsi="Times New Roman" w:cs="Times New Roman"/>
          <w:sz w:val="24"/>
          <w:szCs w:val="24"/>
        </w:rPr>
      </w:pPr>
    </w:p>
    <w:p w14:paraId="7B5CB295" w14:textId="77777777" w:rsidR="00385FDE" w:rsidRDefault="00385FDE">
      <w:pPr>
        <w:ind w:firstLine="0"/>
        <w:jc w:val="both"/>
        <w:rPr>
          <w:rFonts w:ascii="Times New Roman" w:eastAsia="Times New Roman" w:hAnsi="Times New Roman" w:cs="Times New Roman"/>
          <w:b/>
          <w:bCs/>
          <w:sz w:val="24"/>
          <w:szCs w:val="24"/>
        </w:rPr>
      </w:pPr>
    </w:p>
    <w:p w14:paraId="7B5CB296" w14:textId="77777777" w:rsidR="00385FDE" w:rsidRDefault="00000000">
      <w:pPr>
        <w:spacing w:after="0" w:line="480" w:lineRule="auto"/>
        <w:ind w:left="480" w:hanging="48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Introduction</w:t>
      </w:r>
    </w:p>
    <w:p w14:paraId="7B5CB297" w14:textId="77777777" w:rsidR="00385FDE" w:rsidRDefault="00000000">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Good communication, administrative skills and inter-agency partnerships are important aspects of health and social care in the UK. They are critical in the care of at-risk people with complex needs. The experience of Mrs Mann, a 72-year-old woman recovering from hip surgery, illustrates problems in the provision of care including language barriers, poor documentation and an absence of effective communication that led to a delay in changing her medication. Not only can these issues endanger patient safety, but also expose the problems associated with integrated care (Anderson et al., 2020). In this paper, the significance of communication, administrative capacity and collaboration in the care of Mrs Mann will be discussed. It will look at the ways in which communication can be adjusted to suit her language barriers, impact of legislation and ways of enhancing multi-agency associations. The discussion will demonstrate how these issues interact to deliver safe, person-centred and lawful care.</w:t>
      </w:r>
    </w:p>
    <w:p w14:paraId="7B5CB298" w14:textId="77777777" w:rsidR="00385FDE" w:rsidRDefault="00000000">
      <w:pPr>
        <w:spacing w:after="0"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Importance of Effective Communication</w:t>
      </w:r>
    </w:p>
    <w:p w14:paraId="7B5CB299" w14:textId="77777777" w:rsidR="00385FDE" w:rsidRDefault="00000000">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Safety and person-centred care delivery depends on good communication, particularly in cases like those of Mrs Mann where there is a language barrier (Anderson et al., 2020). The consequences of poor communication are already evident as an adjustment in her medication has already been delayed due to poor communication (Redley et al., 2020). One of the essential elements is the customisation of communication to the needs of individuals (Anderson et al., 2020). Mrs Mann is not fluent in English and therefore health professionals must consider effective communication strategies which includes the use of professional interpreters, visual aids and plain language. Mrs Mann's daughter is currently interpreting but using family members as interpreters poses risks to confidentiality, accuracy and bias (Soled, 2020). So, it is advisable to use professional interpreters for clarity and ethical reasons. Ideally, the care team should use an </w:t>
      </w:r>
      <w:r>
        <w:rPr>
          <w:rFonts w:ascii="Times New Roman" w:eastAsia="Times New Roman" w:hAnsi="Times New Roman" w:cs="Times New Roman"/>
          <w:sz w:val="24"/>
          <w:szCs w:val="24"/>
        </w:rPr>
        <w:lastRenderedPageBreak/>
        <w:t>interpreter who understands Mrs Mann’s culture to enable them to offer a more nuanced viewpoint concerning her beliefs and concerns (Soled, 2020).  The Equality Act 2010 is important here, as it obligates health providers to make reasonable adjustments to prevent discrimination on the grounds of protected characteristics, such as race and language (Redley et al., 2020). Lack of appropriate communication support for Mrs Mann might constitute indirect discrimination, because it places her in a disadvantaged position compared to English speakers (Redley et al., 2020).</w:t>
      </w:r>
    </w:p>
    <w:p w14:paraId="7B5CB29A" w14:textId="77777777" w:rsidR="00385FDE" w:rsidRDefault="00000000">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case can be applied to the Shannon and Weaver Model of Communication (</w:t>
      </w:r>
      <w:proofErr w:type="spellStart"/>
      <w:r>
        <w:rPr>
          <w:rFonts w:ascii="Times New Roman" w:eastAsia="Times New Roman" w:hAnsi="Times New Roman" w:cs="Times New Roman"/>
          <w:sz w:val="24"/>
          <w:szCs w:val="24"/>
        </w:rPr>
        <w:t>Alboksmaty</w:t>
      </w:r>
      <w:proofErr w:type="spellEnd"/>
      <w:r>
        <w:rPr>
          <w:rFonts w:ascii="Times New Roman" w:eastAsia="Times New Roman" w:hAnsi="Times New Roman" w:cs="Times New Roman"/>
          <w:sz w:val="24"/>
          <w:szCs w:val="24"/>
        </w:rPr>
        <w:t xml:space="preserve"> et al., 2026). This highlights the flow of information between source and receiver, as well as the threat of noise disruption (</w:t>
      </w:r>
      <w:proofErr w:type="spellStart"/>
      <w:r>
        <w:rPr>
          <w:rFonts w:ascii="Times New Roman" w:eastAsia="Times New Roman" w:hAnsi="Times New Roman" w:cs="Times New Roman"/>
          <w:sz w:val="24"/>
          <w:szCs w:val="24"/>
        </w:rPr>
        <w:t>Alboksmaty</w:t>
      </w:r>
      <w:proofErr w:type="spellEnd"/>
      <w:r>
        <w:rPr>
          <w:rFonts w:ascii="Times New Roman" w:eastAsia="Times New Roman" w:hAnsi="Times New Roman" w:cs="Times New Roman"/>
          <w:sz w:val="24"/>
          <w:szCs w:val="24"/>
        </w:rPr>
        <w:t xml:space="preserve"> et al., 2026). Language barriers and communication variations in documents are some of the examples of noise in the case of Mrs Mann, and they may cause a break in the communication process. As an example, when the care workers </w:t>
      </w:r>
      <w:proofErr w:type="spellStart"/>
      <w:r>
        <w:rPr>
          <w:rFonts w:ascii="Times New Roman" w:eastAsia="Times New Roman" w:hAnsi="Times New Roman" w:cs="Times New Roman"/>
          <w:sz w:val="24"/>
          <w:szCs w:val="24"/>
        </w:rPr>
        <w:t>misrecord</w:t>
      </w:r>
      <w:proofErr w:type="spellEnd"/>
      <w:r>
        <w:rPr>
          <w:rFonts w:ascii="Times New Roman" w:eastAsia="Times New Roman" w:hAnsi="Times New Roman" w:cs="Times New Roman"/>
          <w:sz w:val="24"/>
          <w:szCs w:val="24"/>
        </w:rPr>
        <w:t xml:space="preserve"> or miscommunicate medication orders, this can result in clinical errors, including the delayed medication change (Stephen et al., 2024). Listening, understanding and cultural awareness also constitute good communication (Anderson et al., 2020). Health-care professionals should be culturally sensitive, particularly when they are attending to individuals of diverse origins (Shamsi et al., 2020). Understanding and accommodating Mrs Mann’s cultural and language needs can build rapport and engagement, both vital to rehabilitation. Practitioners also need to be aware of how to communicate with the patient’s family in a way that does not breach confidentiality. Mrs Mann's daughter is a supportive family member, but the health care team needs to ensure that communication with her complies with consent and confidentiality principles. This means ensuring that Mrs Mann’s has consented to any form of information sharing between the healthcare team and her family members (Francis, 2020).</w:t>
      </w:r>
    </w:p>
    <w:p w14:paraId="7B5CB29B" w14:textId="77777777" w:rsidR="00385FDE" w:rsidRDefault="00000000">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summary, successful communication with Mrs Mann must be systematic, inclusive and legal. Breaking language barriers, adhering to communication models, and legal regulations such as the Equality Act 2010 are all crucial to prevent additional errors and deliver safe care.</w:t>
      </w:r>
    </w:p>
    <w:p w14:paraId="7B5CB29C" w14:textId="77777777" w:rsidR="00385FDE" w:rsidRDefault="00000000">
      <w:pPr>
        <w:spacing w:after="0"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Importance of Administrative Skills </w:t>
      </w:r>
    </w:p>
    <w:p w14:paraId="7B5CB29D" w14:textId="77777777" w:rsidR="00385FDE" w:rsidRDefault="00000000">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Health and social care rely heavily on administrative skills as a means of ensuring safety of care, responsibility and continuity of care. Good clinical records are also a critical responsibility of the entire practice team in the case of Mrs Mann, especially in providing safe and patient-centred care (Downey, 2024). Nevertheless, the problem of missed communication and improper documentation prove the consequences of a lack of administrative skills. Good documentation implies that the latest and correct information is available to all care team members (Taylor, 2019). It is particularly important in multi-disciplinary care, where various professionals exchange information to inform care (Downey, 2024). Inadequate record-keeping may result in medication errors, gaps in care or missed opportunities for intervention (NMC, 2018). This could have a negative impact on her care outcome and even prompt fitness to practice proceedings. The team could benefit from the Data Protection Act 2018, which offers guidance on the collection, storage and sharing of personal information (Spencer and Patel, 2020). Mrs Mann’s health information must be secured and only the relevant information is exchanged among the professionals providing care to her. This Act contains data minimisation, accuracy, and legal processing guidelines, for instance, care records should be current and accurate to avoid errors like having medication being switched too late (Francis, 2020).</w:t>
      </w:r>
    </w:p>
    <w:p w14:paraId="7B5CB29E" w14:textId="77777777" w:rsidR="00385FDE" w:rsidRDefault="00000000">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Information sharing in health and social care is also regulated by the Caldicott Principles, which highlights the need for information to be shared only when necessary (Dickerson, 2022). In the case of Mrs Mann, the domiciliary care agency, GP and the physiotherapist need to share </w:t>
      </w:r>
      <w:r>
        <w:rPr>
          <w:rFonts w:ascii="Times New Roman" w:eastAsia="Times New Roman" w:hAnsi="Times New Roman" w:cs="Times New Roman"/>
          <w:sz w:val="24"/>
          <w:szCs w:val="24"/>
        </w:rPr>
        <w:lastRenderedPageBreak/>
        <w:t xml:space="preserve">information, but should be done in a way that does not infringe her privacy. Administrative competence also means clear, legible and timely documentation. The NMC (2018) standards of practice states that documentation should be accurate, consistent and written as timely as possible following care. The failure to keep a consistent record in Mrs Mann suggests that these professional standards were not being realised, and there was a risk of harm. Moreover, policies of organisations, such as the Care Act 2014, stress the importance of safeguarding and accountability in care. Documentation is part of safeguarding as it enables risk assessment and such incidents are investigated and managed (Taylor, 2019). Technology can also aid administrative </w:t>
      </w:r>
      <w:proofErr w:type="gramStart"/>
      <w:r>
        <w:rPr>
          <w:rFonts w:ascii="Times New Roman" w:eastAsia="Times New Roman" w:hAnsi="Times New Roman" w:cs="Times New Roman"/>
          <w:sz w:val="24"/>
          <w:szCs w:val="24"/>
        </w:rPr>
        <w:t>tasks, but</w:t>
      </w:r>
      <w:proofErr w:type="gramEnd"/>
      <w:r>
        <w:rPr>
          <w:rFonts w:ascii="Times New Roman" w:eastAsia="Times New Roman" w:hAnsi="Times New Roman" w:cs="Times New Roman"/>
          <w:sz w:val="24"/>
          <w:szCs w:val="24"/>
        </w:rPr>
        <w:t xml:space="preserve"> must be used properly. Digital medical records may help with enhancing access and reducing mistakes, yet, when used improperly, or when personnel are not trained to use it properly, it can impact care quality (Dickerson, 2022). Generally, the administrative skills are important in offering effective and safe care to Mrs Mann. The adherence to the legislation, such as the Data Protection Act 2018, professional standards and policies guarantees record keeping, confidentiality, and care delivery without mistakes.</w:t>
      </w:r>
    </w:p>
    <w:p w14:paraId="7B5CB29F" w14:textId="77777777" w:rsidR="00385FDE" w:rsidRDefault="00000000">
      <w:pPr>
        <w:spacing w:after="0"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Importance of Collaborative Working</w:t>
      </w:r>
    </w:p>
    <w:p w14:paraId="7B5CB2A0" w14:textId="77777777" w:rsidR="00385FDE" w:rsidRDefault="00000000">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Collaboration is a significant aspect of caring for Mrs Mann because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professionals are involved in her care such as home carers, general practitioner and physiotherapist. Teamwork is necessary to guarantee co-ordinated care, improved outcomes and provision that is devoid of mistakes and harm (</w:t>
      </w:r>
      <w:proofErr w:type="spellStart"/>
      <w:r>
        <w:rPr>
          <w:rFonts w:ascii="Times New Roman" w:eastAsia="Times New Roman" w:hAnsi="Times New Roman" w:cs="Times New Roman"/>
          <w:sz w:val="24"/>
          <w:szCs w:val="24"/>
        </w:rPr>
        <w:t>Sirimsi</w:t>
      </w:r>
      <w:proofErr w:type="spellEnd"/>
      <w:r>
        <w:rPr>
          <w:rFonts w:ascii="Times New Roman" w:eastAsia="Times New Roman" w:hAnsi="Times New Roman" w:cs="Times New Roman"/>
          <w:sz w:val="24"/>
          <w:szCs w:val="24"/>
        </w:rPr>
        <w:t xml:space="preserve"> et al., 2022). One of the most important methods to encourage collaborative working is effective communication (Rosen et al., 2019). Multidisciplinary meetings, care plans and documentation can give an overview of the condition of Mrs Mann and any updates to her care. Research has indicated that informal communication between these professionals may facilitate better role understanding and thus form a common interprofessional team instead of a </w:t>
      </w:r>
      <w:r>
        <w:rPr>
          <w:rFonts w:ascii="Times New Roman" w:eastAsia="Times New Roman" w:hAnsi="Times New Roman" w:cs="Times New Roman"/>
          <w:sz w:val="24"/>
          <w:szCs w:val="24"/>
        </w:rPr>
        <w:lastRenderedPageBreak/>
        <w:t xml:space="preserve">profession-based identity, which Mrs Mann is now in need of to have in her rehabilitative process (Dib and </w:t>
      </w:r>
      <w:proofErr w:type="spellStart"/>
      <w:r>
        <w:rPr>
          <w:rFonts w:ascii="Times New Roman" w:eastAsia="Times New Roman" w:hAnsi="Times New Roman" w:cs="Times New Roman"/>
          <w:sz w:val="24"/>
          <w:szCs w:val="24"/>
        </w:rPr>
        <w:t>Belrhiti</w:t>
      </w:r>
      <w:proofErr w:type="spellEnd"/>
      <w:r>
        <w:rPr>
          <w:rFonts w:ascii="Times New Roman" w:eastAsia="Times New Roman" w:hAnsi="Times New Roman" w:cs="Times New Roman"/>
          <w:sz w:val="24"/>
          <w:szCs w:val="24"/>
        </w:rPr>
        <w:t>, 2025). UK integrated care systems foster such collaboration through coordinated service provision across health and social care (NHS England, 2019). A further approach that can be used to support effective collaboration is role clarity. Defining roles to prevent gaps or overlap in Mrs Mann’s care is essential (Rosen et al., 2019). For instance, a physiotherapist works to rehabilitate, while care workers help clients with daily tasks. This will guarantee effective care, which is co-ordinated.</w:t>
      </w:r>
    </w:p>
    <w:p w14:paraId="7B5CB2A1" w14:textId="77777777" w:rsidR="00385FDE" w:rsidRDefault="00000000">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it has been established that multi-agency working may be faced with challenges (</w:t>
      </w:r>
      <w:proofErr w:type="spellStart"/>
      <w:r>
        <w:rPr>
          <w:rFonts w:ascii="Times New Roman" w:eastAsia="Times New Roman" w:hAnsi="Times New Roman" w:cs="Times New Roman"/>
          <w:sz w:val="24"/>
          <w:szCs w:val="24"/>
        </w:rPr>
        <w:t>Sirimsi</w:t>
      </w:r>
      <w:proofErr w:type="spellEnd"/>
      <w:r>
        <w:rPr>
          <w:rFonts w:ascii="Times New Roman" w:eastAsia="Times New Roman" w:hAnsi="Times New Roman" w:cs="Times New Roman"/>
          <w:sz w:val="24"/>
          <w:szCs w:val="24"/>
        </w:rPr>
        <w:t xml:space="preserve"> et al., 2022). Failure with communication such as in the case of Mrs Mann can greatly jeopardise patient safety (</w:t>
      </w:r>
      <w:proofErr w:type="spellStart"/>
      <w:r>
        <w:rPr>
          <w:rFonts w:ascii="Times New Roman" w:eastAsia="Times New Roman" w:hAnsi="Times New Roman" w:cs="Times New Roman"/>
          <w:sz w:val="24"/>
          <w:szCs w:val="24"/>
        </w:rPr>
        <w:t>Sirimsi</w:t>
      </w:r>
      <w:proofErr w:type="spellEnd"/>
      <w:r>
        <w:rPr>
          <w:rFonts w:ascii="Times New Roman" w:eastAsia="Times New Roman" w:hAnsi="Times New Roman" w:cs="Times New Roman"/>
          <w:sz w:val="24"/>
          <w:szCs w:val="24"/>
        </w:rPr>
        <w:t xml:space="preserve"> et al., 2022). Co-operation can be influenced by aspects, such as cultural and time pressures, or lack of integrated systems, which might have been the case (Dib and </w:t>
      </w:r>
      <w:proofErr w:type="spellStart"/>
      <w:r>
        <w:rPr>
          <w:rFonts w:ascii="Times New Roman" w:eastAsia="Times New Roman" w:hAnsi="Times New Roman" w:cs="Times New Roman"/>
          <w:sz w:val="24"/>
          <w:szCs w:val="24"/>
        </w:rPr>
        <w:t>Belrhiti</w:t>
      </w:r>
      <w:proofErr w:type="spellEnd"/>
      <w:r>
        <w:rPr>
          <w:rFonts w:ascii="Times New Roman" w:eastAsia="Times New Roman" w:hAnsi="Times New Roman" w:cs="Times New Roman"/>
          <w:sz w:val="24"/>
          <w:szCs w:val="24"/>
        </w:rPr>
        <w:t xml:space="preserve">, 2025). To overcome these obstacles, use of standardised communication tools like SBAR (Situation, Background, Assessment, Recommendation) can be encouraged to enable the exchange of information. Interprofessional collaboration and cultural sensitivity education and provision of organisational support can also enhance staff collaboration (Dib and </w:t>
      </w:r>
      <w:proofErr w:type="spellStart"/>
      <w:r>
        <w:rPr>
          <w:rFonts w:ascii="Times New Roman" w:eastAsia="Times New Roman" w:hAnsi="Times New Roman" w:cs="Times New Roman"/>
          <w:sz w:val="24"/>
          <w:szCs w:val="24"/>
        </w:rPr>
        <w:t>Belrhiti</w:t>
      </w:r>
      <w:proofErr w:type="spellEnd"/>
      <w:r>
        <w:rPr>
          <w:rFonts w:ascii="Times New Roman" w:eastAsia="Times New Roman" w:hAnsi="Times New Roman" w:cs="Times New Roman"/>
          <w:sz w:val="24"/>
          <w:szCs w:val="24"/>
        </w:rPr>
        <w:t>, 2025). Moreover, by giving Mrs Mann and her daughter the authority to participate in the care planning, it is possible to encourage person-centred care and coordination. Engaging them in decision-making of care keeps care personalised to their needs and desires (</w:t>
      </w:r>
      <w:proofErr w:type="spellStart"/>
      <w:r>
        <w:rPr>
          <w:rFonts w:ascii="Times New Roman" w:eastAsia="Times New Roman" w:hAnsi="Times New Roman" w:cs="Times New Roman"/>
          <w:sz w:val="24"/>
          <w:szCs w:val="24"/>
        </w:rPr>
        <w:t>Sirimsi</w:t>
      </w:r>
      <w:proofErr w:type="spellEnd"/>
      <w:r>
        <w:rPr>
          <w:rFonts w:ascii="Times New Roman" w:eastAsia="Times New Roman" w:hAnsi="Times New Roman" w:cs="Times New Roman"/>
          <w:sz w:val="24"/>
          <w:szCs w:val="24"/>
        </w:rPr>
        <w:t xml:space="preserve"> et al., 2022). Ultimately, collaboration is facilitated by standardised communication, defined roles and person-centred care.</w:t>
      </w:r>
    </w:p>
    <w:p w14:paraId="7B5CB2A2" w14:textId="77777777" w:rsidR="00385FDE" w:rsidRDefault="00000000">
      <w:pPr>
        <w:spacing w:after="0"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Conclusion</w:t>
      </w:r>
    </w:p>
    <w:p w14:paraId="7B5CB2A3" w14:textId="77777777" w:rsidR="00385FDE" w:rsidRDefault="00000000">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case study has shown that good communication, excellent administration and collaboration are vital to the delivery of quality health and social care. In this case, poor communication, documentation and sharing of information led to a delay in medication adjustment, which </w:t>
      </w:r>
      <w:r>
        <w:rPr>
          <w:rFonts w:ascii="Times New Roman" w:eastAsia="Times New Roman" w:hAnsi="Times New Roman" w:cs="Times New Roman"/>
          <w:sz w:val="24"/>
          <w:szCs w:val="24"/>
        </w:rPr>
        <w:lastRenderedPageBreak/>
        <w:t xml:space="preserve">demonstrates the dangers of poor practice. The use of legislation such as the Equality Act 2010 and Data Protection Act 2018 ensures that care is equal, legal and patient rights are upheld. Models of communication and administrative systems also enable safe and effective practice. Finally, inter-professional practice is essential to ensure co-ordinated and integrated care, especially for people with complex needs. In turn, these areas will improve patient safety, patient-centred care and minimise the risk of error. It is therefore important to address the shortcomings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enhance performance and the professionalism in health and social care practice.</w:t>
      </w:r>
    </w:p>
    <w:p w14:paraId="7B5CB2A4" w14:textId="77777777" w:rsidR="00385FDE" w:rsidRDefault="00385FDE">
      <w:pPr>
        <w:spacing w:after="0" w:line="480" w:lineRule="auto"/>
        <w:jc w:val="both"/>
        <w:rPr>
          <w:rFonts w:ascii="Times New Roman" w:eastAsia="Times New Roman" w:hAnsi="Times New Roman" w:cs="Times New Roman"/>
          <w:sz w:val="24"/>
          <w:szCs w:val="24"/>
        </w:rPr>
      </w:pPr>
    </w:p>
    <w:p w14:paraId="7B5CB2A5" w14:textId="77777777" w:rsidR="00385FDE" w:rsidRDefault="00385FDE">
      <w:pPr>
        <w:spacing w:after="0" w:line="480" w:lineRule="auto"/>
        <w:jc w:val="both"/>
        <w:rPr>
          <w:rFonts w:ascii="Times New Roman" w:eastAsia="Times New Roman" w:hAnsi="Times New Roman" w:cs="Times New Roman"/>
          <w:sz w:val="24"/>
          <w:szCs w:val="24"/>
        </w:rPr>
      </w:pPr>
    </w:p>
    <w:p w14:paraId="7B5CB2A6" w14:textId="77777777" w:rsidR="00385FDE" w:rsidRDefault="00385FDE">
      <w:pPr>
        <w:spacing w:after="0" w:line="480" w:lineRule="auto"/>
        <w:jc w:val="both"/>
        <w:rPr>
          <w:rFonts w:ascii="Times New Roman" w:eastAsia="Times New Roman" w:hAnsi="Times New Roman" w:cs="Times New Roman"/>
          <w:sz w:val="24"/>
          <w:szCs w:val="24"/>
        </w:rPr>
      </w:pPr>
    </w:p>
    <w:p w14:paraId="7B5CB2A7" w14:textId="77777777" w:rsidR="00385FDE" w:rsidRDefault="00385FDE">
      <w:pPr>
        <w:spacing w:after="0" w:line="480" w:lineRule="auto"/>
        <w:jc w:val="both"/>
        <w:rPr>
          <w:rFonts w:ascii="Times New Roman" w:eastAsia="Times New Roman" w:hAnsi="Times New Roman" w:cs="Times New Roman"/>
          <w:sz w:val="24"/>
          <w:szCs w:val="24"/>
        </w:rPr>
      </w:pPr>
    </w:p>
    <w:p w14:paraId="7B5CB2A8" w14:textId="77777777" w:rsidR="00385FDE" w:rsidRDefault="00385FDE">
      <w:pPr>
        <w:spacing w:after="0" w:line="480" w:lineRule="auto"/>
        <w:jc w:val="both"/>
        <w:rPr>
          <w:rFonts w:ascii="Times New Roman" w:eastAsia="Times New Roman" w:hAnsi="Times New Roman" w:cs="Times New Roman"/>
          <w:sz w:val="24"/>
          <w:szCs w:val="24"/>
        </w:rPr>
      </w:pPr>
    </w:p>
    <w:p w14:paraId="7B5CB2A9" w14:textId="77777777" w:rsidR="00385FDE" w:rsidRDefault="00385FDE">
      <w:pPr>
        <w:spacing w:after="0" w:line="480" w:lineRule="auto"/>
        <w:jc w:val="both"/>
        <w:rPr>
          <w:rFonts w:ascii="Times New Roman" w:eastAsia="Times New Roman" w:hAnsi="Times New Roman" w:cs="Times New Roman"/>
          <w:sz w:val="24"/>
          <w:szCs w:val="24"/>
        </w:rPr>
      </w:pPr>
    </w:p>
    <w:p w14:paraId="7B5CB2AA" w14:textId="77777777" w:rsidR="00385FDE" w:rsidRDefault="00385FDE">
      <w:pPr>
        <w:spacing w:after="0" w:line="480" w:lineRule="auto"/>
        <w:jc w:val="both"/>
        <w:rPr>
          <w:rFonts w:ascii="Times New Roman" w:eastAsia="Times New Roman" w:hAnsi="Times New Roman" w:cs="Times New Roman"/>
          <w:sz w:val="24"/>
          <w:szCs w:val="24"/>
        </w:rPr>
      </w:pPr>
    </w:p>
    <w:p w14:paraId="7B5CB2AB" w14:textId="77777777" w:rsidR="00385FDE" w:rsidRDefault="00385FDE">
      <w:pPr>
        <w:spacing w:after="0" w:line="480" w:lineRule="auto"/>
        <w:jc w:val="both"/>
        <w:rPr>
          <w:rFonts w:ascii="Times New Roman" w:eastAsia="Times New Roman" w:hAnsi="Times New Roman" w:cs="Times New Roman"/>
          <w:sz w:val="24"/>
          <w:szCs w:val="24"/>
        </w:rPr>
      </w:pPr>
    </w:p>
    <w:p w14:paraId="7B5CB2AC" w14:textId="77777777" w:rsidR="00385FDE" w:rsidRDefault="00385FDE">
      <w:pPr>
        <w:spacing w:after="0" w:line="480" w:lineRule="auto"/>
        <w:jc w:val="both"/>
        <w:rPr>
          <w:rFonts w:ascii="Times New Roman" w:eastAsia="Times New Roman" w:hAnsi="Times New Roman" w:cs="Times New Roman"/>
          <w:sz w:val="24"/>
          <w:szCs w:val="24"/>
        </w:rPr>
      </w:pPr>
    </w:p>
    <w:p w14:paraId="7B5CB2AD" w14:textId="77777777" w:rsidR="00385FDE" w:rsidRDefault="00385FDE">
      <w:pPr>
        <w:spacing w:after="0" w:line="480" w:lineRule="auto"/>
        <w:jc w:val="both"/>
        <w:rPr>
          <w:rFonts w:ascii="Times New Roman" w:eastAsia="Times New Roman" w:hAnsi="Times New Roman" w:cs="Times New Roman"/>
          <w:sz w:val="24"/>
          <w:szCs w:val="24"/>
        </w:rPr>
      </w:pPr>
    </w:p>
    <w:p w14:paraId="7B5CB2AE" w14:textId="77777777" w:rsidR="00385FDE" w:rsidRDefault="00385FDE">
      <w:pPr>
        <w:spacing w:after="0" w:line="480" w:lineRule="auto"/>
        <w:jc w:val="both"/>
        <w:rPr>
          <w:rFonts w:ascii="Times New Roman" w:eastAsia="Times New Roman" w:hAnsi="Times New Roman" w:cs="Times New Roman"/>
          <w:sz w:val="24"/>
          <w:szCs w:val="24"/>
        </w:rPr>
      </w:pPr>
    </w:p>
    <w:p w14:paraId="7B5CB2AF" w14:textId="77777777" w:rsidR="00385FDE" w:rsidRDefault="00385FDE">
      <w:pPr>
        <w:spacing w:after="0" w:line="480" w:lineRule="auto"/>
        <w:jc w:val="both"/>
        <w:rPr>
          <w:rFonts w:ascii="Times New Roman" w:eastAsia="Times New Roman" w:hAnsi="Times New Roman" w:cs="Times New Roman"/>
          <w:sz w:val="24"/>
          <w:szCs w:val="24"/>
        </w:rPr>
      </w:pPr>
    </w:p>
    <w:p w14:paraId="7B5CB2B0" w14:textId="77777777" w:rsidR="00385FDE" w:rsidRDefault="00385FDE">
      <w:pPr>
        <w:spacing w:after="0" w:line="480" w:lineRule="auto"/>
        <w:jc w:val="both"/>
        <w:rPr>
          <w:rFonts w:ascii="Times New Roman" w:eastAsia="Times New Roman" w:hAnsi="Times New Roman" w:cs="Times New Roman"/>
          <w:sz w:val="24"/>
          <w:szCs w:val="24"/>
        </w:rPr>
      </w:pPr>
    </w:p>
    <w:p w14:paraId="7B5CB2B1" w14:textId="77777777" w:rsidR="00385FDE" w:rsidRDefault="00385FDE">
      <w:pPr>
        <w:spacing w:after="0" w:line="480" w:lineRule="auto"/>
        <w:jc w:val="both"/>
        <w:rPr>
          <w:rFonts w:ascii="Times New Roman" w:eastAsia="Times New Roman" w:hAnsi="Times New Roman" w:cs="Times New Roman"/>
          <w:sz w:val="24"/>
          <w:szCs w:val="24"/>
        </w:rPr>
      </w:pPr>
    </w:p>
    <w:p w14:paraId="38C91ACE" w14:textId="77777777" w:rsidR="00366FE3" w:rsidRDefault="00366FE3">
      <w:pPr>
        <w:spacing w:after="0" w:line="480" w:lineRule="auto"/>
        <w:jc w:val="both"/>
        <w:rPr>
          <w:rFonts w:ascii="Times New Roman" w:eastAsia="Times New Roman" w:hAnsi="Times New Roman" w:cs="Times New Roman"/>
          <w:sz w:val="24"/>
          <w:szCs w:val="24"/>
        </w:rPr>
      </w:pPr>
      <w:bookmarkStart w:id="0" w:name="_heading=h.pfjtcavcicaa" w:colFirst="0" w:colLast="0"/>
      <w:bookmarkEnd w:id="0"/>
      <w:r>
        <w:rPr>
          <w:rFonts w:ascii="Times New Roman" w:eastAsia="Times New Roman" w:hAnsi="Times New Roman" w:cs="Times New Roman"/>
          <w:sz w:val="24"/>
          <w:szCs w:val="24"/>
        </w:rPr>
        <w:br w:type="page"/>
      </w:r>
    </w:p>
    <w:p w14:paraId="7B5CB2B2" w14:textId="0CDA966A" w:rsidR="00385FDE" w:rsidRDefault="00000000" w:rsidP="00366FE3">
      <w:pPr>
        <w:spacing w:after="0" w:line="480" w:lineRule="auto"/>
        <w:jc w:val="center"/>
        <w:rPr>
          <w:rFonts w:ascii="Times New Roman" w:eastAsia="Times New Roman" w:hAnsi="Times New Roman" w:cs="Times New Roman"/>
          <w:sz w:val="24"/>
          <w:szCs w:val="24"/>
        </w:rPr>
      </w:pPr>
      <w:r w:rsidRPr="00366FE3">
        <w:rPr>
          <w:rFonts w:ascii="Times New Roman" w:eastAsia="Times New Roman" w:hAnsi="Times New Roman" w:cs="Times New Roman"/>
          <w:b/>
          <w:bCs/>
          <w:sz w:val="24"/>
          <w:szCs w:val="24"/>
        </w:rPr>
        <w:lastRenderedPageBreak/>
        <w:t>Reference</w:t>
      </w:r>
    </w:p>
    <w:p w14:paraId="7B5CB2B3" w14:textId="77777777" w:rsidR="00385FDE" w:rsidRDefault="00000000">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Alboksmaty</w:t>
      </w:r>
      <w:proofErr w:type="spellEnd"/>
      <w:r>
        <w:rPr>
          <w:rFonts w:ascii="Times New Roman" w:eastAsia="Times New Roman" w:hAnsi="Times New Roman" w:cs="Times New Roman"/>
          <w:color w:val="000000"/>
          <w:sz w:val="24"/>
          <w:szCs w:val="24"/>
        </w:rPr>
        <w:t xml:space="preserve">, A., Lunova, T., Darzi, A. and Neves, A.-L. (2026) “Communication Challenges and Mitigation Strategies in Primary Care Virtual Consultations: Qualitative study,” </w:t>
      </w:r>
      <w:r>
        <w:rPr>
          <w:rFonts w:ascii="Times New Roman" w:eastAsia="Times New Roman" w:hAnsi="Times New Roman" w:cs="Times New Roman"/>
          <w:i/>
          <w:iCs/>
          <w:color w:val="000000"/>
          <w:sz w:val="24"/>
          <w:szCs w:val="24"/>
        </w:rPr>
        <w:t>Journal of Medical Internet Research</w:t>
      </w:r>
      <w:r>
        <w:rPr>
          <w:rFonts w:ascii="Times New Roman" w:eastAsia="Times New Roman" w:hAnsi="Times New Roman" w:cs="Times New Roman"/>
          <w:color w:val="000000"/>
          <w:sz w:val="24"/>
          <w:szCs w:val="24"/>
        </w:rPr>
        <w:t>, 28, p. e79399. Available at: https://doi.org/10.2196/79399.</w:t>
      </w:r>
    </w:p>
    <w:p w14:paraId="7B5CB2B4" w14:textId="77777777" w:rsidR="00385FDE" w:rsidRDefault="00000000">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Anderson, R.J., Bloch, S., Armstrong, M., Stone, P.C. and Low, J.T. (2020) “Communication between healthcare professionals and relatives of patients approaching the end-of-life: A systematic review of qualitative evidence,” </w:t>
      </w:r>
      <w:r>
        <w:rPr>
          <w:rFonts w:ascii="Times New Roman" w:eastAsia="Times New Roman" w:hAnsi="Times New Roman" w:cs="Times New Roman"/>
          <w:i/>
          <w:iCs/>
          <w:color w:val="000000"/>
          <w:sz w:val="24"/>
          <w:szCs w:val="24"/>
        </w:rPr>
        <w:t>Palliative Medicine</w:t>
      </w:r>
      <w:r>
        <w:rPr>
          <w:rFonts w:ascii="Times New Roman" w:eastAsia="Times New Roman" w:hAnsi="Times New Roman" w:cs="Times New Roman"/>
          <w:color w:val="000000"/>
          <w:sz w:val="24"/>
          <w:szCs w:val="24"/>
        </w:rPr>
        <w:t>, 33(8), pp. 926–941. Available at: https://doi.org/10.1177/0269216319852007.</w:t>
      </w:r>
    </w:p>
    <w:p w14:paraId="7B5CB2B5" w14:textId="77777777" w:rsidR="00385FDE" w:rsidRDefault="00000000">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Dib, K. and </w:t>
      </w:r>
      <w:proofErr w:type="spellStart"/>
      <w:r>
        <w:rPr>
          <w:rFonts w:ascii="Times New Roman" w:eastAsia="Times New Roman" w:hAnsi="Times New Roman" w:cs="Times New Roman"/>
          <w:color w:val="000000"/>
          <w:sz w:val="24"/>
          <w:szCs w:val="24"/>
        </w:rPr>
        <w:t>Belrhiti</w:t>
      </w:r>
      <w:proofErr w:type="spellEnd"/>
      <w:r>
        <w:rPr>
          <w:rFonts w:ascii="Times New Roman" w:eastAsia="Times New Roman" w:hAnsi="Times New Roman" w:cs="Times New Roman"/>
          <w:color w:val="000000"/>
          <w:sz w:val="24"/>
          <w:szCs w:val="24"/>
        </w:rPr>
        <w:t xml:space="preserve">, Z. (2025) “Unpacking the black box of interprofessional collaboration within healthcare networks: a scoping review,” </w:t>
      </w:r>
      <w:r>
        <w:rPr>
          <w:rFonts w:ascii="Times New Roman" w:eastAsia="Times New Roman" w:hAnsi="Times New Roman" w:cs="Times New Roman"/>
          <w:i/>
          <w:iCs/>
          <w:color w:val="000000"/>
          <w:sz w:val="24"/>
          <w:szCs w:val="24"/>
        </w:rPr>
        <w:t>BMJ Open</w:t>
      </w:r>
      <w:r>
        <w:rPr>
          <w:rFonts w:ascii="Times New Roman" w:eastAsia="Times New Roman" w:hAnsi="Times New Roman" w:cs="Times New Roman"/>
          <w:color w:val="000000"/>
          <w:sz w:val="24"/>
          <w:szCs w:val="24"/>
        </w:rPr>
        <w:t>, 15(6), p. e101702. Available at: https://doi.org/10.1136/bmjopen-2025-101702.</w:t>
      </w:r>
    </w:p>
    <w:p w14:paraId="7B5CB2B6" w14:textId="77777777" w:rsidR="00385FDE" w:rsidRDefault="00000000">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Dickerson, J.E. (2022) “Privacy, confidentiality, and security of healthcare information,” </w:t>
      </w:r>
      <w:r>
        <w:rPr>
          <w:rFonts w:ascii="Times New Roman" w:eastAsia="Times New Roman" w:hAnsi="Times New Roman" w:cs="Times New Roman"/>
          <w:i/>
          <w:iCs/>
          <w:color w:val="000000"/>
          <w:sz w:val="24"/>
          <w:szCs w:val="24"/>
        </w:rPr>
        <w:t>Anaesthesia &amp; Intensive Care Medicine</w:t>
      </w:r>
      <w:r>
        <w:rPr>
          <w:rFonts w:ascii="Times New Roman" w:eastAsia="Times New Roman" w:hAnsi="Times New Roman" w:cs="Times New Roman"/>
          <w:color w:val="000000"/>
          <w:sz w:val="24"/>
          <w:szCs w:val="24"/>
        </w:rPr>
        <w:t>, 23(11), pp. 740–743. Available at: https://doi.org/10.1016/j.mpaic.2022.08.014.</w:t>
      </w:r>
    </w:p>
    <w:p w14:paraId="7B5CB2B7" w14:textId="77777777" w:rsidR="00385FDE" w:rsidRDefault="00000000">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Downey, A. (2024) “Patient record-keeping: How to avoid making serious mistakes or leaving gaps,” </w:t>
      </w:r>
      <w:r>
        <w:rPr>
          <w:rFonts w:ascii="Times New Roman" w:eastAsia="Times New Roman" w:hAnsi="Times New Roman" w:cs="Times New Roman"/>
          <w:i/>
          <w:iCs/>
          <w:color w:val="000000"/>
          <w:sz w:val="24"/>
          <w:szCs w:val="24"/>
        </w:rPr>
        <w:t>Nursing Standard</w:t>
      </w:r>
      <w:r>
        <w:rPr>
          <w:rFonts w:ascii="Times New Roman" w:eastAsia="Times New Roman" w:hAnsi="Times New Roman" w:cs="Times New Roman"/>
          <w:color w:val="000000"/>
          <w:sz w:val="24"/>
          <w:szCs w:val="24"/>
        </w:rPr>
        <w:t>, 39(10), pp. 47–49. Available at: https://doi.org/10.7748/ns.39.10.47.s17.</w:t>
      </w:r>
    </w:p>
    <w:p w14:paraId="7B5CB2B8" w14:textId="77777777" w:rsidR="00385FDE" w:rsidRDefault="00000000">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Francis, B. (2020) “General Data Protection Regulation (GDPR) and Data Protection Act 2018: What does this mean for </w:t>
      </w:r>
      <w:proofErr w:type="gramStart"/>
      <w:r>
        <w:rPr>
          <w:rFonts w:ascii="Times New Roman" w:eastAsia="Times New Roman" w:hAnsi="Times New Roman" w:cs="Times New Roman"/>
          <w:color w:val="000000"/>
          <w:sz w:val="24"/>
          <w:szCs w:val="24"/>
        </w:rPr>
        <w:t>clinicians?,</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iCs/>
          <w:color w:val="000000"/>
          <w:sz w:val="24"/>
          <w:szCs w:val="24"/>
        </w:rPr>
        <w:t>Archives of Disease in Childhood Education &amp; Practice</w:t>
      </w:r>
      <w:r>
        <w:rPr>
          <w:rFonts w:ascii="Times New Roman" w:eastAsia="Times New Roman" w:hAnsi="Times New Roman" w:cs="Times New Roman"/>
          <w:color w:val="000000"/>
          <w:sz w:val="24"/>
          <w:szCs w:val="24"/>
        </w:rPr>
        <w:t>, 105(5), pp. 298–299. Available at: https://doi.org/10.1136/archdischild-2018-316057.</w:t>
      </w:r>
    </w:p>
    <w:p w14:paraId="7B5CB2B9" w14:textId="77777777" w:rsidR="00385FDE" w:rsidRDefault="00000000">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Nursing and Midwifery Council (NMC) (2018) </w:t>
      </w:r>
      <w:r>
        <w:rPr>
          <w:rFonts w:ascii="Times New Roman" w:eastAsia="Times New Roman" w:hAnsi="Times New Roman" w:cs="Times New Roman"/>
          <w:i/>
          <w:iCs/>
          <w:color w:val="000000"/>
          <w:sz w:val="24"/>
          <w:szCs w:val="24"/>
        </w:rPr>
        <w:t>The Code: Professional standards of practice and behaviour for nurses, midwives and nursing associates</w:t>
      </w:r>
      <w:r>
        <w:rPr>
          <w:rFonts w:ascii="Times New Roman" w:eastAsia="Times New Roman" w:hAnsi="Times New Roman" w:cs="Times New Roman"/>
          <w:color w:val="000000"/>
          <w:sz w:val="24"/>
          <w:szCs w:val="24"/>
        </w:rPr>
        <w:t>. Available at: https://www.nmc.org.uk/standards/code/ (Accessed: April 30, 2026).</w:t>
      </w:r>
    </w:p>
    <w:p w14:paraId="7B5CB2BA" w14:textId="77777777" w:rsidR="00385FDE" w:rsidRDefault="00000000">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Redley, M., Lancaster, I., Pitt, A., Holland, A., Thompson, A., Bradley, J.R., Glover, G., Thomson, K., Jones, S., Herbert, B., Holme, A. and Clare, I.C.H. (2020) “‘Reasonable adjustments’ under the UK’s Equality Act 2010: An enquiry into the care and treatment to patients with intellectual disabilities in acute hospital settings,” </w:t>
      </w:r>
      <w:r>
        <w:rPr>
          <w:rFonts w:ascii="Times New Roman" w:eastAsia="Times New Roman" w:hAnsi="Times New Roman" w:cs="Times New Roman"/>
          <w:i/>
          <w:iCs/>
          <w:color w:val="000000"/>
          <w:sz w:val="24"/>
          <w:szCs w:val="24"/>
        </w:rPr>
        <w:t>Journal of Applied Research in Intellectual Disabilities</w:t>
      </w:r>
      <w:r>
        <w:rPr>
          <w:rFonts w:ascii="Times New Roman" w:eastAsia="Times New Roman" w:hAnsi="Times New Roman" w:cs="Times New Roman"/>
          <w:color w:val="000000"/>
          <w:sz w:val="24"/>
          <w:szCs w:val="24"/>
        </w:rPr>
        <w:t>, 32(6), pp. 1412–1420. Available at: https://doi.org/10.1111/jar.12623.</w:t>
      </w:r>
    </w:p>
    <w:p w14:paraId="7B5CB2BB" w14:textId="77777777" w:rsidR="00385FDE" w:rsidRDefault="00000000">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Rosen, M.A., DiazGranados, D., Dietz, A.S., Benishek, L.E., Thompson, D., Pronovost, P.J. and Weaver, S.J. (2019) “Teamwork in healthcare: Key discoveries enabling safer, high-quality care.,” </w:t>
      </w:r>
      <w:r>
        <w:rPr>
          <w:rFonts w:ascii="Times New Roman" w:eastAsia="Times New Roman" w:hAnsi="Times New Roman" w:cs="Times New Roman"/>
          <w:i/>
          <w:iCs/>
          <w:color w:val="000000"/>
          <w:sz w:val="24"/>
          <w:szCs w:val="24"/>
        </w:rPr>
        <w:t>American Psychologist</w:t>
      </w:r>
      <w:r>
        <w:rPr>
          <w:rFonts w:ascii="Times New Roman" w:eastAsia="Times New Roman" w:hAnsi="Times New Roman" w:cs="Times New Roman"/>
          <w:color w:val="000000"/>
          <w:sz w:val="24"/>
          <w:szCs w:val="24"/>
        </w:rPr>
        <w:t>, 73(4), pp. 433–450. Available at: https://doi.org/10.1037/amp0000298.</w:t>
      </w:r>
    </w:p>
    <w:p w14:paraId="7B5CB2BC" w14:textId="77777777" w:rsidR="00385FDE" w:rsidRDefault="00000000">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Shamsi, H.A., Almutairi, A.G., </w:t>
      </w:r>
      <w:proofErr w:type="spellStart"/>
      <w:r>
        <w:rPr>
          <w:rFonts w:ascii="Times New Roman" w:eastAsia="Times New Roman" w:hAnsi="Times New Roman" w:cs="Times New Roman"/>
          <w:color w:val="000000"/>
          <w:sz w:val="24"/>
          <w:szCs w:val="24"/>
        </w:rPr>
        <w:t>Mashrafi</w:t>
      </w:r>
      <w:proofErr w:type="spellEnd"/>
      <w:r>
        <w:rPr>
          <w:rFonts w:ascii="Times New Roman" w:eastAsia="Times New Roman" w:hAnsi="Times New Roman" w:cs="Times New Roman"/>
          <w:color w:val="000000"/>
          <w:sz w:val="24"/>
          <w:szCs w:val="24"/>
        </w:rPr>
        <w:t xml:space="preserve">, S.A. and </w:t>
      </w:r>
      <w:proofErr w:type="spellStart"/>
      <w:r>
        <w:rPr>
          <w:rFonts w:ascii="Times New Roman" w:eastAsia="Times New Roman" w:hAnsi="Times New Roman" w:cs="Times New Roman"/>
          <w:color w:val="000000"/>
          <w:sz w:val="24"/>
          <w:szCs w:val="24"/>
        </w:rPr>
        <w:t>Kalbani</w:t>
      </w:r>
      <w:proofErr w:type="spellEnd"/>
      <w:r>
        <w:rPr>
          <w:rFonts w:ascii="Times New Roman" w:eastAsia="Times New Roman" w:hAnsi="Times New Roman" w:cs="Times New Roman"/>
          <w:color w:val="000000"/>
          <w:sz w:val="24"/>
          <w:szCs w:val="24"/>
        </w:rPr>
        <w:t xml:space="preserve">, T.A. (2020) “Implications of Language Barriers for Healthcare: A Systematic review,” </w:t>
      </w:r>
      <w:r>
        <w:rPr>
          <w:rFonts w:ascii="Times New Roman" w:eastAsia="Times New Roman" w:hAnsi="Times New Roman" w:cs="Times New Roman"/>
          <w:i/>
          <w:iCs/>
          <w:color w:val="000000"/>
          <w:sz w:val="24"/>
          <w:szCs w:val="24"/>
        </w:rPr>
        <w:t>Oman Medical Journal</w:t>
      </w:r>
      <w:r>
        <w:rPr>
          <w:rFonts w:ascii="Times New Roman" w:eastAsia="Times New Roman" w:hAnsi="Times New Roman" w:cs="Times New Roman"/>
          <w:color w:val="000000"/>
          <w:sz w:val="24"/>
          <w:szCs w:val="24"/>
        </w:rPr>
        <w:t>, 35(2), p. e122. Available at: https://doi.org/10.5001/omj.2020.40.</w:t>
      </w:r>
    </w:p>
    <w:p w14:paraId="7B5CB2BD" w14:textId="77777777" w:rsidR="00385FDE" w:rsidRDefault="00000000">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Sirimsi</w:t>
      </w:r>
      <w:proofErr w:type="spellEnd"/>
      <w:r>
        <w:rPr>
          <w:rFonts w:ascii="Times New Roman" w:eastAsia="Times New Roman" w:hAnsi="Times New Roman" w:cs="Times New Roman"/>
          <w:color w:val="000000"/>
          <w:sz w:val="24"/>
          <w:szCs w:val="24"/>
        </w:rPr>
        <w:t xml:space="preserve">, M.M., De Loof, H., Van Den Broeck, K., De Vliegher, K., </w:t>
      </w:r>
      <w:proofErr w:type="spellStart"/>
      <w:r>
        <w:rPr>
          <w:rFonts w:ascii="Times New Roman" w:eastAsia="Times New Roman" w:hAnsi="Times New Roman" w:cs="Times New Roman"/>
          <w:color w:val="000000"/>
          <w:sz w:val="24"/>
          <w:szCs w:val="24"/>
        </w:rPr>
        <w:t>Pype</w:t>
      </w:r>
      <w:proofErr w:type="spellEnd"/>
      <w:r>
        <w:rPr>
          <w:rFonts w:ascii="Times New Roman" w:eastAsia="Times New Roman" w:hAnsi="Times New Roman" w:cs="Times New Roman"/>
          <w:color w:val="000000"/>
          <w:sz w:val="24"/>
          <w:szCs w:val="24"/>
        </w:rPr>
        <w:t xml:space="preserve">, P., Remmen, R. and Van Bogaert, P. (2022) “Scoping review to identify strategies and interventions improving interprofessional collaboration and integration in primary care,” </w:t>
      </w:r>
      <w:r>
        <w:rPr>
          <w:rFonts w:ascii="Times New Roman" w:eastAsia="Times New Roman" w:hAnsi="Times New Roman" w:cs="Times New Roman"/>
          <w:i/>
          <w:iCs/>
          <w:color w:val="000000"/>
          <w:sz w:val="24"/>
          <w:szCs w:val="24"/>
        </w:rPr>
        <w:t>BMJ Open</w:t>
      </w:r>
      <w:r>
        <w:rPr>
          <w:rFonts w:ascii="Times New Roman" w:eastAsia="Times New Roman" w:hAnsi="Times New Roman" w:cs="Times New Roman"/>
          <w:color w:val="000000"/>
          <w:sz w:val="24"/>
          <w:szCs w:val="24"/>
        </w:rPr>
        <w:t>, 12(10), p. e062111. Available at: https://doi.org/10.1136/bmjopen-2022-062111.</w:t>
      </w:r>
    </w:p>
    <w:p w14:paraId="7B5CB2BE" w14:textId="77777777" w:rsidR="00385FDE" w:rsidRDefault="00000000">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Soled, D. (2020) “Language and cultural discordance: barriers to improved patient care and understanding,” </w:t>
      </w:r>
      <w:r>
        <w:rPr>
          <w:rFonts w:ascii="Times New Roman" w:eastAsia="Times New Roman" w:hAnsi="Times New Roman" w:cs="Times New Roman"/>
          <w:i/>
          <w:iCs/>
          <w:color w:val="000000"/>
          <w:sz w:val="24"/>
          <w:szCs w:val="24"/>
        </w:rPr>
        <w:t>Journal of Patient Experience</w:t>
      </w:r>
      <w:r>
        <w:rPr>
          <w:rFonts w:ascii="Times New Roman" w:eastAsia="Times New Roman" w:hAnsi="Times New Roman" w:cs="Times New Roman"/>
          <w:color w:val="000000"/>
          <w:sz w:val="24"/>
          <w:szCs w:val="24"/>
        </w:rPr>
        <w:t>, 7(6), pp. 830–832. Available at: https://doi.org/10.1177/2374373520942398.</w:t>
      </w:r>
    </w:p>
    <w:p w14:paraId="7B5CB2BF" w14:textId="77777777" w:rsidR="00385FDE" w:rsidRDefault="00000000">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Spencer, A. and Patel, S. (2020) “Applying the Data Protection Act 2018 and General Data Protection Regulation principles in healthcare settings,” </w:t>
      </w:r>
      <w:r>
        <w:rPr>
          <w:rFonts w:ascii="Times New Roman" w:eastAsia="Times New Roman" w:hAnsi="Times New Roman" w:cs="Times New Roman"/>
          <w:i/>
          <w:iCs/>
          <w:color w:val="000000"/>
          <w:sz w:val="24"/>
          <w:szCs w:val="24"/>
        </w:rPr>
        <w:t>Nursing Management</w:t>
      </w:r>
      <w:r>
        <w:rPr>
          <w:rFonts w:ascii="Times New Roman" w:eastAsia="Times New Roman" w:hAnsi="Times New Roman" w:cs="Times New Roman"/>
          <w:color w:val="000000"/>
          <w:sz w:val="24"/>
          <w:szCs w:val="24"/>
        </w:rPr>
        <w:t>, 26(1), pp. 34–40. Available at: https://doi.org/10.7748/nm.2019.e1806.</w:t>
      </w:r>
    </w:p>
    <w:p w14:paraId="7B5CB2C0" w14:textId="77777777" w:rsidR="00385FDE" w:rsidRDefault="00000000">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Stephen, A., Connelly, D., Hung, L. and Unger, J. (2024) “Staff-Family Communication Methods in Long-Term Care Homes: An Integrative </w:t>
      </w:r>
      <w:r>
        <w:rPr>
          <w:rFonts w:ascii="Times New Roman" w:eastAsia="Times New Roman" w:hAnsi="Times New Roman" w:cs="Times New Roman"/>
          <w:sz w:val="24"/>
          <w:szCs w:val="24"/>
        </w:rPr>
        <w:t>Review,"</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iCs/>
          <w:color w:val="000000"/>
          <w:sz w:val="24"/>
          <w:szCs w:val="24"/>
        </w:rPr>
        <w:t>Journal of Long-Term Care</w:t>
      </w:r>
      <w:r>
        <w:rPr>
          <w:rFonts w:ascii="Times New Roman" w:eastAsia="Times New Roman" w:hAnsi="Times New Roman" w:cs="Times New Roman"/>
          <w:color w:val="000000"/>
          <w:sz w:val="24"/>
          <w:szCs w:val="24"/>
        </w:rPr>
        <w:t xml:space="preserve"> [Preprint]. Available at: https://doi.org/10.31389/jltc.282.</w:t>
      </w:r>
    </w:p>
    <w:p w14:paraId="7B5CB2C1" w14:textId="77777777" w:rsidR="00385FDE" w:rsidRDefault="00000000">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Taylor, K. (2019) “The importance of keeping good medical records,” </w:t>
      </w:r>
      <w:r>
        <w:rPr>
          <w:rFonts w:ascii="Times New Roman" w:eastAsia="Times New Roman" w:hAnsi="Times New Roman" w:cs="Times New Roman"/>
          <w:i/>
          <w:iCs/>
          <w:color w:val="000000"/>
          <w:sz w:val="24"/>
          <w:szCs w:val="24"/>
        </w:rPr>
        <w:t>Practice Management</w:t>
      </w:r>
      <w:r>
        <w:rPr>
          <w:rFonts w:ascii="Times New Roman" w:eastAsia="Times New Roman" w:hAnsi="Times New Roman" w:cs="Times New Roman"/>
          <w:color w:val="000000"/>
          <w:sz w:val="24"/>
          <w:szCs w:val="24"/>
        </w:rPr>
        <w:t>, 29(1), pp. 16–20. Available at: https://doi.org/10.12968/prma.2019.29.1.16.</w:t>
      </w:r>
    </w:p>
    <w:p w14:paraId="7B5CB2C2" w14:textId="77777777" w:rsidR="00385FDE" w:rsidRDefault="00385FDE">
      <w:pPr>
        <w:spacing w:after="0" w:line="480" w:lineRule="auto"/>
        <w:jc w:val="both"/>
        <w:rPr>
          <w:rFonts w:ascii="Times New Roman" w:eastAsia="Times New Roman" w:hAnsi="Times New Roman" w:cs="Times New Roman"/>
          <w:sz w:val="24"/>
          <w:szCs w:val="24"/>
        </w:rPr>
      </w:pPr>
    </w:p>
    <w:p w14:paraId="7B5CB2C3" w14:textId="77777777" w:rsidR="00385FDE" w:rsidRDefault="00385FDE">
      <w:pPr>
        <w:spacing w:after="0" w:line="480" w:lineRule="auto"/>
        <w:ind w:left="480" w:hanging="480"/>
        <w:jc w:val="both"/>
        <w:rPr>
          <w:rFonts w:ascii="Times New Roman" w:eastAsia="Times New Roman" w:hAnsi="Times New Roman" w:cs="Times New Roman"/>
          <w:sz w:val="24"/>
          <w:szCs w:val="24"/>
        </w:rPr>
      </w:pPr>
    </w:p>
    <w:p w14:paraId="7B5CB2C4" w14:textId="77777777" w:rsidR="00385FDE" w:rsidRDefault="00385FDE">
      <w:pPr>
        <w:spacing w:after="0" w:line="480" w:lineRule="auto"/>
        <w:jc w:val="both"/>
        <w:rPr>
          <w:rFonts w:ascii="Times New Roman" w:eastAsia="Times New Roman" w:hAnsi="Times New Roman" w:cs="Times New Roman"/>
          <w:sz w:val="24"/>
          <w:szCs w:val="24"/>
        </w:rPr>
      </w:pPr>
    </w:p>
    <w:sectPr w:rsidR="00385FD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A2667" w14:textId="77777777" w:rsidR="007A5442" w:rsidRDefault="007A5442">
      <w:pPr>
        <w:spacing w:after="0" w:line="240" w:lineRule="auto"/>
      </w:pPr>
      <w:r>
        <w:separator/>
      </w:r>
    </w:p>
  </w:endnote>
  <w:endnote w:type="continuationSeparator" w:id="0">
    <w:p w14:paraId="6D6ABBC5" w14:textId="77777777" w:rsidR="007A5442" w:rsidRDefault="007A5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C5471128-17C6-496A-9E25-01BD09BA838E}"/>
    <w:embedBold r:id="rId2" w:fontKey="{E226D780-D95C-4C12-B33A-FE99EE6AF31C}"/>
    <w:embedBoldItalic r:id="rId3" w:fontKey="{DB57D961-A2A5-467E-9E86-3AC77B0755C6}"/>
  </w:font>
  <w:font w:name="Cambria">
    <w:panose1 w:val="02040503050406030204"/>
    <w:charset w:val="00"/>
    <w:family w:val="roman"/>
    <w:pitch w:val="variable"/>
    <w:sig w:usb0="E00006FF" w:usb1="420024FF" w:usb2="02000000" w:usb3="00000000" w:csb0="0000019F" w:csb1="00000000"/>
    <w:embedRegular r:id="rId4" w:fontKey="{0C06EF90-2452-4724-95F1-DCDC62C3FC8D}"/>
    <w:embedBold r:id="rId5" w:fontKey="{48736FB6-2B63-42CB-B2C1-3D658F3887A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6" w:fontKey="{F4745AC1-4DAE-4BE3-9B77-09AF59812A5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CB2C9" w14:textId="77777777" w:rsidR="00385FDE" w:rsidRDefault="00385FDE">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ind w:hanging="2"/>
      <w:rPr>
        <w:color w:val="000000"/>
      </w:rPr>
    </w:pPr>
  </w:p>
  <w:p w14:paraId="7B5CB2CA" w14:textId="77777777" w:rsidR="00385FDE" w:rsidRDefault="00385FDE"/>
  <w:p w14:paraId="7B5CB2CB" w14:textId="77777777" w:rsidR="00385FDE" w:rsidRDefault="00385FD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CB2CC" w14:textId="77777777" w:rsidR="00385FDE" w:rsidRDefault="00385FDE"/>
  <w:p w14:paraId="7B5CB2CD" w14:textId="77777777" w:rsidR="00385FDE" w:rsidRDefault="00385FD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CB2D1" w14:textId="77777777" w:rsidR="00385FDE" w:rsidRDefault="00385FDE">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9FCFB" w14:textId="77777777" w:rsidR="007A5442" w:rsidRDefault="007A5442">
      <w:pPr>
        <w:spacing w:after="0" w:line="240" w:lineRule="auto"/>
      </w:pPr>
      <w:r>
        <w:separator/>
      </w:r>
    </w:p>
  </w:footnote>
  <w:footnote w:type="continuationSeparator" w:id="0">
    <w:p w14:paraId="2F3A3038" w14:textId="77777777" w:rsidR="007A5442" w:rsidRDefault="007A54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CB2C5" w14:textId="77777777" w:rsidR="00385FDE" w:rsidRDefault="00385FDE">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ind w:hanging="2"/>
      <w:rPr>
        <w:color w:val="000000"/>
      </w:rPr>
    </w:pPr>
  </w:p>
  <w:p w14:paraId="7B5CB2C6" w14:textId="77777777" w:rsidR="00385FDE" w:rsidRDefault="00385FDE"/>
  <w:p w14:paraId="7B5CB2C7" w14:textId="77777777" w:rsidR="00385FDE" w:rsidRDefault="00385FD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CB2C8" w14:textId="62CDCAE2" w:rsidR="00385FDE" w:rsidRDefault="00000000">
    <w:pPr>
      <w:spacing w:line="480" w:lineRule="auto"/>
      <w:ind w:hanging="2"/>
      <w:jc w:val="right"/>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366FE3">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CB2CE" w14:textId="36973B61" w:rsidR="00385FDE" w:rsidRDefault="00000000">
    <w:pPr>
      <w:spacing w:after="0" w:line="240" w:lineRule="auto"/>
      <w:ind w:hanging="2"/>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366FE3">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p w14:paraId="7B5CB2CF" w14:textId="77777777" w:rsidR="00385FDE" w:rsidRDefault="00385FDE"/>
  <w:p w14:paraId="7B5CB2D0" w14:textId="77777777" w:rsidR="00385FDE" w:rsidRDefault="00385FD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FDE"/>
    <w:rsid w:val="002303FC"/>
    <w:rsid w:val="00366FE3"/>
    <w:rsid w:val="00385FDE"/>
    <w:rsid w:val="005E0760"/>
    <w:rsid w:val="007A5442"/>
    <w:rsid w:val="00901331"/>
    <w:rsid w:val="00986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CB282"/>
  <w15:docId w15:val="{F5B53304-7962-4C90-BB1F-B629E1DD0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Cambria" w:eastAsia="Cambria" w:hAnsi="Cambria" w:cs="Cambria"/>
      <w:b/>
      <w:bCs/>
      <w:sz w:val="32"/>
      <w:szCs w:val="32"/>
    </w:rPr>
  </w:style>
  <w:style w:type="paragraph" w:styleId="Heading2">
    <w:name w:val="heading 2"/>
    <w:basedOn w:val="Normal"/>
    <w:next w:val="Normal"/>
    <w:uiPriority w:val="9"/>
    <w:semiHidden/>
    <w:unhideWhenUsed/>
    <w:qFormat/>
    <w:pPr>
      <w:keepNext/>
      <w:spacing w:before="240" w:after="60"/>
      <w:outlineLvl w:val="1"/>
    </w:pPr>
    <w:rPr>
      <w:b/>
      <w:bCs/>
      <w:i/>
      <w:iCs/>
      <w:sz w:val="28"/>
      <w:szCs w:val="28"/>
    </w:rPr>
  </w:style>
  <w:style w:type="paragraph" w:styleId="Heading3">
    <w:name w:val="heading 3"/>
    <w:basedOn w:val="Normal"/>
    <w:next w:val="Normal"/>
    <w:uiPriority w:val="9"/>
    <w:semiHidden/>
    <w:unhideWhenUsed/>
    <w:qFormat/>
    <w:pPr>
      <w:keepNext/>
      <w:spacing w:before="240" w:after="60"/>
      <w:outlineLvl w:val="2"/>
    </w:pPr>
    <w:rPr>
      <w:b/>
      <w:bCs/>
      <w:sz w:val="26"/>
      <w:szCs w:val="26"/>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XLyvwSXE/JhOAR7Y7gUSWcwMIg==">CgMxLjAyDmgucGZqdGNhdmNpY2FhOAByITF6Nndsc25RUmZuRzdYMDFBemQ0N3VwOU5uWEVfdjNUdQ==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2230</Words>
  <Characters>12715</Characters>
  <DocSecurity>0</DocSecurity>
  <Lines>105</Lines>
  <Paragraphs>29</Paragraphs>
  <ScaleCrop>false</ScaleCrop>
  <Company/>
  <LinksUpToDate>false</LinksUpToDate>
  <CharactersWithSpaces>14916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2026-04-30T11:20:00Z</dcterms:created>
  <dcterms:modified xsi:type="dcterms:W3CDTF">2026-04-30T11:24:00Z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186279a31dffec49a0d8cc351ce9b3aca0aabdb9d2c90d45fe309bc184e4b345</vt:lpwstr>
  </property>
  <property fmtid="{D5CDD505-2E9C-101B-9397-08002B2CF9AE}" pid="3" name="MSIP_Label_d0354ca5-015e-47ab-9fdb-c0a8323bc23e_Enabled">
    <vt:lpwstr>true</vt:lpwstr>
  </property>
  <property fmtid="{D5CDD505-2E9C-101B-9397-08002B2CF9AE}" pid="4" name="MSIP_Label_d0354ca5-015e-47ab-9fdb-c0a8323bc23e_SetDate">
    <vt:lpwstr>2023-12-18T11:57:27Z</vt:lpwstr>
  </property>
  <property fmtid="{D5CDD505-2E9C-101B-9397-08002B2CF9AE}" pid="5" name="MSIP_Label_d0354ca5-015e-47ab-9fdb-c0a8323bc23e_Method">
    <vt:lpwstr>Privileged</vt:lpwstr>
  </property>
  <property fmtid="{D5CDD505-2E9C-101B-9397-08002B2CF9AE}" pid="6" name="MSIP_Label_d0354ca5-015e-47ab-9fdb-c0a8323bc23e_Name">
    <vt:lpwstr>d0354ca5-015e-47ab-9fdb-c0a8323bc23e</vt:lpwstr>
  </property>
  <property fmtid="{D5CDD505-2E9C-101B-9397-08002B2CF9AE}" pid="7" name="MSIP_Label_d0354ca5-015e-47ab-9fdb-c0a8323bc23e_SiteId">
    <vt:lpwstr>07ebc6c3-7074-4387-a625-b9d918ba4a97</vt:lpwstr>
  </property>
  <property fmtid="{D5CDD505-2E9C-101B-9397-08002B2CF9AE}" pid="8" name="MSIP_Label_d0354ca5-015e-47ab-9fdb-c0a8323bc23e_ActionId">
    <vt:lpwstr>17fc6f72-6f24-481b-8f46-2153f1eab63d</vt:lpwstr>
  </property>
  <property fmtid="{D5CDD505-2E9C-101B-9397-08002B2CF9AE}" pid="9" name="MSIP_Label_d0354ca5-015e-47ab-9fdb-c0a8323bc23e_ContentBits">
    <vt:lpwstr>0</vt:lpwstr>
  </property>
  <property fmtid="{D5CDD505-2E9C-101B-9397-08002B2CF9AE}" pid="10" name="KSOProductBuildVer">
    <vt:lpwstr>1033-12.1.0.25242</vt:lpwstr>
  </property>
  <property fmtid="{D5CDD505-2E9C-101B-9397-08002B2CF9AE}" pid="11" name="ICV">
    <vt:lpwstr>F5868F4AB2984EE6A426F676D59C2842_13</vt:lpwstr>
  </property>
  <property fmtid="{D5CDD505-2E9C-101B-9397-08002B2CF9AE}" pid="12" name="KSOTemplateDocerSaveRecord">
    <vt:lpwstr>eyJoZGlkIjoiMDJhMjUwODI5ZjgxNzlmODFjZDI1YWFkOWZmYjBkY2YiLCJ1c2VySWQiOiIzNzI4NzIwOTgzNjUzIn0=</vt:lpwstr>
  </property>
</Properties>
</file>