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405D1" w14:textId="55F18097" w:rsidR="00230D46" w:rsidRPr="00230D46" w:rsidRDefault="00230D46" w:rsidP="00230D46">
      <w:pPr>
        <w:pStyle w:val="NormalWeb"/>
        <w:spacing w:before="0" w:beforeAutospacing="0" w:after="0" w:afterAutospacing="0" w:line="276" w:lineRule="auto"/>
        <w:rPr>
          <w:rFonts w:ascii="Arial" w:hAnsi="Arial" w:cs="Arial"/>
          <w:sz w:val="22"/>
          <w:szCs w:val="22"/>
        </w:rPr>
      </w:pPr>
    </w:p>
    <w:p w14:paraId="02401F9C" w14:textId="77777777" w:rsidR="00230D46" w:rsidRPr="00230D46" w:rsidRDefault="00230D46" w:rsidP="00230D46">
      <w:pPr>
        <w:pStyle w:val="NormalWeb"/>
        <w:spacing w:line="276" w:lineRule="auto"/>
        <w:rPr>
          <w:rFonts w:ascii="Arial" w:hAnsi="Arial" w:cs="Arial"/>
          <w:sz w:val="22"/>
          <w:szCs w:val="22"/>
        </w:rPr>
      </w:pPr>
      <w:r w:rsidRPr="00230D46">
        <w:rPr>
          <w:rStyle w:val="Strong"/>
          <w:rFonts w:ascii="Arial" w:hAnsi="Arial" w:cs="Arial"/>
          <w:sz w:val="22"/>
          <w:szCs w:val="22"/>
        </w:rPr>
        <w:t xml:space="preserve">The Coroners and Justice Act of 2009 modified how diminished responsibility in a Defendant’s case was applied. The preceding act S.2 Homicide Act 1957 has a multitude of weaknesses as a result, forcing a shift in action to the way prosecutions are to be handled. A person is not guilty of murder if they kill another person or take part in the killing while under the influence of a mental disorder that seriously impairs their ability to accept responsibility for their actions and omissions. It's possible that a sickness, an injury, or a pre-existing mental issue created this situation. When someone is charged with murder, the defence must prove that the person is not guilty of the crime </w:t>
      </w:r>
      <w:proofErr w:type="gramStart"/>
      <w:r w:rsidRPr="00230D46">
        <w:rPr>
          <w:rStyle w:val="Strong"/>
          <w:rFonts w:ascii="Arial" w:hAnsi="Arial" w:cs="Arial"/>
          <w:sz w:val="22"/>
          <w:szCs w:val="22"/>
        </w:rPr>
        <w:t>in light of</w:t>
      </w:r>
      <w:proofErr w:type="gramEnd"/>
      <w:r w:rsidRPr="00230D46">
        <w:rPr>
          <w:rStyle w:val="Strong"/>
          <w:rFonts w:ascii="Arial" w:hAnsi="Arial" w:cs="Arial"/>
          <w:sz w:val="22"/>
          <w:szCs w:val="22"/>
        </w:rPr>
        <w:t xml:space="preserve"> this clause. The Coroners and Justice Act of 2009, which modified how justice was administered in courts and provided better sentencing and justice for bereaved loved ones, adheres to the same basic principles as </w:t>
      </w:r>
      <w:proofErr w:type="gramStart"/>
      <w:r w:rsidRPr="00230D46">
        <w:rPr>
          <w:rStyle w:val="Strong"/>
          <w:rFonts w:ascii="Arial" w:hAnsi="Arial" w:cs="Arial"/>
          <w:sz w:val="22"/>
          <w:szCs w:val="22"/>
        </w:rPr>
        <w:t>both of the other</w:t>
      </w:r>
      <w:proofErr w:type="gramEnd"/>
      <w:r w:rsidRPr="00230D46">
        <w:rPr>
          <w:rStyle w:val="Strong"/>
          <w:rFonts w:ascii="Arial" w:hAnsi="Arial" w:cs="Arial"/>
          <w:sz w:val="22"/>
          <w:szCs w:val="22"/>
        </w:rPr>
        <w:t xml:space="preserve"> acts.</w:t>
      </w:r>
    </w:p>
    <w:p w14:paraId="710960BC" w14:textId="77777777" w:rsidR="00230D46" w:rsidRPr="00230D46" w:rsidRDefault="00230D46" w:rsidP="00230D46">
      <w:pPr>
        <w:pStyle w:val="NormalWeb"/>
        <w:spacing w:line="276" w:lineRule="auto"/>
        <w:rPr>
          <w:rFonts w:ascii="Arial" w:hAnsi="Arial" w:cs="Arial"/>
          <w:sz w:val="22"/>
          <w:szCs w:val="22"/>
        </w:rPr>
      </w:pPr>
      <w:r w:rsidRPr="00230D46">
        <w:rPr>
          <w:rStyle w:val="Strong"/>
          <w:rFonts w:ascii="Arial" w:hAnsi="Arial" w:cs="Arial"/>
          <w:sz w:val="22"/>
          <w:szCs w:val="22"/>
        </w:rPr>
        <w:t>The S.2 Homicide Act 1957 introduced the suicide pact and decreased accountability as partial defences. Where the standing charge of murder would be lowered and converted to manslaughter if grounds and satisfaction were established. The burden of proof was mandated by law, and the person claiming to have been the victim of diminished responsibility had to provide evidence.  Partially denying responsibility is a defence for murder. It indicates that the accused had a mental disorder that was severe enough to prevent them from being in control of their actions. The murder accusation must be reduced to voluntary manslaughter if the jury accepts the defence.  The jury will decide whether the provocation was sufficient to cause a responsible person to respond as they did in cases where there is evidence that the person charged with murder was provoked to lose self-control. For instance, in the case of Peter Sutcliffe (the Yorkshire ripper), the jury notably disregarded the unified medical conclusion that the defendant was a paranoid schizophrenic while yet refusing to allow him to offer his defence. A reasonable man's definition of abnormality is used to determine whether a person's mental functioning is abnormal. It has a broad definition and includes the inability to use restraint and willpower.  The jury would therefore consider everything done and said according to the effect that, in their opinion, the provocation had.</w:t>
      </w:r>
    </w:p>
    <w:p w14:paraId="0FD10DEE" w14:textId="7CD0D860" w:rsidR="00230D46" w:rsidRPr="00230D46" w:rsidRDefault="00230D46" w:rsidP="00230D46">
      <w:pPr>
        <w:pStyle w:val="NormalWeb"/>
        <w:spacing w:line="276" w:lineRule="auto"/>
        <w:rPr>
          <w:rFonts w:ascii="Arial" w:hAnsi="Arial" w:cs="Arial"/>
          <w:sz w:val="22"/>
          <w:szCs w:val="22"/>
        </w:rPr>
      </w:pPr>
      <w:r w:rsidRPr="00230D46">
        <w:rPr>
          <w:rStyle w:val="Strong"/>
          <w:rFonts w:ascii="Arial" w:hAnsi="Arial" w:cs="Arial"/>
          <w:sz w:val="22"/>
          <w:szCs w:val="22"/>
        </w:rPr>
        <w:t xml:space="preserve">In 2009 a new act The Coroners and Justice Act of 2009 was introduce for more equitable punishment by enabling the court to investigate the defendant's mental state and consider if it affected the actions the defendant took. This means that even if it is true that the recognised medical condition and disability were presented at random and had no bearing on the behaviour that followed, the partial defence cannot be successful. Where the defendant's mental state had no impact on their behaviour, the defence cannot prevail. It is undeniable that a person's ability to understand the nature of their conduct, make wise decisions, and/or exercise self-control was considerably impeded when they are found guilty of manslaughter owing to diminished responsibility. For instance, in 2012 R V Dowds A 49-year-old college lecturer who was severely intoxicated killed his partner with a knife assault. He and his partner both often binge drink, and the two had engaged in several violent encounters, the most of which were started by her and most of which took place when they were intoxicated. He admitted that he had killed her but said he had no memory </w:t>
      </w:r>
      <w:r w:rsidRPr="00230D46">
        <w:rPr>
          <w:rStyle w:val="Strong"/>
          <w:rFonts w:ascii="Arial" w:hAnsi="Arial" w:cs="Arial"/>
          <w:sz w:val="22"/>
          <w:szCs w:val="22"/>
        </w:rPr>
        <w:lastRenderedPageBreak/>
        <w:t xml:space="preserve">of the incident when he reported her death to the police two days after the crime. He didn't claim to be dependent on alcohol; he had control over when he drank and would abstain during the workweek, but once he started, he couldn't stop. The trial judge determined that his temporary, intoxication was not capable of diminished responsibility The purpose of the Act is to increase the effectiveness, transparency, and responsiveness of the legal system and coroner services for victims, witnesses, bereaved families, and the </w:t>
      </w:r>
      <w:proofErr w:type="gramStart"/>
      <w:r w:rsidRPr="00230D46">
        <w:rPr>
          <w:rStyle w:val="Strong"/>
          <w:rFonts w:ascii="Arial" w:hAnsi="Arial" w:cs="Arial"/>
          <w:sz w:val="22"/>
          <w:szCs w:val="22"/>
        </w:rPr>
        <w:t>general public</w:t>
      </w:r>
      <w:proofErr w:type="gramEnd"/>
      <w:r w:rsidRPr="00230D46">
        <w:rPr>
          <w:rStyle w:val="Strong"/>
          <w:rFonts w:ascii="Arial" w:hAnsi="Arial" w:cs="Arial"/>
          <w:sz w:val="22"/>
          <w:szCs w:val="22"/>
        </w:rPr>
        <w:t xml:space="preserve">. It accomplishes this by attempting to revise criminal law provisions </w:t>
      </w:r>
      <w:proofErr w:type="gramStart"/>
      <w:r w:rsidRPr="00230D46">
        <w:rPr>
          <w:rStyle w:val="Strong"/>
          <w:rFonts w:ascii="Arial" w:hAnsi="Arial" w:cs="Arial"/>
          <w:sz w:val="22"/>
          <w:szCs w:val="22"/>
        </w:rPr>
        <w:t>in order to</w:t>
      </w:r>
      <w:proofErr w:type="gramEnd"/>
      <w:r w:rsidRPr="00230D46">
        <w:rPr>
          <w:rStyle w:val="Strong"/>
          <w:rFonts w:ascii="Arial" w:hAnsi="Arial" w:cs="Arial"/>
          <w:sz w:val="22"/>
          <w:szCs w:val="22"/>
        </w:rPr>
        <w:t xml:space="preserve"> make them more understandable, equitable, and useful. Enhancing protection for witnesses who are weak or intimidated from the start of the criminal justice process, especially those who are witnesses to gang-related violence providing a more transparent and uniform sentencing framework, improving the assistance that a modernised coroner system offers to </w:t>
      </w:r>
      <w:proofErr w:type="gramStart"/>
      <w:r w:rsidRPr="00230D46">
        <w:rPr>
          <w:rStyle w:val="Strong"/>
          <w:rFonts w:ascii="Arial" w:hAnsi="Arial" w:cs="Arial"/>
          <w:sz w:val="22"/>
          <w:szCs w:val="22"/>
        </w:rPr>
        <w:t>bereaved</w:t>
      </w:r>
      <w:proofErr w:type="gramEnd"/>
      <w:r w:rsidRPr="00230D46">
        <w:rPr>
          <w:rStyle w:val="Strong"/>
          <w:rFonts w:ascii="Arial" w:hAnsi="Arial" w:cs="Arial"/>
          <w:sz w:val="22"/>
          <w:szCs w:val="22"/>
        </w:rPr>
        <w:t xml:space="preserve"> families. This giving individual who has lost a loved one unexpectedly or suddenly chances, such as access to information rights and a straightforward appeals process and creating a single system for death certification. After the new act was enacted, many trials have resulted in more favourable outcomes, and fair justice is now enforced. Many cases have taken place with this act including a case where a Muslim dad murdered his daughter </w:t>
      </w:r>
      <w:proofErr w:type="gramStart"/>
      <w:r w:rsidRPr="00230D46">
        <w:rPr>
          <w:rStyle w:val="Strong"/>
          <w:rFonts w:ascii="Arial" w:hAnsi="Arial" w:cs="Arial"/>
          <w:sz w:val="22"/>
          <w:szCs w:val="22"/>
        </w:rPr>
        <w:t>as a result of</w:t>
      </w:r>
      <w:proofErr w:type="gramEnd"/>
      <w:r w:rsidRPr="00230D46">
        <w:rPr>
          <w:rStyle w:val="Strong"/>
          <w:rFonts w:ascii="Arial" w:hAnsi="Arial" w:cs="Arial"/>
          <w:sz w:val="22"/>
          <w:szCs w:val="22"/>
        </w:rPr>
        <w:t xml:space="preserve"> having an older man inside his home, due to rage. To determine if reduced responsibility was a factor in this case, the jury was entitled to compare the defendant to a sane individual of same age, sex, and religion. While evaluating the defendant's actions, it is important to consider whether someone of the defendant's sex, age, and circumstances might have responded similarly if they had displayed a typical level of self-control and tolerance. The jury's verdict in this case shows that justice was fairly administered.</w:t>
      </w:r>
    </w:p>
    <w:p w14:paraId="621010CA" w14:textId="77777777" w:rsidR="00230D46" w:rsidRPr="00230D46" w:rsidRDefault="00230D46" w:rsidP="00230D46">
      <w:pPr>
        <w:pStyle w:val="NormalWeb"/>
        <w:spacing w:line="276" w:lineRule="auto"/>
        <w:rPr>
          <w:rFonts w:ascii="Arial" w:hAnsi="Arial" w:cs="Arial"/>
          <w:sz w:val="22"/>
          <w:szCs w:val="22"/>
        </w:rPr>
      </w:pPr>
      <w:r w:rsidRPr="00230D46">
        <w:rPr>
          <w:rStyle w:val="Strong"/>
          <w:rFonts w:ascii="Arial" w:hAnsi="Arial" w:cs="Arial"/>
          <w:sz w:val="22"/>
          <w:szCs w:val="22"/>
        </w:rPr>
        <w:t>The change in acts is for the best because the Homicide Act, which came before the Corners and Justice Act, required that the defendant's mental responsibility be significantly impaired, although it did not specify how. According to the new legislation, the defendant's ability to comprehend the nature of their actions, make a reasoned judgement, or exercise self-control must be profoundly impaired.</w:t>
      </w:r>
    </w:p>
    <w:p w14:paraId="1D611177" w14:textId="06261877" w:rsidR="00230D46" w:rsidRPr="00230D46" w:rsidRDefault="00230D46" w:rsidP="00230D46">
      <w:pPr>
        <w:pStyle w:val="NormalWeb"/>
        <w:spacing w:line="276" w:lineRule="auto"/>
        <w:rPr>
          <w:rFonts w:ascii="Arial" w:hAnsi="Arial" w:cs="Arial"/>
          <w:sz w:val="22"/>
          <w:szCs w:val="22"/>
        </w:rPr>
      </w:pPr>
      <w:r w:rsidRPr="00230D46">
        <w:rPr>
          <w:rStyle w:val="Strong"/>
          <w:rFonts w:ascii="Arial" w:hAnsi="Arial" w:cs="Arial"/>
          <w:sz w:val="22"/>
          <w:szCs w:val="22"/>
        </w:rPr>
        <w:t xml:space="preserve">The new act provides sufficient justification for the defendant's behaviour. A defendant, for instance, who has endured long-term emotional abuse, may develop complicated PTSD. It can make them violent, and they might even kill the offender in a fit of rage. Principles of Criminal Law </w:t>
      </w:r>
      <w:r>
        <w:rPr>
          <w:rStyle w:val="Strong"/>
          <w:rFonts w:ascii="Arial" w:hAnsi="Arial" w:cs="Arial"/>
          <w:sz w:val="22"/>
          <w:szCs w:val="22"/>
        </w:rPr>
        <w:t xml:space="preserve"> book have said that </w:t>
      </w:r>
      <w:r w:rsidRPr="00230D46">
        <w:rPr>
          <w:rStyle w:val="Strong"/>
          <w:rFonts w:ascii="Arial" w:hAnsi="Arial" w:cs="Arial"/>
          <w:sz w:val="22"/>
          <w:szCs w:val="22"/>
        </w:rPr>
        <w:t xml:space="preserve">“the provocation must be so extreme that the defendant acted in a murderous rage “Cliff R, Harvey W </w:t>
      </w:r>
      <w:r>
        <w:rPr>
          <w:rStyle w:val="Strong"/>
          <w:rFonts w:ascii="Arial" w:hAnsi="Arial" w:cs="Arial"/>
          <w:sz w:val="22"/>
          <w:szCs w:val="22"/>
        </w:rPr>
        <w:t>(</w:t>
      </w:r>
      <w:r w:rsidRPr="00230D46">
        <w:rPr>
          <w:rStyle w:val="Strong"/>
          <w:rFonts w:ascii="Arial" w:hAnsi="Arial" w:cs="Arial"/>
          <w:sz w:val="22"/>
          <w:szCs w:val="22"/>
        </w:rPr>
        <w:t>2016</w:t>
      </w:r>
      <w:r>
        <w:rPr>
          <w:rStyle w:val="Strong"/>
          <w:rFonts w:ascii="Arial" w:hAnsi="Arial" w:cs="Arial"/>
          <w:sz w:val="22"/>
          <w:szCs w:val="22"/>
        </w:rPr>
        <w:t>)’’</w:t>
      </w:r>
      <w:r w:rsidRPr="00230D46">
        <w:rPr>
          <w:rStyle w:val="Strong"/>
          <w:rFonts w:ascii="Arial" w:hAnsi="Arial" w:cs="Arial"/>
          <w:sz w:val="22"/>
          <w:szCs w:val="22"/>
        </w:rPr>
        <w:t xml:space="preserve"> The Coroners and Justice Act</w:t>
      </w:r>
      <w:r>
        <w:rPr>
          <w:rStyle w:val="Strong"/>
          <w:rFonts w:ascii="Arial" w:hAnsi="Arial" w:cs="Arial"/>
          <w:sz w:val="22"/>
          <w:szCs w:val="22"/>
        </w:rPr>
        <w:t xml:space="preserve"> 2009</w:t>
      </w:r>
      <w:r w:rsidRPr="00230D46">
        <w:rPr>
          <w:rStyle w:val="Strong"/>
          <w:rFonts w:ascii="Arial" w:hAnsi="Arial" w:cs="Arial"/>
          <w:sz w:val="22"/>
          <w:szCs w:val="22"/>
        </w:rPr>
        <w:t xml:space="preserve"> allows the court to look into the offender's mental state and determine whether it had any impact on the actions the defendant performed, which can lead to a more equitable penalty This is a more palatable and equitable method of administering justice compared to the preceding act.</w:t>
      </w:r>
    </w:p>
    <w:p w14:paraId="2FE7D447" w14:textId="77777777" w:rsidR="00230D46" w:rsidRPr="00230D46" w:rsidRDefault="00230D46" w:rsidP="00230D46">
      <w:pPr>
        <w:pStyle w:val="NormalWeb"/>
        <w:spacing w:line="276" w:lineRule="auto"/>
        <w:rPr>
          <w:rFonts w:ascii="Arial" w:hAnsi="Arial" w:cs="Arial"/>
          <w:sz w:val="22"/>
          <w:szCs w:val="22"/>
        </w:rPr>
      </w:pPr>
      <w:r w:rsidRPr="00230D46">
        <w:rPr>
          <w:rStyle w:val="Strong"/>
          <w:rFonts w:ascii="Arial" w:hAnsi="Arial" w:cs="Arial"/>
          <w:sz w:val="22"/>
          <w:szCs w:val="22"/>
        </w:rPr>
        <w:t xml:space="preserve">A year after the new act being introduced a case took place where R V R, EWCA CRIM 194 wife was having an affair with him, he killed his cousin. He used the defence of diminished responsibility at his murder trial. He received a murder conviction. D appealed on the premise that the jury had not been given a definition of "substantial" within the meaning of 'diminished responsibility'. Lord Judge CJ said that “the jury must decide for itself” whether the defendant’s impairment was substantial. This demonstrates a more reasonable case being made where the jury was able to </w:t>
      </w:r>
      <w:proofErr w:type="gramStart"/>
      <w:r w:rsidRPr="00230D46">
        <w:rPr>
          <w:rStyle w:val="Strong"/>
          <w:rFonts w:ascii="Arial" w:hAnsi="Arial" w:cs="Arial"/>
          <w:sz w:val="22"/>
          <w:szCs w:val="22"/>
        </w:rPr>
        <w:t xml:space="preserve">take </w:t>
      </w:r>
      <w:r w:rsidRPr="00230D46">
        <w:rPr>
          <w:rStyle w:val="Strong"/>
          <w:rFonts w:ascii="Arial" w:hAnsi="Arial" w:cs="Arial"/>
          <w:sz w:val="22"/>
          <w:szCs w:val="22"/>
        </w:rPr>
        <w:lastRenderedPageBreak/>
        <w:t>into account</w:t>
      </w:r>
      <w:proofErr w:type="gramEnd"/>
      <w:r w:rsidRPr="00230D46">
        <w:rPr>
          <w:rStyle w:val="Strong"/>
          <w:rFonts w:ascii="Arial" w:hAnsi="Arial" w:cs="Arial"/>
          <w:sz w:val="22"/>
          <w:szCs w:val="22"/>
        </w:rPr>
        <w:t xml:space="preserve"> the defendant's promise of diminished responsibility and eventually agree or disagree.</w:t>
      </w:r>
    </w:p>
    <w:p w14:paraId="6BC77DA9" w14:textId="77777777" w:rsidR="00230D46" w:rsidRPr="00230D46" w:rsidRDefault="00230D46" w:rsidP="00230D46">
      <w:pPr>
        <w:pStyle w:val="NormalWeb"/>
        <w:spacing w:after="240" w:afterAutospacing="0" w:line="276" w:lineRule="auto"/>
        <w:rPr>
          <w:rFonts w:ascii="Arial" w:hAnsi="Arial" w:cs="Arial"/>
          <w:sz w:val="22"/>
          <w:szCs w:val="22"/>
        </w:rPr>
      </w:pPr>
      <w:r w:rsidRPr="00230D46">
        <w:rPr>
          <w:rStyle w:val="Strong"/>
          <w:rFonts w:ascii="Arial" w:hAnsi="Arial" w:cs="Arial"/>
          <w:sz w:val="22"/>
          <w:szCs w:val="22"/>
        </w:rPr>
        <w:t>It should be noted that the former Lead Chief Justice Lord Judge claims that "by contrast with the former law if provocation, these provisions have raised the bar." However, if the law requiring mandatory life sentences for murder were repealed, the loss of self-control might be viewed differently and used less frequently. There would be fewer instances of diminished responsibility. Besides the fact that only psychopaths would be prosecuted for murder and life sentences would be abolished, this might influence the trajectory of criminal law in the justice system.</w:t>
      </w:r>
    </w:p>
    <w:p w14:paraId="5F2C9C60" w14:textId="77777777" w:rsidR="00230D46" w:rsidRPr="00230D46" w:rsidRDefault="00230D46" w:rsidP="00230D46">
      <w:pPr>
        <w:pStyle w:val="NormalWeb"/>
        <w:spacing w:after="240" w:afterAutospacing="0" w:line="276" w:lineRule="auto"/>
        <w:rPr>
          <w:rFonts w:ascii="Arial" w:hAnsi="Arial" w:cs="Arial"/>
          <w:sz w:val="22"/>
          <w:szCs w:val="22"/>
        </w:rPr>
      </w:pPr>
      <w:r w:rsidRPr="00230D46">
        <w:rPr>
          <w:rStyle w:val="Strong"/>
          <w:rFonts w:ascii="Arial" w:hAnsi="Arial" w:cs="Arial"/>
          <w:sz w:val="22"/>
          <w:szCs w:val="22"/>
        </w:rPr>
        <w:t>As was previously said, when the Coroners and Justice Act of 2009 was implemented, it altered how the justice system changed. It is evident that the act has revolutionized how diminished responsibility is carried out with greater transparency and equality throughout all court hearings. The Homicide Act, which predated the Corners and Justice Act, required that the defendant's mental responsibility be considerably affected, albeit it did not specify how. As a result, it is best that the laws have changed. The new law requires that the defendant's capacity to understand the nature of their actions, form a valid judgement, or exercise self-control be seriously compromised.</w:t>
      </w:r>
    </w:p>
    <w:p w14:paraId="4D7802F0" w14:textId="77777777" w:rsidR="00230D46" w:rsidRPr="00230D46" w:rsidRDefault="00230D46" w:rsidP="00230D46">
      <w:pPr>
        <w:pStyle w:val="NormalWeb"/>
        <w:spacing w:line="276" w:lineRule="auto"/>
        <w:rPr>
          <w:rFonts w:ascii="Arial" w:hAnsi="Arial" w:cs="Arial"/>
          <w:sz w:val="22"/>
          <w:szCs w:val="22"/>
        </w:rPr>
      </w:pPr>
    </w:p>
    <w:p w14:paraId="72AFE6FD" w14:textId="613D7BA2" w:rsidR="004456A6" w:rsidRPr="00230D46" w:rsidRDefault="004456A6" w:rsidP="00230D46">
      <w:pPr>
        <w:spacing w:line="276" w:lineRule="auto"/>
        <w:rPr>
          <w:rFonts w:ascii="Arial" w:hAnsi="Arial" w:cs="Arial"/>
          <w:sz w:val="22"/>
          <w:szCs w:val="22"/>
        </w:rPr>
      </w:pPr>
    </w:p>
    <w:p w14:paraId="0EBCDC48" w14:textId="7E5B753E" w:rsidR="004456A6" w:rsidRPr="00230D46" w:rsidRDefault="004456A6" w:rsidP="00230D46">
      <w:pPr>
        <w:spacing w:line="276" w:lineRule="auto"/>
        <w:rPr>
          <w:rFonts w:ascii="Arial" w:hAnsi="Arial" w:cs="Arial"/>
          <w:sz w:val="22"/>
          <w:szCs w:val="22"/>
        </w:rPr>
      </w:pPr>
    </w:p>
    <w:p w14:paraId="15ADC97B" w14:textId="47173432" w:rsidR="004456A6" w:rsidRPr="00230D46" w:rsidRDefault="004456A6" w:rsidP="00230D46">
      <w:pPr>
        <w:spacing w:line="276" w:lineRule="auto"/>
        <w:rPr>
          <w:rFonts w:ascii="Arial" w:hAnsi="Arial" w:cs="Arial"/>
          <w:sz w:val="22"/>
          <w:szCs w:val="22"/>
        </w:rPr>
      </w:pPr>
    </w:p>
    <w:p w14:paraId="603A4B10" w14:textId="375E8A0B" w:rsidR="004456A6" w:rsidRPr="00230D46" w:rsidRDefault="004456A6" w:rsidP="00230D46">
      <w:pPr>
        <w:spacing w:line="276" w:lineRule="auto"/>
        <w:rPr>
          <w:rFonts w:ascii="Arial" w:hAnsi="Arial" w:cs="Arial"/>
          <w:sz w:val="22"/>
          <w:szCs w:val="22"/>
        </w:rPr>
      </w:pPr>
    </w:p>
    <w:p w14:paraId="40E28AAF" w14:textId="4DEF2860" w:rsidR="004456A6" w:rsidRPr="00230D46" w:rsidRDefault="004456A6" w:rsidP="00230D46">
      <w:pPr>
        <w:spacing w:line="276" w:lineRule="auto"/>
        <w:rPr>
          <w:rFonts w:ascii="Arial" w:hAnsi="Arial" w:cs="Arial"/>
          <w:sz w:val="22"/>
          <w:szCs w:val="22"/>
        </w:rPr>
      </w:pPr>
    </w:p>
    <w:p w14:paraId="1FE1DFD4" w14:textId="375486CC" w:rsidR="004456A6" w:rsidRPr="00230D46" w:rsidRDefault="004456A6" w:rsidP="00230D46">
      <w:pPr>
        <w:spacing w:line="276" w:lineRule="auto"/>
        <w:rPr>
          <w:rFonts w:ascii="Arial" w:hAnsi="Arial" w:cs="Arial"/>
          <w:sz w:val="22"/>
          <w:szCs w:val="22"/>
        </w:rPr>
      </w:pPr>
    </w:p>
    <w:p w14:paraId="40C412F1" w14:textId="5075B39D" w:rsidR="004456A6" w:rsidRPr="00230D46" w:rsidRDefault="004456A6" w:rsidP="00230D46">
      <w:pPr>
        <w:spacing w:line="276" w:lineRule="auto"/>
        <w:rPr>
          <w:rFonts w:ascii="Arial" w:hAnsi="Arial" w:cs="Arial"/>
          <w:sz w:val="22"/>
          <w:szCs w:val="22"/>
        </w:rPr>
      </w:pPr>
    </w:p>
    <w:p w14:paraId="4E787DE7" w14:textId="7F82E805" w:rsidR="001B0EA9" w:rsidRPr="00230D46" w:rsidRDefault="001B0EA9" w:rsidP="00230D46">
      <w:pPr>
        <w:spacing w:line="276" w:lineRule="auto"/>
        <w:rPr>
          <w:rFonts w:ascii="Arial" w:hAnsi="Arial" w:cs="Arial"/>
          <w:sz w:val="22"/>
          <w:szCs w:val="22"/>
        </w:rPr>
      </w:pPr>
    </w:p>
    <w:p w14:paraId="5C0C179A" w14:textId="56F25EAA" w:rsidR="001B0EA9" w:rsidRPr="00230D46" w:rsidRDefault="001B0EA9" w:rsidP="00230D46">
      <w:pPr>
        <w:spacing w:line="276" w:lineRule="auto"/>
        <w:rPr>
          <w:rFonts w:ascii="Arial" w:hAnsi="Arial" w:cs="Arial"/>
          <w:sz w:val="22"/>
          <w:szCs w:val="22"/>
        </w:rPr>
      </w:pPr>
    </w:p>
    <w:p w14:paraId="2B2672EE" w14:textId="7D13DFC3" w:rsidR="001B0EA9" w:rsidRPr="00230D46" w:rsidRDefault="001B0EA9" w:rsidP="00230D46">
      <w:pPr>
        <w:spacing w:line="276" w:lineRule="auto"/>
        <w:rPr>
          <w:rFonts w:ascii="Arial" w:hAnsi="Arial" w:cs="Arial"/>
          <w:sz w:val="22"/>
          <w:szCs w:val="22"/>
        </w:rPr>
      </w:pPr>
    </w:p>
    <w:p w14:paraId="7E7C2ABB" w14:textId="77777777" w:rsidR="001B0EA9" w:rsidRPr="00230D46" w:rsidRDefault="001B0EA9" w:rsidP="00230D46">
      <w:pPr>
        <w:spacing w:line="276" w:lineRule="auto"/>
        <w:rPr>
          <w:rFonts w:ascii="Arial" w:hAnsi="Arial" w:cs="Arial"/>
          <w:sz w:val="22"/>
          <w:szCs w:val="22"/>
        </w:rPr>
      </w:pPr>
    </w:p>
    <w:p w14:paraId="4B8936F4" w14:textId="7E8540B4" w:rsidR="004456A6" w:rsidRDefault="004456A6" w:rsidP="00230D46">
      <w:pPr>
        <w:spacing w:line="276" w:lineRule="auto"/>
        <w:rPr>
          <w:rFonts w:ascii="Arial" w:hAnsi="Arial" w:cs="Arial"/>
          <w:sz w:val="22"/>
          <w:szCs w:val="22"/>
        </w:rPr>
      </w:pPr>
    </w:p>
    <w:p w14:paraId="5910316D" w14:textId="5D44FC23" w:rsidR="00230D46" w:rsidRDefault="00230D46" w:rsidP="00230D46">
      <w:pPr>
        <w:spacing w:line="276" w:lineRule="auto"/>
        <w:rPr>
          <w:rFonts w:ascii="Arial" w:hAnsi="Arial" w:cs="Arial"/>
          <w:sz w:val="22"/>
          <w:szCs w:val="22"/>
        </w:rPr>
      </w:pPr>
    </w:p>
    <w:p w14:paraId="3A89A6E1" w14:textId="4DD3C940" w:rsidR="00230D46" w:rsidRDefault="00230D46" w:rsidP="00230D46">
      <w:pPr>
        <w:spacing w:line="276" w:lineRule="auto"/>
        <w:rPr>
          <w:rFonts w:ascii="Arial" w:hAnsi="Arial" w:cs="Arial"/>
          <w:sz w:val="22"/>
          <w:szCs w:val="22"/>
        </w:rPr>
      </w:pPr>
    </w:p>
    <w:p w14:paraId="50DC68FA" w14:textId="32B418A9" w:rsidR="00230D46" w:rsidRDefault="00230D46" w:rsidP="00230D46">
      <w:pPr>
        <w:spacing w:line="276" w:lineRule="auto"/>
        <w:rPr>
          <w:rFonts w:ascii="Arial" w:hAnsi="Arial" w:cs="Arial"/>
          <w:sz w:val="22"/>
          <w:szCs w:val="22"/>
        </w:rPr>
      </w:pPr>
    </w:p>
    <w:p w14:paraId="4222DD11" w14:textId="4E87AE91" w:rsidR="00230D46" w:rsidRDefault="00230D46" w:rsidP="00230D46">
      <w:pPr>
        <w:spacing w:line="276" w:lineRule="auto"/>
        <w:rPr>
          <w:rFonts w:ascii="Arial" w:hAnsi="Arial" w:cs="Arial"/>
          <w:sz w:val="22"/>
          <w:szCs w:val="22"/>
        </w:rPr>
      </w:pPr>
    </w:p>
    <w:p w14:paraId="4640BEE7" w14:textId="4FDDDEB5" w:rsidR="00230D46" w:rsidRDefault="00230D46" w:rsidP="00230D46">
      <w:pPr>
        <w:spacing w:line="276" w:lineRule="auto"/>
        <w:rPr>
          <w:rFonts w:ascii="Arial" w:hAnsi="Arial" w:cs="Arial"/>
          <w:sz w:val="22"/>
          <w:szCs w:val="22"/>
        </w:rPr>
      </w:pPr>
    </w:p>
    <w:p w14:paraId="0DB5B746" w14:textId="0F44B307" w:rsidR="00230D46" w:rsidRDefault="00230D46" w:rsidP="00230D46">
      <w:pPr>
        <w:spacing w:line="276" w:lineRule="auto"/>
        <w:rPr>
          <w:rFonts w:ascii="Arial" w:hAnsi="Arial" w:cs="Arial"/>
          <w:sz w:val="22"/>
          <w:szCs w:val="22"/>
        </w:rPr>
      </w:pPr>
    </w:p>
    <w:p w14:paraId="5994C8AA" w14:textId="3BE319A5" w:rsidR="00230D46" w:rsidRDefault="00230D46" w:rsidP="00230D46">
      <w:pPr>
        <w:spacing w:line="276" w:lineRule="auto"/>
        <w:rPr>
          <w:rFonts w:ascii="Arial" w:hAnsi="Arial" w:cs="Arial"/>
          <w:sz w:val="22"/>
          <w:szCs w:val="22"/>
        </w:rPr>
      </w:pPr>
    </w:p>
    <w:p w14:paraId="125B9A66" w14:textId="5F3EEB28" w:rsidR="00230D46" w:rsidRDefault="00230D46" w:rsidP="00230D46">
      <w:pPr>
        <w:spacing w:line="276" w:lineRule="auto"/>
        <w:rPr>
          <w:rFonts w:ascii="Arial" w:hAnsi="Arial" w:cs="Arial"/>
          <w:sz w:val="22"/>
          <w:szCs w:val="22"/>
        </w:rPr>
      </w:pPr>
    </w:p>
    <w:p w14:paraId="0BD04EE7" w14:textId="77777777" w:rsidR="00230D46" w:rsidRPr="00230D46" w:rsidRDefault="00230D46" w:rsidP="00230D46">
      <w:pPr>
        <w:spacing w:line="276" w:lineRule="auto"/>
        <w:rPr>
          <w:rFonts w:ascii="Arial" w:hAnsi="Arial" w:cs="Arial"/>
          <w:sz w:val="22"/>
          <w:szCs w:val="22"/>
        </w:rPr>
      </w:pPr>
    </w:p>
    <w:p w14:paraId="395971FC" w14:textId="77777777" w:rsidR="004456A6" w:rsidRPr="00230D46" w:rsidRDefault="004456A6" w:rsidP="00230D46">
      <w:pPr>
        <w:spacing w:line="276" w:lineRule="auto"/>
        <w:rPr>
          <w:rFonts w:ascii="Arial" w:hAnsi="Arial" w:cs="Arial"/>
          <w:sz w:val="22"/>
          <w:szCs w:val="22"/>
        </w:rPr>
      </w:pPr>
    </w:p>
    <w:p w14:paraId="42700B22" w14:textId="5F67E81F" w:rsidR="00230D46" w:rsidRDefault="00230D46" w:rsidP="00230D46">
      <w:pPr>
        <w:pStyle w:val="NormalWeb"/>
        <w:spacing w:line="276" w:lineRule="auto"/>
        <w:ind w:left="567" w:hanging="567"/>
        <w:rPr>
          <w:rFonts w:ascii="Arial" w:hAnsi="Arial" w:cs="Arial"/>
          <w:sz w:val="22"/>
          <w:szCs w:val="22"/>
        </w:rPr>
      </w:pPr>
    </w:p>
    <w:p w14:paraId="3040E61F" w14:textId="28DC678A" w:rsidR="00230D46" w:rsidRDefault="00230D46" w:rsidP="00230D46">
      <w:pPr>
        <w:pStyle w:val="NormalWeb"/>
        <w:spacing w:line="276" w:lineRule="auto"/>
        <w:ind w:left="567" w:hanging="567"/>
        <w:rPr>
          <w:rFonts w:ascii="Arial" w:hAnsi="Arial" w:cs="Arial"/>
          <w:sz w:val="22"/>
          <w:szCs w:val="22"/>
        </w:rPr>
      </w:pPr>
      <w:r>
        <w:rPr>
          <w:rFonts w:ascii="Arial" w:hAnsi="Arial" w:cs="Arial"/>
          <w:sz w:val="22"/>
          <w:szCs w:val="22"/>
        </w:rPr>
        <w:lastRenderedPageBreak/>
        <w:t xml:space="preserve">Reference list:  </w:t>
      </w:r>
    </w:p>
    <w:p w14:paraId="1C4F3BAF" w14:textId="516FA093"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sz w:val="22"/>
          <w:szCs w:val="22"/>
        </w:rPr>
        <w:t xml:space="preserve">5002021, L. </w:t>
      </w:r>
      <w:r w:rsidRPr="00230D46">
        <w:rPr>
          <w:rFonts w:ascii="Arial" w:hAnsi="Arial" w:cs="Arial"/>
          <w:i/>
          <w:iCs/>
          <w:sz w:val="22"/>
          <w:szCs w:val="22"/>
        </w:rPr>
        <w:t>et al.</w:t>
      </w:r>
      <w:r w:rsidRPr="00230D46">
        <w:rPr>
          <w:rFonts w:ascii="Arial" w:hAnsi="Arial" w:cs="Arial"/>
          <w:sz w:val="22"/>
          <w:szCs w:val="22"/>
        </w:rPr>
        <w:t xml:space="preserve"> (2021) </w:t>
      </w:r>
      <w:r w:rsidRPr="00230D46">
        <w:rPr>
          <w:rFonts w:ascii="Arial" w:hAnsi="Arial" w:cs="Arial"/>
          <w:i/>
          <w:iCs/>
          <w:sz w:val="22"/>
          <w:szCs w:val="22"/>
        </w:rPr>
        <w:t xml:space="preserve">Criminal law defence solicitors - </w:t>
      </w:r>
      <w:proofErr w:type="spellStart"/>
      <w:r w:rsidRPr="00230D46">
        <w:rPr>
          <w:rFonts w:ascii="Arial" w:hAnsi="Arial" w:cs="Arial"/>
          <w:i/>
          <w:iCs/>
          <w:sz w:val="22"/>
          <w:szCs w:val="22"/>
        </w:rPr>
        <w:t>birmingham</w:t>
      </w:r>
      <w:proofErr w:type="spellEnd"/>
      <w:r w:rsidRPr="00230D46">
        <w:rPr>
          <w:rFonts w:ascii="Arial" w:hAnsi="Arial" w:cs="Arial"/>
          <w:i/>
          <w:iCs/>
          <w:sz w:val="22"/>
          <w:szCs w:val="22"/>
        </w:rPr>
        <w:t xml:space="preserve"> &amp; </w:t>
      </w:r>
      <w:proofErr w:type="spellStart"/>
      <w:r w:rsidRPr="00230D46">
        <w:rPr>
          <w:rFonts w:ascii="Arial" w:hAnsi="Arial" w:cs="Arial"/>
          <w:i/>
          <w:iCs/>
          <w:sz w:val="22"/>
          <w:szCs w:val="22"/>
        </w:rPr>
        <w:t>london</w:t>
      </w:r>
      <w:proofErr w:type="spellEnd"/>
      <w:r w:rsidRPr="00230D46">
        <w:rPr>
          <w:rFonts w:ascii="Arial" w:hAnsi="Arial" w:cs="Arial"/>
          <w:i/>
          <w:iCs/>
          <w:sz w:val="22"/>
          <w:szCs w:val="22"/>
        </w:rPr>
        <w:t xml:space="preserve"> - GQS solicitors</w:t>
      </w:r>
      <w:r w:rsidRPr="00230D46">
        <w:rPr>
          <w:rFonts w:ascii="Arial" w:hAnsi="Arial" w:cs="Arial"/>
          <w:sz w:val="22"/>
          <w:szCs w:val="22"/>
        </w:rPr>
        <w:t xml:space="preserve">, </w:t>
      </w:r>
      <w:r w:rsidRPr="00230D46">
        <w:rPr>
          <w:rFonts w:ascii="Arial" w:hAnsi="Arial" w:cs="Arial"/>
          <w:i/>
          <w:iCs/>
          <w:sz w:val="22"/>
          <w:szCs w:val="22"/>
        </w:rPr>
        <w:t>GQS Criminal Law Solicitors</w:t>
      </w:r>
      <w:r w:rsidRPr="00230D46">
        <w:rPr>
          <w:rFonts w:ascii="Arial" w:hAnsi="Arial" w:cs="Arial"/>
          <w:sz w:val="22"/>
          <w:szCs w:val="22"/>
        </w:rPr>
        <w:t xml:space="preserve">. Available at: https://gqs-solicitors.co.uk/ (Accessed: March 2, 2023). </w:t>
      </w:r>
    </w:p>
    <w:p w14:paraId="26B15828" w14:textId="77777777" w:rsidR="000D7E87" w:rsidRPr="00230D46" w:rsidRDefault="000D7E87" w:rsidP="00230D46">
      <w:pPr>
        <w:pStyle w:val="NormalWeb"/>
        <w:spacing w:line="276" w:lineRule="auto"/>
        <w:ind w:left="567" w:hanging="567"/>
        <w:rPr>
          <w:rFonts w:ascii="Arial" w:hAnsi="Arial" w:cs="Arial"/>
          <w:sz w:val="22"/>
          <w:szCs w:val="22"/>
        </w:rPr>
      </w:pPr>
      <w:proofErr w:type="spellStart"/>
      <w:r w:rsidRPr="00230D46">
        <w:rPr>
          <w:rFonts w:ascii="Arial" w:hAnsi="Arial" w:cs="Arial"/>
          <w:sz w:val="22"/>
          <w:szCs w:val="22"/>
        </w:rPr>
        <w:t>Ashmans</w:t>
      </w:r>
      <w:proofErr w:type="spellEnd"/>
      <w:r w:rsidRPr="00230D46">
        <w:rPr>
          <w:rFonts w:ascii="Arial" w:hAnsi="Arial" w:cs="Arial"/>
          <w:sz w:val="22"/>
          <w:szCs w:val="22"/>
        </w:rPr>
        <w:t xml:space="preserve"> Solicitors (2023) </w:t>
      </w:r>
      <w:r w:rsidRPr="00230D46">
        <w:rPr>
          <w:rFonts w:ascii="Arial" w:hAnsi="Arial" w:cs="Arial"/>
          <w:i/>
          <w:iCs/>
          <w:sz w:val="22"/>
          <w:szCs w:val="22"/>
        </w:rPr>
        <w:t xml:space="preserve">Murder trials: What is diminished </w:t>
      </w:r>
      <w:proofErr w:type="gramStart"/>
      <w:r w:rsidRPr="00230D46">
        <w:rPr>
          <w:rFonts w:ascii="Arial" w:hAnsi="Arial" w:cs="Arial"/>
          <w:i/>
          <w:iCs/>
          <w:sz w:val="22"/>
          <w:szCs w:val="22"/>
        </w:rPr>
        <w:t>responsibility?</w:t>
      </w:r>
      <w:r w:rsidRPr="00230D46">
        <w:rPr>
          <w:rFonts w:ascii="Arial" w:hAnsi="Arial" w:cs="Arial"/>
          <w:sz w:val="22"/>
          <w:szCs w:val="22"/>
        </w:rPr>
        <w:t>,</w:t>
      </w:r>
      <w:proofErr w:type="gramEnd"/>
      <w:r w:rsidRPr="00230D46">
        <w:rPr>
          <w:rFonts w:ascii="Arial" w:hAnsi="Arial" w:cs="Arial"/>
          <w:sz w:val="22"/>
          <w:szCs w:val="22"/>
        </w:rPr>
        <w:t xml:space="preserve"> </w:t>
      </w:r>
      <w:proofErr w:type="spellStart"/>
      <w:r w:rsidRPr="00230D46">
        <w:rPr>
          <w:rFonts w:ascii="Arial" w:hAnsi="Arial" w:cs="Arial"/>
          <w:i/>
          <w:iCs/>
          <w:sz w:val="22"/>
          <w:szCs w:val="22"/>
        </w:rPr>
        <w:t>Ashmans</w:t>
      </w:r>
      <w:proofErr w:type="spellEnd"/>
      <w:r w:rsidRPr="00230D46">
        <w:rPr>
          <w:rFonts w:ascii="Arial" w:hAnsi="Arial" w:cs="Arial"/>
          <w:i/>
          <w:iCs/>
          <w:sz w:val="22"/>
          <w:szCs w:val="22"/>
        </w:rPr>
        <w:t xml:space="preserve"> Solicitors</w:t>
      </w:r>
      <w:r w:rsidRPr="00230D46">
        <w:rPr>
          <w:rFonts w:ascii="Arial" w:hAnsi="Arial" w:cs="Arial"/>
          <w:sz w:val="22"/>
          <w:szCs w:val="22"/>
        </w:rPr>
        <w:t xml:space="preserve">. Available at: https://www.ashmanssolicitors.com/articles/murder-trials-what-is-diminished-responsibility/#:~:text=Diminished%20responsibility%20is%20a%20partial,to%20that%20of%20voluntary%20manslaughter. (Accessed: March 2, 2023). </w:t>
      </w:r>
    </w:p>
    <w:p w14:paraId="7C8FB71E" w14:textId="7E356F3B" w:rsidR="000D7E87" w:rsidRDefault="000D7E87" w:rsidP="00230D46">
      <w:pPr>
        <w:pStyle w:val="NormalWeb"/>
        <w:spacing w:line="276" w:lineRule="auto"/>
        <w:ind w:left="567" w:hanging="567"/>
        <w:rPr>
          <w:rFonts w:ascii="Arial" w:hAnsi="Arial" w:cs="Arial"/>
          <w:sz w:val="22"/>
          <w:szCs w:val="22"/>
        </w:rPr>
      </w:pPr>
      <w:r w:rsidRPr="00230D46">
        <w:rPr>
          <w:rFonts w:ascii="Arial" w:hAnsi="Arial" w:cs="Arial"/>
          <w:sz w:val="22"/>
          <w:szCs w:val="22"/>
        </w:rPr>
        <w:t xml:space="preserve">Evans, G. (no date) </w:t>
      </w:r>
      <w:r w:rsidRPr="00230D46">
        <w:rPr>
          <w:rFonts w:ascii="Arial" w:hAnsi="Arial" w:cs="Arial"/>
          <w:i/>
          <w:iCs/>
          <w:sz w:val="22"/>
          <w:szCs w:val="22"/>
        </w:rPr>
        <w:t>Diminished responsibility notes: Digestible notes</w:t>
      </w:r>
      <w:r w:rsidRPr="00230D46">
        <w:rPr>
          <w:rFonts w:ascii="Arial" w:hAnsi="Arial" w:cs="Arial"/>
          <w:sz w:val="22"/>
          <w:szCs w:val="22"/>
        </w:rPr>
        <w:t xml:space="preserve">, </w:t>
      </w:r>
      <w:r w:rsidRPr="00230D46">
        <w:rPr>
          <w:rFonts w:ascii="Arial" w:hAnsi="Arial" w:cs="Arial"/>
          <w:i/>
          <w:iCs/>
          <w:sz w:val="22"/>
          <w:szCs w:val="22"/>
        </w:rPr>
        <w:t>Diminished Responsibility Notes | Digestible Notes</w:t>
      </w:r>
      <w:r w:rsidRPr="00230D46">
        <w:rPr>
          <w:rFonts w:ascii="Arial" w:hAnsi="Arial" w:cs="Arial"/>
          <w:sz w:val="22"/>
          <w:szCs w:val="22"/>
        </w:rPr>
        <w:t xml:space="preserve">. Available at: https://digestiblenotes.com/law/criminal/diminished_responsibility.php (Accessed: March 2, 2023). </w:t>
      </w:r>
    </w:p>
    <w:p w14:paraId="62F920F8" w14:textId="25F8F157" w:rsidR="00EB3C4C" w:rsidRPr="00230D46" w:rsidRDefault="00EB3C4C" w:rsidP="00EB3C4C">
      <w:pPr>
        <w:pStyle w:val="NormalWeb"/>
        <w:spacing w:line="276" w:lineRule="auto"/>
        <w:rPr>
          <w:rFonts w:ascii="Arial" w:hAnsi="Arial" w:cs="Arial"/>
          <w:sz w:val="22"/>
          <w:szCs w:val="22"/>
        </w:rPr>
      </w:pPr>
      <w:r w:rsidRPr="00EB3C4C">
        <w:rPr>
          <w:rFonts w:ascii="Arial" w:hAnsi="Arial" w:cs="Arial"/>
          <w:sz w:val="22"/>
          <w:szCs w:val="22"/>
        </w:rPr>
        <w:t xml:space="preserve">Evans, G. (no date) </w:t>
      </w:r>
      <w:r w:rsidRPr="00EB3C4C">
        <w:rPr>
          <w:rFonts w:ascii="Arial" w:hAnsi="Arial" w:cs="Arial"/>
          <w:i/>
          <w:iCs/>
          <w:sz w:val="22"/>
          <w:szCs w:val="22"/>
        </w:rPr>
        <w:t>Manslaughter: Diminished responsibility cases: Digestible notes</w:t>
      </w:r>
      <w:r w:rsidRPr="00EB3C4C">
        <w:rPr>
          <w:rFonts w:ascii="Arial" w:hAnsi="Arial" w:cs="Arial"/>
          <w:sz w:val="22"/>
          <w:szCs w:val="22"/>
        </w:rPr>
        <w:t xml:space="preserve">, </w:t>
      </w:r>
      <w:r w:rsidRPr="00EB3C4C">
        <w:rPr>
          <w:rFonts w:ascii="Arial" w:hAnsi="Arial" w:cs="Arial"/>
          <w:i/>
          <w:iCs/>
          <w:sz w:val="22"/>
          <w:szCs w:val="22"/>
        </w:rPr>
        <w:t>Manslaughter: Diminished Responsibility Cases | Digestible Notes</w:t>
      </w:r>
      <w:r w:rsidRPr="00EB3C4C">
        <w:rPr>
          <w:rFonts w:ascii="Arial" w:hAnsi="Arial" w:cs="Arial"/>
          <w:sz w:val="22"/>
          <w:szCs w:val="22"/>
        </w:rPr>
        <w:t xml:space="preserve">. Available at: https://digestiblenotes.com/law/criminal_cases/diminished_responsibility.php (Accessed: March 3, 2023). </w:t>
      </w:r>
    </w:p>
    <w:p w14:paraId="3070E9C5" w14:textId="77777777"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sz w:val="22"/>
          <w:szCs w:val="22"/>
        </w:rPr>
        <w:t xml:space="preserve">Evans, G. (no date) </w:t>
      </w:r>
      <w:r w:rsidRPr="00230D46">
        <w:rPr>
          <w:rFonts w:ascii="Arial" w:hAnsi="Arial" w:cs="Arial"/>
          <w:i/>
          <w:iCs/>
          <w:sz w:val="22"/>
          <w:szCs w:val="22"/>
        </w:rPr>
        <w:t>Diminished responsibility notes: Digestible notes</w:t>
      </w:r>
      <w:r w:rsidRPr="00230D46">
        <w:rPr>
          <w:rFonts w:ascii="Arial" w:hAnsi="Arial" w:cs="Arial"/>
          <w:sz w:val="22"/>
          <w:szCs w:val="22"/>
        </w:rPr>
        <w:t xml:space="preserve">, </w:t>
      </w:r>
      <w:r w:rsidRPr="00230D46">
        <w:rPr>
          <w:rFonts w:ascii="Arial" w:hAnsi="Arial" w:cs="Arial"/>
          <w:i/>
          <w:iCs/>
          <w:sz w:val="22"/>
          <w:szCs w:val="22"/>
        </w:rPr>
        <w:t>Diminished Responsibility Notes | Digestible Notes</w:t>
      </w:r>
      <w:r w:rsidRPr="00230D46">
        <w:rPr>
          <w:rFonts w:ascii="Arial" w:hAnsi="Arial" w:cs="Arial"/>
          <w:sz w:val="22"/>
          <w:szCs w:val="22"/>
        </w:rPr>
        <w:t xml:space="preserve">. Available at: https://digestiblenotes.com/law/criminal/diminished_responsibility.php (Accessed: March 2, 2023). </w:t>
      </w:r>
    </w:p>
    <w:p w14:paraId="76C4E562" w14:textId="77777777"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i/>
          <w:iCs/>
          <w:sz w:val="22"/>
          <w:szCs w:val="22"/>
        </w:rPr>
        <w:t>Fatal offences – voluntary manslaughter – diminished responsibility. - ppt download</w:t>
      </w:r>
      <w:r w:rsidRPr="00230D46">
        <w:rPr>
          <w:rFonts w:ascii="Arial" w:hAnsi="Arial" w:cs="Arial"/>
          <w:sz w:val="22"/>
          <w:szCs w:val="22"/>
        </w:rPr>
        <w:t xml:space="preserve"> (no date) </w:t>
      </w:r>
      <w:proofErr w:type="spellStart"/>
      <w:r w:rsidRPr="00230D46">
        <w:rPr>
          <w:rFonts w:ascii="Arial" w:hAnsi="Arial" w:cs="Arial"/>
          <w:i/>
          <w:iCs/>
          <w:sz w:val="22"/>
          <w:szCs w:val="22"/>
        </w:rPr>
        <w:t>SlidePlayer</w:t>
      </w:r>
      <w:proofErr w:type="spellEnd"/>
      <w:r w:rsidRPr="00230D46">
        <w:rPr>
          <w:rFonts w:ascii="Arial" w:hAnsi="Arial" w:cs="Arial"/>
          <w:sz w:val="22"/>
          <w:szCs w:val="22"/>
        </w:rPr>
        <w:t xml:space="preserve">. Available at: https://slideplayer.com/slide/7413189/ (Accessed: March 2, 2023). </w:t>
      </w:r>
    </w:p>
    <w:p w14:paraId="7AA0D0FE" w14:textId="77777777" w:rsidR="000D7E87" w:rsidRPr="00230D46" w:rsidRDefault="000D7E87" w:rsidP="00230D46">
      <w:pPr>
        <w:pStyle w:val="NormalWeb"/>
        <w:spacing w:line="276" w:lineRule="auto"/>
        <w:ind w:left="567" w:hanging="567"/>
        <w:rPr>
          <w:rFonts w:ascii="Arial" w:hAnsi="Arial" w:cs="Arial"/>
          <w:sz w:val="22"/>
          <w:szCs w:val="22"/>
        </w:rPr>
      </w:pPr>
      <w:proofErr w:type="spellStart"/>
      <w:r w:rsidRPr="00230D46">
        <w:rPr>
          <w:rFonts w:ascii="Arial" w:hAnsi="Arial" w:cs="Arial"/>
          <w:i/>
          <w:iCs/>
          <w:sz w:val="22"/>
          <w:szCs w:val="22"/>
        </w:rPr>
        <w:t>Ljmu</w:t>
      </w:r>
      <w:proofErr w:type="spellEnd"/>
      <w:r w:rsidRPr="00230D46">
        <w:rPr>
          <w:rFonts w:ascii="Arial" w:hAnsi="Arial" w:cs="Arial"/>
          <w:i/>
          <w:iCs/>
          <w:sz w:val="22"/>
          <w:szCs w:val="22"/>
        </w:rPr>
        <w:t xml:space="preserve"> Research Online - Liverpool john </w:t>
      </w:r>
      <w:proofErr w:type="spellStart"/>
      <w:r w:rsidRPr="00230D46">
        <w:rPr>
          <w:rFonts w:ascii="Arial" w:hAnsi="Arial" w:cs="Arial"/>
          <w:i/>
          <w:iCs/>
          <w:sz w:val="22"/>
          <w:szCs w:val="22"/>
        </w:rPr>
        <w:t>moores</w:t>
      </w:r>
      <w:proofErr w:type="spellEnd"/>
      <w:r w:rsidRPr="00230D46">
        <w:rPr>
          <w:rFonts w:ascii="Arial" w:hAnsi="Arial" w:cs="Arial"/>
          <w:i/>
          <w:iCs/>
          <w:sz w:val="22"/>
          <w:szCs w:val="22"/>
        </w:rPr>
        <w:t xml:space="preserve"> university</w:t>
      </w:r>
      <w:r w:rsidRPr="00230D46">
        <w:rPr>
          <w:rFonts w:ascii="Arial" w:hAnsi="Arial" w:cs="Arial"/>
          <w:sz w:val="22"/>
          <w:szCs w:val="22"/>
        </w:rPr>
        <w:t xml:space="preserve"> (no date) </w:t>
      </w:r>
      <w:r w:rsidRPr="00230D46">
        <w:rPr>
          <w:rFonts w:ascii="Arial" w:hAnsi="Arial" w:cs="Arial"/>
          <w:i/>
          <w:iCs/>
          <w:sz w:val="22"/>
          <w:szCs w:val="22"/>
        </w:rPr>
        <w:t>http://researchonline.ljmu.ac.uk/</w:t>
      </w:r>
      <w:r w:rsidRPr="00230D46">
        <w:rPr>
          <w:rFonts w:ascii="Arial" w:hAnsi="Arial" w:cs="Arial"/>
          <w:sz w:val="22"/>
          <w:szCs w:val="22"/>
        </w:rPr>
        <w:t xml:space="preserve">. Liverpool Johns </w:t>
      </w:r>
      <w:proofErr w:type="spellStart"/>
      <w:r w:rsidRPr="00230D46">
        <w:rPr>
          <w:rFonts w:ascii="Arial" w:hAnsi="Arial" w:cs="Arial"/>
          <w:sz w:val="22"/>
          <w:szCs w:val="22"/>
        </w:rPr>
        <w:t>Moores</w:t>
      </w:r>
      <w:proofErr w:type="spellEnd"/>
      <w:r w:rsidRPr="00230D46">
        <w:rPr>
          <w:rFonts w:ascii="Arial" w:hAnsi="Arial" w:cs="Arial"/>
          <w:sz w:val="22"/>
          <w:szCs w:val="22"/>
        </w:rPr>
        <w:t xml:space="preserve"> </w:t>
      </w:r>
      <w:proofErr w:type="gramStart"/>
      <w:r w:rsidRPr="00230D46">
        <w:rPr>
          <w:rFonts w:ascii="Arial" w:hAnsi="Arial" w:cs="Arial"/>
          <w:sz w:val="22"/>
          <w:szCs w:val="22"/>
        </w:rPr>
        <w:t>University .</w:t>
      </w:r>
      <w:proofErr w:type="gramEnd"/>
      <w:r w:rsidRPr="00230D46">
        <w:rPr>
          <w:rFonts w:ascii="Arial" w:hAnsi="Arial" w:cs="Arial"/>
          <w:sz w:val="22"/>
          <w:szCs w:val="22"/>
        </w:rPr>
        <w:t xml:space="preserve"> Available at: https://researchonline.ljmu.ac.uk/id/eprint/4193/3/Honour%20Killings%2C%20Partial%20Defences%20and%20the%20Exclusionary%20Conduct%20Model.pdf (Accessed: March 2, 2023). </w:t>
      </w:r>
    </w:p>
    <w:p w14:paraId="067E8BCD" w14:textId="77777777"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i/>
          <w:iCs/>
          <w:sz w:val="22"/>
          <w:szCs w:val="22"/>
        </w:rPr>
        <w:t>Ministry of Justice</w:t>
      </w:r>
      <w:r w:rsidRPr="00230D46">
        <w:rPr>
          <w:rFonts w:ascii="Arial" w:hAnsi="Arial" w:cs="Arial"/>
          <w:sz w:val="22"/>
          <w:szCs w:val="22"/>
        </w:rPr>
        <w:t xml:space="preserve"> (no date) </w:t>
      </w:r>
      <w:r w:rsidRPr="00230D46">
        <w:rPr>
          <w:rFonts w:ascii="Arial" w:hAnsi="Arial" w:cs="Arial"/>
          <w:i/>
          <w:iCs/>
          <w:sz w:val="22"/>
          <w:szCs w:val="22"/>
        </w:rPr>
        <w:t>GOV.UK</w:t>
      </w:r>
      <w:r w:rsidRPr="00230D46">
        <w:rPr>
          <w:rFonts w:ascii="Arial" w:hAnsi="Arial" w:cs="Arial"/>
          <w:sz w:val="22"/>
          <w:szCs w:val="22"/>
        </w:rPr>
        <w:t xml:space="preserve">. Ministry of </w:t>
      </w:r>
      <w:proofErr w:type="gramStart"/>
      <w:r w:rsidRPr="00230D46">
        <w:rPr>
          <w:rFonts w:ascii="Arial" w:hAnsi="Arial" w:cs="Arial"/>
          <w:sz w:val="22"/>
          <w:szCs w:val="22"/>
        </w:rPr>
        <w:t>Justice .</w:t>
      </w:r>
      <w:proofErr w:type="gramEnd"/>
      <w:r w:rsidRPr="00230D46">
        <w:rPr>
          <w:rFonts w:ascii="Arial" w:hAnsi="Arial" w:cs="Arial"/>
          <w:sz w:val="22"/>
          <w:szCs w:val="22"/>
        </w:rPr>
        <w:t xml:space="preserve"> Available at: https://www.gov.uk/government/organisations/ministry-of-justice (Accessed: March 2, 2023). </w:t>
      </w:r>
    </w:p>
    <w:p w14:paraId="3FC5DDC3" w14:textId="77777777"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sz w:val="22"/>
          <w:szCs w:val="22"/>
        </w:rPr>
        <w:t xml:space="preserve">Person, Alan, M. and Reed, B. (2016) </w:t>
      </w:r>
      <w:r w:rsidRPr="00230D46">
        <w:rPr>
          <w:rFonts w:ascii="Arial" w:hAnsi="Arial" w:cs="Arial"/>
          <w:i/>
          <w:iCs/>
          <w:sz w:val="22"/>
          <w:szCs w:val="22"/>
        </w:rPr>
        <w:t>Loss of control and diminished responsibility: Domestic, comparative</w:t>
      </w:r>
      <w:r w:rsidRPr="00230D46">
        <w:rPr>
          <w:rFonts w:ascii="Arial" w:hAnsi="Arial" w:cs="Arial"/>
          <w:sz w:val="22"/>
          <w:szCs w:val="22"/>
        </w:rPr>
        <w:t xml:space="preserve">, </w:t>
      </w:r>
      <w:r w:rsidRPr="00230D46">
        <w:rPr>
          <w:rFonts w:ascii="Arial" w:hAnsi="Arial" w:cs="Arial"/>
          <w:i/>
          <w:iCs/>
          <w:sz w:val="22"/>
          <w:szCs w:val="22"/>
        </w:rPr>
        <w:t>Taylor &amp; Francis</w:t>
      </w:r>
      <w:r w:rsidRPr="00230D46">
        <w:rPr>
          <w:rFonts w:ascii="Arial" w:hAnsi="Arial" w:cs="Arial"/>
          <w:sz w:val="22"/>
          <w:szCs w:val="22"/>
        </w:rPr>
        <w:t xml:space="preserve">. Taylor &amp; Francis. Available at: https://www.taylorfrancis.com/books/edit/10.4324/9781315593012/loss-control-diminished-responsibility-alan-reed-michael-bohlander (Accessed: March 2, 2023). </w:t>
      </w:r>
    </w:p>
    <w:p w14:paraId="24D954B6" w14:textId="77777777"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i/>
          <w:iCs/>
          <w:sz w:val="22"/>
          <w:szCs w:val="22"/>
        </w:rPr>
        <w:t>Peter Sutcliffe Biography</w:t>
      </w:r>
      <w:r w:rsidRPr="00230D46">
        <w:rPr>
          <w:rFonts w:ascii="Arial" w:hAnsi="Arial" w:cs="Arial"/>
          <w:sz w:val="22"/>
          <w:szCs w:val="22"/>
        </w:rPr>
        <w:t xml:space="preserve"> (2020) </w:t>
      </w:r>
      <w:r w:rsidRPr="00230D46">
        <w:rPr>
          <w:rFonts w:ascii="Arial" w:hAnsi="Arial" w:cs="Arial"/>
          <w:i/>
          <w:iCs/>
          <w:sz w:val="22"/>
          <w:szCs w:val="22"/>
        </w:rPr>
        <w:t>Biography.com</w:t>
      </w:r>
      <w:r w:rsidRPr="00230D46">
        <w:rPr>
          <w:rFonts w:ascii="Arial" w:hAnsi="Arial" w:cs="Arial"/>
          <w:sz w:val="22"/>
          <w:szCs w:val="22"/>
        </w:rPr>
        <w:t xml:space="preserve">. A&amp;E Networks Television. Available at: https://www.biography.com/crime/peter-sutcliffe (Accessed: March 2, 2023). </w:t>
      </w:r>
    </w:p>
    <w:p w14:paraId="296F7A4D" w14:textId="6F4771EE" w:rsidR="000D7E87"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sz w:val="22"/>
          <w:szCs w:val="22"/>
        </w:rPr>
        <w:lastRenderedPageBreak/>
        <w:t xml:space="preserve">ROBERSON, C.L.I.F.F. and WALLACE, H.A.R.V.E.Y. (2016) </w:t>
      </w:r>
      <w:r w:rsidRPr="00230D46">
        <w:rPr>
          <w:rFonts w:ascii="Arial" w:hAnsi="Arial" w:cs="Arial"/>
          <w:i/>
          <w:iCs/>
          <w:sz w:val="22"/>
          <w:szCs w:val="22"/>
        </w:rPr>
        <w:t>PRINCIPLES OF CRIMINAL LAW</w:t>
      </w:r>
      <w:r w:rsidRPr="00230D46">
        <w:rPr>
          <w:rFonts w:ascii="Arial" w:hAnsi="Arial" w:cs="Arial"/>
          <w:sz w:val="22"/>
          <w:szCs w:val="22"/>
        </w:rPr>
        <w:t xml:space="preserve">. SIXTH. NEW YJERSEY, UNITED STATE. </w:t>
      </w:r>
    </w:p>
    <w:p w14:paraId="08613A85" w14:textId="3EE0E0C1" w:rsidR="002C502D" w:rsidRPr="00230D46" w:rsidRDefault="000D7E87" w:rsidP="00230D46">
      <w:pPr>
        <w:pStyle w:val="NormalWeb"/>
        <w:spacing w:line="276" w:lineRule="auto"/>
        <w:ind w:left="567" w:hanging="567"/>
        <w:rPr>
          <w:rFonts w:ascii="Arial" w:hAnsi="Arial" w:cs="Arial"/>
          <w:sz w:val="22"/>
          <w:szCs w:val="22"/>
        </w:rPr>
      </w:pPr>
      <w:r w:rsidRPr="00230D46">
        <w:rPr>
          <w:rFonts w:ascii="Arial" w:hAnsi="Arial" w:cs="Arial"/>
          <w:sz w:val="22"/>
          <w:szCs w:val="22"/>
        </w:rPr>
        <w:t>Wallace, H. and Roberson, C. (2016) Principles of Criminal Law. Pearson Education.</w:t>
      </w:r>
    </w:p>
    <w:p w14:paraId="541B21C1" w14:textId="77777777" w:rsidR="000D7E87" w:rsidRPr="00230D46" w:rsidRDefault="000D7E87" w:rsidP="00230D46">
      <w:pPr>
        <w:pStyle w:val="NormalWeb"/>
        <w:spacing w:line="276" w:lineRule="auto"/>
        <w:ind w:left="567" w:hanging="567"/>
        <w:rPr>
          <w:rFonts w:ascii="Arial" w:hAnsi="Arial" w:cs="Arial"/>
          <w:sz w:val="22"/>
          <w:szCs w:val="22"/>
        </w:rPr>
      </w:pPr>
    </w:p>
    <w:p w14:paraId="464959B1" w14:textId="77777777" w:rsidR="004456A6" w:rsidRPr="00230D46" w:rsidRDefault="004456A6" w:rsidP="00230D46">
      <w:pPr>
        <w:spacing w:line="276" w:lineRule="auto"/>
        <w:rPr>
          <w:rFonts w:ascii="Arial" w:hAnsi="Arial" w:cs="Arial"/>
          <w:sz w:val="22"/>
          <w:szCs w:val="22"/>
        </w:rPr>
      </w:pPr>
    </w:p>
    <w:sectPr w:rsidR="004456A6" w:rsidRPr="00230D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1"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num w:numId="1" w16cid:durableId="1719159991">
    <w:abstractNumId w:val="0"/>
  </w:num>
  <w:num w:numId="2" w16cid:durableId="1307852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01"/>
    <w:rsid w:val="000606AB"/>
    <w:rsid w:val="000D7E87"/>
    <w:rsid w:val="001B0EA9"/>
    <w:rsid w:val="00230D46"/>
    <w:rsid w:val="002C502D"/>
    <w:rsid w:val="004456A6"/>
    <w:rsid w:val="006806E8"/>
    <w:rsid w:val="00BE69B8"/>
    <w:rsid w:val="00C30720"/>
    <w:rsid w:val="00E40801"/>
    <w:rsid w:val="00E50E0C"/>
    <w:rsid w:val="00EB3C4C"/>
    <w:rsid w:val="00F9451F"/>
    <w:rsid w:val="00FC3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048BE"/>
  <w15:chartTrackingRefBased/>
  <w15:docId w15:val="{24A4B70D-9D9C-4E3D-AC66-B173E5463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9B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9B8"/>
    <w:pPr>
      <w:ind w:left="720"/>
      <w:contextualSpacing/>
    </w:pPr>
  </w:style>
  <w:style w:type="paragraph" w:styleId="NormalWeb">
    <w:name w:val="Normal (Web)"/>
    <w:basedOn w:val="Normal"/>
    <w:uiPriority w:val="99"/>
    <w:semiHidden/>
    <w:unhideWhenUsed/>
    <w:rsid w:val="004456A6"/>
    <w:pPr>
      <w:spacing w:before="100" w:beforeAutospacing="1" w:after="100" w:afterAutospacing="1"/>
    </w:pPr>
    <w:rPr>
      <w:sz w:val="24"/>
      <w:szCs w:val="24"/>
    </w:rPr>
  </w:style>
  <w:style w:type="character" w:styleId="Strong">
    <w:name w:val="Strong"/>
    <w:basedOn w:val="DefaultParagraphFont"/>
    <w:uiPriority w:val="22"/>
    <w:qFormat/>
    <w:rsid w:val="004456A6"/>
    <w:rPr>
      <w:b/>
      <w:bCs/>
    </w:rPr>
  </w:style>
  <w:style w:type="character" w:styleId="Hyperlink">
    <w:name w:val="Hyperlink"/>
    <w:basedOn w:val="DefaultParagraphFont"/>
    <w:uiPriority w:val="99"/>
    <w:semiHidden/>
    <w:unhideWhenUsed/>
    <w:rsid w:val="004456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26906">
      <w:bodyDiv w:val="1"/>
      <w:marLeft w:val="0"/>
      <w:marRight w:val="0"/>
      <w:marTop w:val="0"/>
      <w:marBottom w:val="0"/>
      <w:divBdr>
        <w:top w:val="none" w:sz="0" w:space="0" w:color="auto"/>
        <w:left w:val="none" w:sz="0" w:space="0" w:color="auto"/>
        <w:bottom w:val="none" w:sz="0" w:space="0" w:color="auto"/>
        <w:right w:val="none" w:sz="0" w:space="0" w:color="auto"/>
      </w:divBdr>
    </w:div>
    <w:div w:id="801463316">
      <w:bodyDiv w:val="1"/>
      <w:marLeft w:val="0"/>
      <w:marRight w:val="0"/>
      <w:marTop w:val="0"/>
      <w:marBottom w:val="0"/>
      <w:divBdr>
        <w:top w:val="none" w:sz="0" w:space="0" w:color="auto"/>
        <w:left w:val="none" w:sz="0" w:space="0" w:color="auto"/>
        <w:bottom w:val="none" w:sz="0" w:space="0" w:color="auto"/>
        <w:right w:val="none" w:sz="0" w:space="0" w:color="auto"/>
      </w:divBdr>
    </w:div>
    <w:div w:id="807279508">
      <w:bodyDiv w:val="1"/>
      <w:marLeft w:val="0"/>
      <w:marRight w:val="0"/>
      <w:marTop w:val="0"/>
      <w:marBottom w:val="0"/>
      <w:divBdr>
        <w:top w:val="none" w:sz="0" w:space="0" w:color="auto"/>
        <w:left w:val="none" w:sz="0" w:space="0" w:color="auto"/>
        <w:bottom w:val="none" w:sz="0" w:space="0" w:color="auto"/>
        <w:right w:val="none" w:sz="0" w:space="0" w:color="auto"/>
      </w:divBdr>
    </w:div>
    <w:div w:id="1028339574">
      <w:bodyDiv w:val="1"/>
      <w:marLeft w:val="0"/>
      <w:marRight w:val="0"/>
      <w:marTop w:val="0"/>
      <w:marBottom w:val="0"/>
      <w:divBdr>
        <w:top w:val="none" w:sz="0" w:space="0" w:color="auto"/>
        <w:left w:val="none" w:sz="0" w:space="0" w:color="auto"/>
        <w:bottom w:val="none" w:sz="0" w:space="0" w:color="auto"/>
        <w:right w:val="none" w:sz="0" w:space="0" w:color="auto"/>
      </w:divBdr>
    </w:div>
    <w:div w:id="1371417146">
      <w:bodyDiv w:val="1"/>
      <w:marLeft w:val="0"/>
      <w:marRight w:val="0"/>
      <w:marTop w:val="0"/>
      <w:marBottom w:val="0"/>
      <w:divBdr>
        <w:top w:val="none" w:sz="0" w:space="0" w:color="auto"/>
        <w:left w:val="none" w:sz="0" w:space="0" w:color="auto"/>
        <w:bottom w:val="none" w:sz="0" w:space="0" w:color="auto"/>
        <w:right w:val="none" w:sz="0" w:space="0" w:color="auto"/>
      </w:divBdr>
    </w:div>
    <w:div w:id="1952399186">
      <w:bodyDiv w:val="1"/>
      <w:marLeft w:val="0"/>
      <w:marRight w:val="0"/>
      <w:marTop w:val="0"/>
      <w:marBottom w:val="0"/>
      <w:divBdr>
        <w:top w:val="none" w:sz="0" w:space="0" w:color="auto"/>
        <w:left w:val="none" w:sz="0" w:space="0" w:color="auto"/>
        <w:bottom w:val="none" w:sz="0" w:space="0" w:color="auto"/>
        <w:right w:val="none" w:sz="0" w:space="0" w:color="auto"/>
      </w:divBdr>
    </w:div>
    <w:div w:id="202181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447710038775</dc:creator>
  <cp:keywords/>
  <dc:description/>
  <cp:lastModifiedBy>447710038775</cp:lastModifiedBy>
  <cp:revision>7</cp:revision>
  <dcterms:created xsi:type="dcterms:W3CDTF">2023-03-02T18:42:00Z</dcterms:created>
  <dcterms:modified xsi:type="dcterms:W3CDTF">2023-03-03T18:37:00Z</dcterms:modified>
</cp:coreProperties>
</file>