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jpg" ContentType="image/jpeg"/>
  <Override PartName="/word/header2.xml" ContentType="application/vnd.openxmlformats-officedocument.wordprocessingml.header+xml"/>
  <Override PartName="/word/header1.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4E3FB139" /><Relationship Type="http://schemas.openxmlformats.org/package/2006/relationships/metadata/core-properties" Target="docProps/core.xml" Id="R7059F8FF" /><Relationship Type="http://schemas.openxmlformats.org/officeDocument/2006/relationships/extended-properties" Target="docProps/app.xml" Id="Rd74d010f2f2243a5" /></Relationships>
</file>

<file path=word/document.xml><?xml version="1.0" encoding="utf-8"?>
<w:document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xmlns:pic="http://schemas.openxmlformats.org/drawingml/2006/picture" mc:Ignorable="w14 wp14">
  <w:body>
    <w:p xmlns:wp14="http://schemas.microsoft.com/office/word/2010/wordml" w14:paraId="29D6B04F" wp14:textId="77777777">
      <w:pPr>
        <w:spacing w:before="0" w:after="277" w:line="259" w:lineRule="auto"/>
        <w:ind w:left="55" w:right="0" w:firstLine="0"/>
        <w:jc w:val="center"/>
      </w:pPr>
      <w:r>
        <w:rPr>
          <w:color w:val="000000"/>
        </w:rPr>
        <w:t xml:space="preserve"> </w:t>
      </w:r>
    </w:p>
    <w:p xmlns:wp14="http://schemas.microsoft.com/office/word/2010/wordml" w14:paraId="0A6959E7" wp14:textId="77777777">
      <w:pPr>
        <w:spacing w:before="0" w:after="277" w:line="259" w:lineRule="auto"/>
        <w:ind w:left="55" w:right="0" w:firstLine="0"/>
        <w:jc w:val="center"/>
      </w:pPr>
      <w:r>
        <w:rPr>
          <w:color w:val="000000"/>
        </w:rPr>
        <w:t xml:space="preserve"> </w:t>
      </w:r>
    </w:p>
    <w:p xmlns:wp14="http://schemas.microsoft.com/office/word/2010/wordml" w14:paraId="100C5B58" wp14:textId="77777777">
      <w:pPr>
        <w:spacing w:before="0" w:after="272" w:line="259" w:lineRule="auto"/>
        <w:ind w:left="55" w:right="0" w:firstLine="0"/>
        <w:jc w:val="center"/>
      </w:pPr>
      <w:r>
        <w:rPr>
          <w:color w:val="000000"/>
        </w:rPr>
        <w:t xml:space="preserve"> </w:t>
      </w:r>
    </w:p>
    <w:p xmlns:wp14="http://schemas.microsoft.com/office/word/2010/wordml" w14:paraId="12F40E89" wp14:textId="77777777">
      <w:pPr>
        <w:spacing w:before="0" w:after="277" w:line="259" w:lineRule="auto"/>
        <w:ind w:left="55" w:right="0" w:firstLine="0"/>
        <w:jc w:val="center"/>
      </w:pPr>
      <w:r>
        <w:rPr>
          <w:color w:val="000000"/>
        </w:rPr>
        <w:t xml:space="preserve"> </w:t>
      </w:r>
    </w:p>
    <w:p xmlns:wp14="http://schemas.microsoft.com/office/word/2010/wordml" w14:paraId="608DEACE" wp14:textId="77777777">
      <w:pPr>
        <w:spacing w:before="0" w:after="278" w:line="259" w:lineRule="auto"/>
        <w:ind w:left="55" w:right="0" w:firstLine="0"/>
        <w:jc w:val="center"/>
      </w:pPr>
      <w:r>
        <w:rPr>
          <w:color w:val="000000"/>
        </w:rPr>
        <w:t xml:space="preserve"> </w:t>
      </w:r>
    </w:p>
    <w:p xmlns:wp14="http://schemas.microsoft.com/office/word/2010/wordml" w14:paraId="2BAC6FC9" wp14:textId="77777777">
      <w:pPr>
        <w:spacing w:before="0" w:after="282" w:line="259" w:lineRule="auto"/>
        <w:ind w:left="55" w:right="0" w:firstLine="0"/>
        <w:jc w:val="center"/>
      </w:pPr>
      <w:r>
        <w:rPr>
          <w:color w:val="000000"/>
        </w:rPr>
        <w:t xml:space="preserve"> </w:t>
      </w:r>
    </w:p>
    <w:p xmlns:wp14="http://schemas.microsoft.com/office/word/2010/wordml" w14:paraId="7B276550" wp14:textId="77777777">
      <w:pPr>
        <w:spacing w:before="0" w:after="275" w:line="259" w:lineRule="auto"/>
        <w:ind w:left="1881" w:right="0" w:hanging="10"/>
        <w:jc w:val="left"/>
      </w:pPr>
      <w:r>
        <w:rPr>
          <w:rFonts w:ascii="Arial" w:hAnsi="Arial" w:eastAsia="Arial" w:cs="Arial"/>
          <w:color w:val="000000"/>
        </w:rPr>
        <w:t xml:space="preserve">UNIVERSITY OF WALES TRINITY SAINT DAVID</w:t>
      </w:r>
      <w:r>
        <w:rPr>
          <w:rFonts w:ascii="Calibri" w:hAnsi="Calibri" w:eastAsia="Calibri" w:cs="Calibri"/>
          <w:color w:val="000000"/>
        </w:rPr>
        <w:t xml:space="preserve"> </w:t>
      </w:r>
    </w:p>
    <w:p xmlns:wp14="http://schemas.microsoft.com/office/word/2010/wordml" w14:paraId="67B6F4AB" wp14:textId="77777777">
      <w:pPr>
        <w:spacing w:before="0" w:after="270" w:line="259" w:lineRule="auto"/>
        <w:ind w:left="10" w:right="6" w:hanging="10"/>
        <w:jc w:val="center"/>
      </w:pPr>
      <w:r w:rsidRPr="519776FC" w:rsidR="519776FC">
        <w:rPr>
          <w:rFonts w:ascii="Arial" w:hAnsi="Arial" w:eastAsia="Arial" w:cs="Arial"/>
          <w:color w:val="000000"/>
          <w:lang w:val="en-US"/>
        </w:rPr>
        <w:t>Student name  Salamata Jalloh</w:t>
      </w:r>
      <w:r w:rsidRPr="519776FC" w:rsidR="519776FC">
        <w:rPr>
          <w:rFonts w:ascii="Calibri" w:hAnsi="Calibri" w:eastAsia="Calibri" w:cs="Calibri"/>
          <w:color w:val="000000"/>
          <w:lang w:val="en-US"/>
        </w:rPr>
        <w:t xml:space="preserve"> </w:t>
      </w:r>
    </w:p>
    <w:p xmlns:wp14="http://schemas.microsoft.com/office/word/2010/wordml" w14:paraId="156A6281" wp14:textId="77777777">
      <w:pPr>
        <w:spacing w:before="0" w:after="282" w:line="259" w:lineRule="auto"/>
        <w:ind w:left="55" w:right="0" w:firstLine="0"/>
        <w:jc w:val="center"/>
      </w:pPr>
      <w:r>
        <w:rPr>
          <w:color w:val="000000"/>
        </w:rPr>
        <w:t xml:space="preserve"> </w:t>
      </w:r>
    </w:p>
    <w:p xmlns:wp14="http://schemas.microsoft.com/office/word/2010/wordml" w14:paraId="516CC80D" wp14:textId="77777777">
      <w:pPr>
        <w:spacing w:before="0" w:after="270" w:line="259" w:lineRule="auto"/>
        <w:ind w:left="10" w:right="3" w:hanging="10"/>
        <w:jc w:val="center"/>
      </w:pPr>
      <w:r>
        <w:rPr>
          <w:rFonts w:ascii="Arial" w:hAnsi="Arial" w:eastAsia="Arial" w:cs="Arial"/>
          <w:color w:val="000000"/>
        </w:rPr>
        <w:t xml:space="preserve">Student ID 224603</w:t>
      </w:r>
      <w:r>
        <w:rPr>
          <w:rFonts w:ascii="Arial" w:hAnsi="Arial" w:eastAsia="Arial" w:cs="Arial"/>
          <w:color w:val="000000"/>
        </w:rPr>
        <w:t xml:space="preserve">1</w:t>
      </w:r>
      <w:r>
        <w:rPr>
          <w:rFonts w:ascii="Calibri" w:hAnsi="Calibri" w:eastAsia="Calibri" w:cs="Calibri"/>
          <w:color w:val="000000"/>
        </w:rPr>
        <w:t xml:space="preserve"> </w:t>
      </w:r>
    </w:p>
    <w:p xmlns:wp14="http://schemas.microsoft.com/office/word/2010/wordml" w14:paraId="20876B09" wp14:textId="77777777">
      <w:pPr>
        <w:spacing w:before="0" w:after="283" w:line="259" w:lineRule="auto"/>
        <w:ind w:left="55" w:right="0" w:firstLine="0"/>
        <w:jc w:val="center"/>
      </w:pPr>
      <w:r>
        <w:rPr>
          <w:color w:val="000000"/>
        </w:rPr>
        <w:t xml:space="preserve"> </w:t>
      </w:r>
    </w:p>
    <w:p xmlns:wp14="http://schemas.microsoft.com/office/word/2010/wordml" w14:paraId="04B1DDE2" wp14:textId="77777777">
      <w:pPr>
        <w:spacing w:before="0" w:after="275" w:line="259" w:lineRule="auto"/>
        <w:ind w:left="2817" w:right="0" w:hanging="10"/>
        <w:jc w:val="left"/>
      </w:pPr>
      <w:r w:rsidRPr="519776FC" w:rsidR="519776FC">
        <w:rPr>
          <w:rFonts w:ascii="Arial" w:hAnsi="Arial" w:eastAsia="Arial" w:cs="Arial"/>
          <w:color w:val="000000"/>
          <w:lang w:val="en-US"/>
        </w:rPr>
        <w:t>Supervisor name Dr Itse Olaoye</w:t>
      </w:r>
      <w:r w:rsidRPr="519776FC" w:rsidR="519776FC">
        <w:rPr>
          <w:rFonts w:ascii="Calibri" w:hAnsi="Calibri" w:eastAsia="Calibri" w:cs="Calibri"/>
          <w:color w:val="000000"/>
          <w:lang w:val="en-US"/>
        </w:rPr>
        <w:t xml:space="preserve"> </w:t>
      </w:r>
    </w:p>
    <w:p xmlns:wp14="http://schemas.microsoft.com/office/word/2010/wordml" w14:paraId="10146664" wp14:textId="77777777">
      <w:pPr>
        <w:spacing w:before="0" w:after="277" w:line="259" w:lineRule="auto"/>
        <w:ind w:left="55" w:right="0" w:firstLine="0"/>
        <w:jc w:val="center"/>
      </w:pPr>
      <w:r>
        <w:rPr>
          <w:color w:val="000000"/>
        </w:rPr>
        <w:t xml:space="preserve"> </w:t>
      </w:r>
    </w:p>
    <w:p xmlns:wp14="http://schemas.microsoft.com/office/word/2010/wordml" w14:paraId="49C65B1C" wp14:textId="77777777">
      <w:pPr>
        <w:spacing w:before="0" w:after="275" w:line="259" w:lineRule="auto"/>
        <w:ind w:left="10" w:right="1480" w:hanging="10"/>
        <w:jc w:val="right"/>
      </w:pPr>
      <w:r>
        <w:rPr>
          <w:rFonts w:ascii="Arial" w:hAnsi="Arial" w:eastAsia="Arial" w:cs="Arial"/>
          <w:color w:val="000000"/>
        </w:rPr>
        <w:t xml:space="preserve">Module:</w:t>
      </w:r>
      <w:r>
        <w:rPr>
          <w:rFonts w:ascii="Arial" w:hAnsi="Arial" w:eastAsia="Arial" w:cs="Arial"/>
          <w:color w:val="000000"/>
        </w:rPr>
        <w:t xml:space="preserve"> </w:t>
      </w:r>
      <w:r>
        <w:rPr>
          <w:rFonts w:ascii="Arial" w:hAnsi="Arial" w:eastAsia="Arial" w:cs="Arial"/>
          <w:color w:val="000000"/>
        </w:rPr>
        <w:t xml:space="preserve">Health, Wellbeing and Sustainable Development</w:t>
      </w:r>
      <w:r>
        <w:rPr>
          <w:rFonts w:ascii="Calibri" w:hAnsi="Calibri" w:eastAsia="Calibri" w:cs="Calibri"/>
          <w:color w:val="000000"/>
        </w:rPr>
        <w:t xml:space="preserve"> </w:t>
      </w:r>
    </w:p>
    <w:p xmlns:wp14="http://schemas.microsoft.com/office/word/2010/wordml" w14:paraId="5B68B9CD" wp14:textId="77777777">
      <w:pPr>
        <w:spacing w:before="0" w:after="282" w:line="259" w:lineRule="auto"/>
        <w:ind w:left="55" w:right="0" w:firstLine="0"/>
        <w:jc w:val="center"/>
      </w:pPr>
      <w:r>
        <w:rPr>
          <w:color w:val="000000"/>
        </w:rPr>
        <w:t xml:space="preserve"> </w:t>
      </w:r>
    </w:p>
    <w:p xmlns:wp14="http://schemas.microsoft.com/office/word/2010/wordml" w14:paraId="2181D852" wp14:textId="77777777">
      <w:pPr>
        <w:spacing w:before="0" w:after="270" w:line="259" w:lineRule="auto"/>
        <w:ind w:left="10" w:right="9" w:hanging="10"/>
        <w:jc w:val="center"/>
      </w:pPr>
      <w:r>
        <w:rPr>
          <w:rFonts w:ascii="Arial" w:hAnsi="Arial" w:eastAsia="Arial" w:cs="Arial"/>
          <w:color w:val="000000"/>
        </w:rPr>
        <w:t xml:space="preserve">Module</w:t>
      </w:r>
      <w:r>
        <w:rPr>
          <w:rFonts w:ascii="Arial" w:hAnsi="Arial" w:eastAsia="Arial" w:cs="Arial"/>
          <w:color w:val="000000"/>
        </w:rPr>
        <w:t xml:space="preserve"> </w:t>
      </w:r>
      <w:r>
        <w:rPr>
          <w:rFonts w:ascii="Arial" w:hAnsi="Arial" w:eastAsia="Arial" w:cs="Arial"/>
          <w:color w:val="000000"/>
        </w:rPr>
        <w:t xml:space="preserve">Code:</w:t>
      </w:r>
      <w:r>
        <w:rPr>
          <w:rFonts w:ascii="Arial" w:hAnsi="Arial" w:eastAsia="Arial" w:cs="Arial"/>
          <w:color w:val="000000"/>
        </w:rPr>
        <w:t xml:space="preserve"> </w:t>
      </w:r>
      <w:r>
        <w:rPr>
          <w:rFonts w:ascii="Arial" w:hAnsi="Arial" w:eastAsia="Arial" w:cs="Arial"/>
          <w:color w:val="000000"/>
        </w:rPr>
        <w:t xml:space="preserve">BMHP6030</w:t>
      </w:r>
      <w:r>
        <w:rPr>
          <w:rFonts w:ascii="Calibri" w:hAnsi="Calibri" w:eastAsia="Calibri" w:cs="Calibri"/>
          <w:color w:val="000000"/>
        </w:rPr>
        <w:t xml:space="preserve"> </w:t>
      </w:r>
    </w:p>
    <w:p xmlns:wp14="http://schemas.microsoft.com/office/word/2010/wordml" w14:paraId="1B7172F4" wp14:textId="77777777">
      <w:pPr>
        <w:spacing w:before="0" w:after="272" w:line="259" w:lineRule="auto"/>
        <w:ind w:left="55" w:right="0" w:firstLine="0"/>
        <w:jc w:val="center"/>
      </w:pPr>
      <w:r>
        <w:rPr>
          <w:color w:val="000000"/>
        </w:rPr>
        <w:t xml:space="preserve"> </w:t>
      </w:r>
    </w:p>
    <w:p xmlns:wp14="http://schemas.microsoft.com/office/word/2010/wordml" w14:paraId="1A337381" wp14:textId="77777777">
      <w:pPr>
        <w:spacing w:before="0" w:after="275" w:line="259" w:lineRule="auto"/>
        <w:ind w:left="10" w:right="1252" w:hanging="10"/>
        <w:jc w:val="right"/>
      </w:pPr>
      <w:r w:rsidRPr="519776FC" w:rsidR="519776FC">
        <w:rPr>
          <w:rFonts w:ascii="Arial" w:hAnsi="Arial" w:eastAsia="Arial" w:cs="Arial"/>
          <w:color w:val="000000"/>
          <w:lang w:val="en-US"/>
        </w:rPr>
        <w:t>Assignment</w:t>
      </w:r>
      <w:r w:rsidRPr="519776FC" w:rsidR="519776FC">
        <w:rPr>
          <w:rFonts w:ascii="Arial" w:hAnsi="Arial" w:eastAsia="Arial" w:cs="Arial"/>
          <w:color w:val="000000"/>
          <w:lang w:val="en-US"/>
        </w:rPr>
        <w:t xml:space="preserve"> </w:t>
      </w:r>
      <w:r w:rsidRPr="519776FC" w:rsidR="519776FC">
        <w:rPr>
          <w:rFonts w:ascii="Arial" w:hAnsi="Arial" w:eastAsia="Arial" w:cs="Arial"/>
          <w:color w:val="000000"/>
          <w:lang w:val="en-US"/>
        </w:rPr>
        <w:t>Title:</w:t>
      </w:r>
      <w:r w:rsidRPr="519776FC" w:rsidR="519776FC">
        <w:rPr>
          <w:rFonts w:ascii="Arial" w:hAnsi="Arial" w:eastAsia="Arial" w:cs="Arial"/>
          <w:color w:val="000000"/>
          <w:lang w:val="en-US"/>
        </w:rPr>
        <w:t xml:space="preserve"> </w:t>
      </w:r>
      <w:r w:rsidRPr="519776FC" w:rsidR="519776FC">
        <w:rPr>
          <w:rFonts w:ascii="Arial" w:hAnsi="Arial" w:eastAsia="Arial" w:cs="Arial"/>
          <w:color w:val="000000"/>
          <w:lang w:val="en-US"/>
        </w:rPr>
        <w:t>Component 2: Written Assignment (Report)</w:t>
      </w:r>
      <w:r w:rsidRPr="519776FC" w:rsidR="519776FC">
        <w:rPr>
          <w:color w:val="000000"/>
          <w:lang w:val="en-US"/>
        </w:rPr>
        <w:t xml:space="preserve"> </w:t>
      </w:r>
    </w:p>
    <w:p xmlns:wp14="http://schemas.microsoft.com/office/word/2010/wordml" w14:paraId="325CE300" wp14:textId="77777777">
      <w:pPr>
        <w:spacing w:before="0" w:after="0" w:line="259" w:lineRule="auto"/>
        <w:ind w:right="0" w:firstLine="0"/>
        <w:jc w:val="left"/>
      </w:pPr>
      <w:r>
        <w:rPr>
          <w:rFonts w:ascii="Arial" w:hAnsi="Arial" w:eastAsia="Arial" w:cs="Arial"/>
          <w:b w:val="1"/>
        </w:rPr>
        <w:t xml:space="preserve"> </w:t>
      </w:r>
    </w:p>
    <w:sdt>
      <w:sdtPr>
        <w:id w:val="2065726569"/>
        <w:docPartObj>
          <w:docPartGallery w:val="Table of Contents"/>
        </w:docPartObj>
      </w:sdtPr>
      <w:sdtContent>
        <w:p xmlns:wp14="http://schemas.microsoft.com/office/word/2010/wordml" w14:paraId="32029EE3" wp14:textId="77777777">
          <w:pPr>
            <w:spacing w:before="0" w:after="117" w:line="259" w:lineRule="auto"/>
            <w:ind w:right="10" w:firstLine="0"/>
            <w:jc w:val="center"/>
          </w:pPr>
          <w:r>
            <w:rPr>
              <w:rFonts w:ascii="Arial" w:hAnsi="Arial" w:eastAsia="Arial" w:cs="Arial"/>
              <w:b w:val="1"/>
              <w:color w:val="000000"/>
            </w:rPr>
            <w:t xml:space="preserve">Table of Contents</w:t>
          </w:r>
          <w:r>
            <w:rPr>
              <w:rFonts w:ascii="Arial" w:hAnsi="Arial" w:eastAsia="Arial" w:cs="Arial"/>
              <w:b w:val="1"/>
              <w:color w:val="000000"/>
            </w:rPr>
            <w:t xml:space="preserve"> </w:t>
          </w:r>
        </w:p>
        <w:p xmlns:wp14="http://schemas.microsoft.com/office/word/2010/wordml" w14:paraId="6330341A" wp14:textId="77777777">
          <w:pPr>
            <w:pStyle w:val="TOC1"/>
            <w:tabs>
              <w:tab w:val="end" w:leader="dot" w:pos="9036"/>
            </w:tabs>
          </w:pPr>
          <w:r>
            <w:fldChar w:fldCharType="begin"/>
          </w:r>
          <w:r>
            <w:instrText xml:space="preserve"> TOC \o "1-2" \h \z \u </w:instrText>
          </w:r>
          <w:r>
            <w:fldChar w:fldCharType="separate"/>
          </w:r>
          <w:hyperlink w:anchor="_Toc18021">
            <w:r>
              <w:rPr/>
              <w:t xml:space="preserve">1. Introduction</w:t>
            </w:r>
            <w:r>
              <w:tab/>
            </w:r>
            <w:r>
              <w:fldChar w:fldCharType="begin"/>
            </w:r>
            <w:r>
              <w:instrText> PAGEREF _Toc18021 \h </w:instrText>
            </w:r>
            <w:r>
              <w:fldChar w:fldCharType="separate"/>
            </w:r>
            <w:r>
              <w:rPr>
                <w:rFonts w:ascii="Arial" w:hAnsi="Arial" w:eastAsia="Arial" w:cs="Arial"/>
                <w:color w:val="000000"/>
                <w:sz w:val="24"/>
              </w:rPr>
              <w:t xml:space="preserve">3 </w:t>
            </w:r>
            <w:r>
              <w:fldChar w:fldCharType="end"/>
            </w:r>
          </w:hyperlink>
        </w:p>
        <w:p xmlns:wp14="http://schemas.microsoft.com/office/word/2010/wordml" w14:paraId="343707FB" wp14:textId="77777777">
          <w:pPr>
            <w:pStyle w:val="TOC1"/>
            <w:tabs>
              <w:tab w:val="end" w:leader="dot" w:pos="9036"/>
            </w:tabs>
          </w:pPr>
          <w:hyperlink w:anchor="_Toc18022">
            <w:r>
              <w:rPr/>
              <w:t xml:space="preserve">2. Sustainable Development Goal 3: Good Health and Wellbeing</w:t>
            </w:r>
            <w:r>
              <w:tab/>
            </w:r>
            <w:r>
              <w:fldChar w:fldCharType="begin"/>
            </w:r>
            <w:r>
              <w:instrText> PAGEREF _Toc18022 \h </w:instrText>
            </w:r>
            <w:r>
              <w:fldChar w:fldCharType="separate"/>
            </w:r>
            <w:r>
              <w:rPr>
                <w:rFonts w:ascii="Arial" w:hAnsi="Arial" w:eastAsia="Arial" w:cs="Arial"/>
                <w:color w:val="000000"/>
                <w:sz w:val="24"/>
              </w:rPr>
              <w:t xml:space="preserve">3 </w:t>
            </w:r>
            <w:r>
              <w:fldChar w:fldCharType="end"/>
            </w:r>
          </w:hyperlink>
        </w:p>
        <w:p xmlns:wp14="http://schemas.microsoft.com/office/word/2010/wordml" w14:paraId="0C748811" wp14:textId="77777777">
          <w:pPr>
            <w:pStyle w:val="TOC2"/>
            <w:tabs>
              <w:tab w:val="end" w:leader="dot" w:pos="9036"/>
            </w:tabs>
          </w:pPr>
          <w:hyperlink w:anchor="_Toc18023">
            <w:r>
              <w:rPr/>
              <w:t xml:space="preserve">2.1</w:t>
            </w:r>
            <w:r>
              <w:rPr/>
              <w:t xml:space="preserve"> </w:t>
            </w:r>
            <w:r>
              <w:rPr/>
              <w:t xml:space="preserve">Theoretical</w:t>
            </w:r>
            <w:r>
              <w:rPr/>
              <w:t xml:space="preserve"> </w:t>
            </w:r>
            <w:r>
              <w:rPr/>
              <w:t xml:space="preserve">Framework</w:t>
            </w:r>
            <w:r>
              <w:rPr/>
              <w:t xml:space="preserve"> </w:t>
            </w:r>
            <w:r>
              <w:rPr/>
              <w:t xml:space="preserve">and</w:t>
            </w:r>
            <w:r>
              <w:rPr/>
              <w:t xml:space="preserve"> </w:t>
            </w:r>
            <w:r>
              <w:rPr/>
              <w:t xml:space="preserve">Core</w:t>
            </w:r>
            <w:r>
              <w:rPr/>
              <w:t xml:space="preserve"> </w:t>
            </w:r>
            <w:r>
              <w:rPr/>
              <w:t xml:space="preserve">Constructs</w:t>
            </w:r>
            <w:r>
              <w:tab/>
            </w:r>
            <w:r>
              <w:fldChar w:fldCharType="begin"/>
            </w:r>
            <w:r>
              <w:instrText> PAGEREF _Toc18023 \h </w:instrText>
            </w:r>
            <w:r>
              <w:fldChar w:fldCharType="separate"/>
            </w:r>
            <w:r>
              <w:rPr>
                <w:rFonts w:ascii="Arial" w:hAnsi="Arial" w:eastAsia="Arial" w:cs="Arial"/>
                <w:color w:val="000000"/>
                <w:sz w:val="24"/>
              </w:rPr>
              <w:t xml:space="preserve">3 </w:t>
            </w:r>
            <w:r>
              <w:fldChar w:fldCharType="end"/>
            </w:r>
          </w:hyperlink>
        </w:p>
        <w:p xmlns:wp14="http://schemas.microsoft.com/office/word/2010/wordml" w14:paraId="0101690F" wp14:textId="77777777">
          <w:pPr>
            <w:pStyle w:val="TOC2"/>
            <w:tabs>
              <w:tab w:val="end" w:leader="dot" w:pos="9036"/>
            </w:tabs>
          </w:pPr>
          <w:hyperlink w:anchor="_Toc18024">
            <w:r>
              <w:rPr/>
              <w:t xml:space="preserve">2.2</w:t>
            </w:r>
            <w:r>
              <w:rPr/>
              <w:t xml:space="preserve"> </w:t>
            </w:r>
            <w:r>
              <w:rPr/>
              <w:t xml:space="preserve">Systemic</w:t>
            </w:r>
            <w:r>
              <w:rPr/>
              <w:t xml:space="preserve"> </w:t>
            </w:r>
            <w:r>
              <w:rPr/>
              <w:t xml:space="preserve">Barriers</w:t>
            </w:r>
            <w:r>
              <w:rPr/>
              <w:t xml:space="preserve"> </w:t>
            </w:r>
            <w:r>
              <w:rPr/>
              <w:t xml:space="preserve">and</w:t>
            </w:r>
            <w:r>
              <w:rPr/>
              <w:t xml:space="preserve"> </w:t>
            </w:r>
            <w:r>
              <w:rPr/>
              <w:t xml:space="preserve">Critical</w:t>
            </w:r>
            <w:r>
              <w:rPr/>
              <w:t xml:space="preserve"> </w:t>
            </w:r>
            <w:r>
              <w:rPr/>
              <w:t xml:space="preserve">Public</w:t>
            </w:r>
            <w:r>
              <w:rPr/>
              <w:t xml:space="preserve"> </w:t>
            </w:r>
            <w:r>
              <w:rPr/>
              <w:t xml:space="preserve">Health</w:t>
            </w:r>
            <w:r>
              <w:rPr/>
              <w:t xml:space="preserve"> </w:t>
            </w:r>
            <w:r>
              <w:rPr/>
              <w:t xml:space="preserve">Impacts</w:t>
            </w:r>
            <w:r>
              <w:tab/>
            </w:r>
            <w:r>
              <w:fldChar w:fldCharType="begin"/>
            </w:r>
            <w:r>
              <w:instrText> PAGEREF _Toc18024 \h </w:instrText>
            </w:r>
            <w:r>
              <w:fldChar w:fldCharType="separate"/>
            </w:r>
            <w:r>
              <w:rPr>
                <w:rFonts w:ascii="Arial" w:hAnsi="Arial" w:eastAsia="Arial" w:cs="Arial"/>
                <w:color w:val="000000"/>
                <w:sz w:val="24"/>
              </w:rPr>
              <w:t xml:space="preserve">4 </w:t>
            </w:r>
            <w:r>
              <w:fldChar w:fldCharType="end"/>
            </w:r>
          </w:hyperlink>
        </w:p>
        <w:p xmlns:wp14="http://schemas.microsoft.com/office/word/2010/wordml" w14:paraId="5C76CDE5" wp14:textId="77777777">
          <w:pPr>
            <w:pStyle w:val="TOC1"/>
            <w:tabs>
              <w:tab w:val="end" w:leader="dot" w:pos="9036"/>
            </w:tabs>
          </w:pPr>
          <w:hyperlink w:anchor="_Toc18025">
            <w:r>
              <w:rPr/>
              <w:t xml:space="preserve">3. Sustainable Development Goal 11: Sustainable Cities and Communities</w:t>
            </w:r>
            <w:r>
              <w:tab/>
            </w:r>
            <w:r>
              <w:fldChar w:fldCharType="begin"/>
            </w:r>
            <w:r>
              <w:instrText> PAGEREF _Toc18025 \h </w:instrText>
            </w:r>
            <w:r>
              <w:fldChar w:fldCharType="separate"/>
            </w:r>
            <w:r>
              <w:rPr>
                <w:rFonts w:ascii="Arial" w:hAnsi="Arial" w:eastAsia="Arial" w:cs="Arial"/>
                <w:color w:val="000000"/>
                <w:sz w:val="24"/>
              </w:rPr>
              <w:t xml:space="preserve">5 </w:t>
            </w:r>
            <w:r>
              <w:fldChar w:fldCharType="end"/>
            </w:r>
          </w:hyperlink>
        </w:p>
        <w:p xmlns:wp14="http://schemas.microsoft.com/office/word/2010/wordml" w14:paraId="373EF39E" wp14:textId="77777777">
          <w:pPr>
            <w:pStyle w:val="TOC2"/>
            <w:tabs>
              <w:tab w:val="end" w:leader="dot" w:pos="9036"/>
            </w:tabs>
          </w:pPr>
          <w:hyperlink w:anchor="_Toc18026">
            <w:r>
              <w:rPr/>
              <w:t xml:space="preserve">3.1</w:t>
            </w:r>
            <w:r>
              <w:rPr/>
              <w:t xml:space="preserve"> </w:t>
            </w:r>
            <w:r>
              <w:rPr/>
              <w:t xml:space="preserve">Environmental</w:t>
            </w:r>
            <w:r>
              <w:rPr/>
              <w:t xml:space="preserve"> </w:t>
            </w:r>
            <w:r>
              <w:rPr/>
              <w:t xml:space="preserve">Determinants</w:t>
            </w:r>
            <w:r>
              <w:rPr/>
              <w:t xml:space="preserve"> </w:t>
            </w:r>
            <w:r>
              <w:rPr/>
              <w:t xml:space="preserve">of</w:t>
            </w:r>
            <w:r>
              <w:rPr/>
              <w:t xml:space="preserve"> </w:t>
            </w:r>
            <w:r>
              <w:rPr/>
              <w:t xml:space="preserve">Urban</w:t>
            </w:r>
            <w:r>
              <w:rPr/>
              <w:t xml:space="preserve"> </w:t>
            </w:r>
            <w:r>
              <w:rPr/>
              <w:t xml:space="preserve">Public</w:t>
            </w:r>
            <w:r>
              <w:rPr/>
              <w:t xml:space="preserve"> </w:t>
            </w:r>
            <w:r>
              <w:rPr/>
              <w:t xml:space="preserve">Health</w:t>
            </w:r>
            <w:r>
              <w:tab/>
            </w:r>
            <w:r>
              <w:fldChar w:fldCharType="begin"/>
            </w:r>
            <w:r>
              <w:instrText> PAGEREF _Toc18026 \h </w:instrText>
            </w:r>
            <w:r>
              <w:fldChar w:fldCharType="separate"/>
            </w:r>
            <w:r>
              <w:rPr>
                <w:rFonts w:ascii="Arial" w:hAnsi="Arial" w:eastAsia="Arial" w:cs="Arial"/>
                <w:color w:val="000000"/>
                <w:sz w:val="24"/>
              </w:rPr>
              <w:t xml:space="preserve">5 </w:t>
            </w:r>
            <w:r>
              <w:fldChar w:fldCharType="end"/>
            </w:r>
          </w:hyperlink>
        </w:p>
        <w:p xmlns:wp14="http://schemas.microsoft.com/office/word/2010/wordml" w14:paraId="1F9DA783" wp14:textId="77777777">
          <w:pPr>
            <w:pStyle w:val="TOC2"/>
            <w:tabs>
              <w:tab w:val="end" w:leader="dot" w:pos="9036"/>
            </w:tabs>
          </w:pPr>
          <w:hyperlink w:anchor="_Toc18027">
            <w:r>
              <w:rPr/>
              <w:t xml:space="preserve">3.2</w:t>
            </w:r>
            <w:r>
              <w:rPr/>
              <w:t xml:space="preserve"> </w:t>
            </w:r>
            <w:r>
              <w:rPr/>
              <w:t xml:space="preserve">Spatial</w:t>
            </w:r>
            <w:r>
              <w:rPr/>
              <w:t xml:space="preserve"> </w:t>
            </w:r>
            <w:r>
              <w:rPr/>
              <w:t xml:space="preserve">Inequity</w:t>
            </w:r>
            <w:r>
              <w:rPr/>
              <w:t xml:space="preserve"> </w:t>
            </w:r>
            <w:r>
              <w:rPr/>
              <w:t xml:space="preserve">and</w:t>
            </w:r>
            <w:r>
              <w:rPr/>
              <w:t xml:space="preserve"> </w:t>
            </w:r>
            <w:r>
              <w:rPr/>
              <w:t xml:space="preserve">the</w:t>
            </w:r>
            <w:r>
              <w:rPr/>
              <w:t xml:space="preserve"> </w:t>
            </w:r>
            <w:r>
              <w:rPr/>
              <w:t xml:space="preserve">Salutogenic</w:t>
            </w:r>
            <w:r>
              <w:rPr/>
              <w:t xml:space="preserve"> </w:t>
            </w:r>
            <w:r>
              <w:rPr/>
              <w:t xml:space="preserve">Paradigm</w:t>
            </w:r>
            <w:r>
              <w:tab/>
            </w:r>
            <w:r>
              <w:fldChar w:fldCharType="begin"/>
            </w:r>
            <w:r>
              <w:instrText> PAGEREF _Toc18027 \h </w:instrText>
            </w:r>
            <w:r>
              <w:fldChar w:fldCharType="separate"/>
            </w:r>
            <w:r>
              <w:rPr>
                <w:rFonts w:ascii="Arial" w:hAnsi="Arial" w:eastAsia="Arial" w:cs="Arial"/>
                <w:color w:val="000000"/>
                <w:sz w:val="24"/>
              </w:rPr>
              <w:t xml:space="preserve">5 </w:t>
            </w:r>
            <w:r>
              <w:fldChar w:fldCharType="end"/>
            </w:r>
          </w:hyperlink>
        </w:p>
        <w:p xmlns:wp14="http://schemas.microsoft.com/office/word/2010/wordml" w14:paraId="2B0EBEA1" wp14:textId="77777777">
          <w:pPr>
            <w:pStyle w:val="TOC1"/>
            <w:tabs>
              <w:tab w:val="end" w:leader="dot" w:pos="9036"/>
            </w:tabs>
          </w:pPr>
          <w:hyperlink w:anchor="_Toc18028">
            <w:r>
              <w:rPr/>
              <w:t xml:space="preserve">4. National Wellbeing Initiatives: Critical Evaluation</w:t>
            </w:r>
            <w:r>
              <w:tab/>
            </w:r>
            <w:r>
              <w:fldChar w:fldCharType="begin"/>
            </w:r>
            <w:r>
              <w:instrText> PAGEREF _Toc18028 \h </w:instrText>
            </w:r>
            <w:r>
              <w:fldChar w:fldCharType="separate"/>
            </w:r>
            <w:r>
              <w:rPr>
                <w:rFonts w:ascii="Arial" w:hAnsi="Arial" w:eastAsia="Arial" w:cs="Arial"/>
                <w:color w:val="000000"/>
                <w:sz w:val="24"/>
              </w:rPr>
              <w:t xml:space="preserve">6 </w:t>
            </w:r>
            <w:r>
              <w:fldChar w:fldCharType="end"/>
            </w:r>
          </w:hyperlink>
        </w:p>
        <w:p xmlns:wp14="http://schemas.microsoft.com/office/word/2010/wordml" w14:paraId="1FC1903B" wp14:textId="77777777">
          <w:pPr>
            <w:pStyle w:val="TOC2"/>
            <w:tabs>
              <w:tab w:val="end" w:leader="dot" w:pos="9036"/>
            </w:tabs>
          </w:pPr>
          <w:hyperlink w:anchor="_Toc18029">
            <w:r>
              <w:rPr/>
              <w:t xml:space="preserve">4.1 The Well</w:t>
            </w:r>
            <w:r>
              <w:rPr/>
              <w:t xml:space="preserve">-</w:t>
            </w:r>
            <w:r>
              <w:rPr/>
              <w:t xml:space="preserve">being of Future Generations (Wales) Act 2015</w:t>
            </w:r>
            <w:r>
              <w:tab/>
            </w:r>
            <w:r>
              <w:fldChar w:fldCharType="begin"/>
            </w:r>
            <w:r>
              <w:instrText> PAGEREF _Toc18029 \h </w:instrText>
            </w:r>
            <w:r>
              <w:fldChar w:fldCharType="separate"/>
            </w:r>
            <w:r>
              <w:rPr>
                <w:rFonts w:ascii="Arial" w:hAnsi="Arial" w:eastAsia="Arial" w:cs="Arial"/>
                <w:color w:val="000000"/>
                <w:sz w:val="24"/>
              </w:rPr>
              <w:t xml:space="preserve">6 </w:t>
            </w:r>
            <w:r>
              <w:fldChar w:fldCharType="end"/>
            </w:r>
          </w:hyperlink>
        </w:p>
        <w:p xmlns:wp14="http://schemas.microsoft.com/office/word/2010/wordml" w14:paraId="33A2208A" wp14:textId="77777777">
          <w:pPr>
            <w:pStyle w:val="TOC2"/>
            <w:tabs>
              <w:tab w:val="end" w:leader="dot" w:pos="9036"/>
            </w:tabs>
          </w:pPr>
          <w:hyperlink w:anchor="_Toc18030">
            <w:r>
              <w:rPr/>
              <w:t xml:space="preserve">4.2 The UK Soft Drinks Industry Levy (SDIL)</w:t>
            </w:r>
            <w:r>
              <w:tab/>
            </w:r>
            <w:r>
              <w:fldChar w:fldCharType="begin"/>
            </w:r>
            <w:r>
              <w:instrText> PAGEREF _Toc18030 \h </w:instrText>
            </w:r>
            <w:r>
              <w:fldChar w:fldCharType="separate"/>
            </w:r>
            <w:r>
              <w:rPr>
                <w:rFonts w:ascii="Arial" w:hAnsi="Arial" w:eastAsia="Arial" w:cs="Arial"/>
                <w:color w:val="000000"/>
                <w:sz w:val="24"/>
              </w:rPr>
              <w:t xml:space="preserve">7 </w:t>
            </w:r>
            <w:r>
              <w:fldChar w:fldCharType="end"/>
            </w:r>
          </w:hyperlink>
        </w:p>
        <w:p xmlns:wp14="http://schemas.microsoft.com/office/word/2010/wordml" w14:paraId="3CC79C1F" wp14:textId="77777777">
          <w:pPr>
            <w:pStyle w:val="TOC1"/>
            <w:tabs>
              <w:tab w:val="end" w:leader="dot" w:pos="9036"/>
            </w:tabs>
          </w:pPr>
          <w:hyperlink w:anchor="_Toc18031">
            <w:r>
              <w:rPr/>
              <w:t xml:space="preserve">5. Local Wellbeing Initiatives: Critical Evaluation</w:t>
            </w:r>
            <w:r>
              <w:tab/>
            </w:r>
            <w:r>
              <w:fldChar w:fldCharType="begin"/>
            </w:r>
            <w:r>
              <w:instrText> PAGEREF _Toc18031 \h </w:instrText>
            </w:r>
            <w:r>
              <w:fldChar w:fldCharType="separate"/>
            </w:r>
            <w:r>
              <w:rPr>
                <w:rFonts w:ascii="Arial" w:hAnsi="Arial" w:eastAsia="Arial" w:cs="Arial"/>
                <w:color w:val="000000"/>
                <w:sz w:val="24"/>
              </w:rPr>
              <w:t xml:space="preserve">7 </w:t>
            </w:r>
            <w:r>
              <w:fldChar w:fldCharType="end"/>
            </w:r>
          </w:hyperlink>
        </w:p>
        <w:p xmlns:wp14="http://schemas.microsoft.com/office/word/2010/wordml" w14:paraId="5FCD1DF1" wp14:textId="77777777">
          <w:pPr>
            <w:pStyle w:val="TOC2"/>
            <w:tabs>
              <w:tab w:val="end" w:leader="dot" w:pos="9036"/>
            </w:tabs>
          </w:pPr>
          <w:hyperlink w:anchor="_Toc18032">
            <w:r>
              <w:rPr>
                <w:rFonts w:ascii="Arial" w:hAnsi="Arial" w:eastAsia="Arial" w:cs="Arial"/>
              </w:rPr>
              <w:t xml:space="preserve">5.1 London’s Ultra Low Emission Zone (ULEZ)</w:t>
            </w:r>
            <w:r>
              <w:tab/>
            </w:r>
            <w:r>
              <w:fldChar w:fldCharType="begin"/>
            </w:r>
            <w:r>
              <w:instrText> PAGEREF _Toc18032 \h </w:instrText>
            </w:r>
            <w:r>
              <w:fldChar w:fldCharType="separate"/>
            </w:r>
            <w:r>
              <w:rPr>
                <w:rFonts w:ascii="Arial" w:hAnsi="Arial" w:eastAsia="Arial" w:cs="Arial"/>
                <w:color w:val="000000"/>
                <w:sz w:val="24"/>
              </w:rPr>
              <w:t xml:space="preserve">7 </w:t>
            </w:r>
            <w:r>
              <w:fldChar w:fldCharType="end"/>
            </w:r>
          </w:hyperlink>
        </w:p>
        <w:p xmlns:wp14="http://schemas.microsoft.com/office/word/2010/wordml" w14:paraId="05C19007" wp14:textId="77777777">
          <w:pPr>
            <w:pStyle w:val="TOC2"/>
            <w:tabs>
              <w:tab w:val="end" w:leader="dot" w:pos="9036"/>
            </w:tabs>
          </w:pPr>
          <w:hyperlink w:anchor="_Toc18033">
            <w:r>
              <w:rPr>
                <w:rFonts w:ascii="Arial" w:hAnsi="Arial" w:eastAsia="Arial" w:cs="Arial"/>
              </w:rPr>
              <w:t xml:space="preserve">5.2 Birmingham’s Active Travel Fund / Healthy Streets Initiative</w:t>
            </w:r>
            <w:r>
              <w:tab/>
            </w:r>
            <w:r>
              <w:fldChar w:fldCharType="begin"/>
            </w:r>
            <w:r>
              <w:instrText> PAGEREF _Toc18033 \h </w:instrText>
            </w:r>
            <w:r>
              <w:fldChar w:fldCharType="separate"/>
            </w:r>
            <w:r>
              <w:rPr>
                <w:rFonts w:ascii="Arial" w:hAnsi="Arial" w:eastAsia="Arial" w:cs="Arial"/>
                <w:color w:val="000000"/>
                <w:sz w:val="24"/>
              </w:rPr>
              <w:t xml:space="preserve">9 </w:t>
            </w:r>
            <w:r>
              <w:fldChar w:fldCharType="end"/>
            </w:r>
          </w:hyperlink>
        </w:p>
        <w:p xmlns:wp14="http://schemas.microsoft.com/office/word/2010/wordml" w14:paraId="22560B96" wp14:textId="77777777">
          <w:pPr>
            <w:pStyle w:val="TOC2"/>
            <w:tabs>
              <w:tab w:val="end" w:leader="dot" w:pos="9036"/>
            </w:tabs>
          </w:pPr>
          <w:hyperlink w:anchor="_Toc18034">
            <w:r>
              <w:rPr/>
              <w:t xml:space="preserve">5.3</w:t>
            </w:r>
            <w:r>
              <w:rPr/>
              <w:t xml:space="preserve"> </w:t>
            </w:r>
            <w:r>
              <w:rPr/>
              <w:t xml:space="preserve">Synthesis</w:t>
            </w:r>
            <w:r>
              <w:rPr/>
              <w:t xml:space="preserve"> </w:t>
            </w:r>
            <w:r>
              <w:rPr/>
              <w:t xml:space="preserve">of</w:t>
            </w:r>
            <w:r>
              <w:rPr/>
              <w:t xml:space="preserve"> </w:t>
            </w:r>
            <w:r>
              <w:rPr/>
              <w:t xml:space="preserve">Evaluated</w:t>
            </w:r>
            <w:r>
              <w:rPr/>
              <w:t xml:space="preserve"> </w:t>
            </w:r>
            <w:r>
              <w:rPr/>
              <w:t xml:space="preserve">Initiatives</w:t>
            </w:r>
            <w:r>
              <w:tab/>
            </w:r>
            <w:r>
              <w:fldChar w:fldCharType="begin"/>
            </w:r>
            <w:r>
              <w:instrText> PAGEREF _Toc18034 \h </w:instrText>
            </w:r>
            <w:r>
              <w:fldChar w:fldCharType="separate"/>
            </w:r>
            <w:r>
              <w:rPr>
                <w:rFonts w:ascii="Arial" w:hAnsi="Arial" w:eastAsia="Arial" w:cs="Arial"/>
                <w:color w:val="000000"/>
                <w:sz w:val="24"/>
              </w:rPr>
              <w:t xml:space="preserve">9 </w:t>
            </w:r>
            <w:r>
              <w:fldChar w:fldCharType="end"/>
            </w:r>
          </w:hyperlink>
        </w:p>
        <w:p xmlns:wp14="http://schemas.microsoft.com/office/word/2010/wordml" w14:paraId="4BDF9D81" wp14:textId="77777777">
          <w:pPr>
            <w:pStyle w:val="TOC1"/>
            <w:tabs>
              <w:tab w:val="end" w:leader="dot" w:pos="9036"/>
            </w:tabs>
          </w:pPr>
          <w:hyperlink w:anchor="_Toc18035">
            <w:r>
              <w:rPr/>
              <w:t xml:space="preserve">6. Conclusion</w:t>
            </w:r>
            <w:r>
              <w:tab/>
            </w:r>
            <w:r>
              <w:fldChar w:fldCharType="begin"/>
            </w:r>
            <w:r>
              <w:instrText> PAGEREF _Toc18035 \h </w:instrText>
            </w:r>
            <w:r>
              <w:fldChar w:fldCharType="separate"/>
            </w:r>
            <w:r>
              <w:rPr>
                <w:rFonts w:ascii="Arial" w:hAnsi="Arial" w:eastAsia="Arial" w:cs="Arial"/>
                <w:color w:val="000000"/>
                <w:sz w:val="24"/>
              </w:rPr>
              <w:t xml:space="preserve">10 </w:t>
            </w:r>
            <w:r>
              <w:fldChar w:fldCharType="end"/>
            </w:r>
          </w:hyperlink>
        </w:p>
        <w:p xmlns:wp14="http://schemas.microsoft.com/office/word/2010/wordml" w14:paraId="68D081B9" wp14:textId="77777777">
          <w:pPr>
            <w:pStyle w:val="TOC1"/>
            <w:tabs>
              <w:tab w:val="end" w:leader="dot" w:pos="9036"/>
            </w:tabs>
          </w:pPr>
          <w:hyperlink w:anchor="_Toc18036">
            <w:r>
              <w:rPr/>
              <w:t xml:space="preserve">7. References</w:t>
            </w:r>
            <w:r>
              <w:tab/>
            </w:r>
            <w:r>
              <w:fldChar w:fldCharType="begin"/>
            </w:r>
            <w:r>
              <w:instrText> PAGEREF _Toc18036 \h </w:instrText>
            </w:r>
            <w:r>
              <w:fldChar w:fldCharType="separate"/>
            </w:r>
            <w:r>
              <w:rPr>
                <w:rFonts w:ascii="Arial" w:hAnsi="Arial" w:eastAsia="Arial" w:cs="Arial"/>
                <w:color w:val="000000"/>
                <w:sz w:val="24"/>
              </w:rPr>
              <w:t xml:space="preserve">11 </w:t>
            </w:r>
            <w:r>
              <w:fldChar w:fldCharType="end"/>
            </w:r>
          </w:hyperlink>
        </w:p>
        <w:p xmlns:wp14="http://schemas.microsoft.com/office/word/2010/wordml" w14:paraId="672A6659" wp14:textId="77777777">
          <w:r>
            <w:fldChar w:fldCharType="end"/>
          </w:r>
        </w:p>
      </w:sdtContent>
    </w:sdt>
    <w:p xmlns:wp14="http://schemas.microsoft.com/office/word/2010/wordml" w14:paraId="25DD3341" wp14:textId="77777777">
      <w:pPr>
        <w:spacing w:before="0" w:after="277" w:line="259" w:lineRule="auto"/>
        <w:ind w:right="0" w:firstLine="0"/>
        <w:jc w:val="left"/>
      </w:pPr>
      <w:r>
        <w:rPr>
          <w:color w:val="000000"/>
        </w:rPr>
        <w:t xml:space="preserve"> </w:t>
      </w:r>
    </w:p>
    <w:p xmlns:wp14="http://schemas.microsoft.com/office/word/2010/wordml" w14:paraId="23DD831B" wp14:textId="77777777">
      <w:pPr>
        <w:spacing w:before="0" w:after="0" w:line="259" w:lineRule="auto"/>
        <w:ind w:right="0" w:firstLine="0"/>
        <w:jc w:val="left"/>
      </w:pPr>
      <w:r>
        <w:rPr>
          <w:rFonts w:ascii="Arial" w:hAnsi="Arial" w:eastAsia="Arial" w:cs="Arial"/>
          <w:b w:val="1"/>
        </w:rPr>
        <w:t xml:space="preserve"> </w:t>
      </w:r>
    </w:p>
    <w:p xmlns:wp14="http://schemas.microsoft.com/office/word/2010/wordml" w14:paraId="2635E364" wp14:textId="77777777">
      <w:pPr>
        <w:pStyle w:val="heading1"/>
        <w:spacing w:before="0" w:after="235" w:line="259" w:lineRule="auto"/>
        <w:ind w:left="250" w:hanging="265"/>
      </w:pPr>
      <w:bookmarkStart w:name="_Toc18021" w:id="18021"/>
      <w:r>
        <w:rPr/>
        <w:t xml:space="preserve">Introduction</w:t>
      </w:r>
      <w:r>
        <w:rPr/>
        <w:t xml:space="preserve"> </w:t>
      </w:r>
      <w:bookmarkEnd w:id="18021"/>
    </w:p>
    <w:p xmlns:wp14="http://schemas.microsoft.com/office/word/2010/wordml" w14:paraId="7FFE9A9D" wp14:textId="77777777">
      <w:pPr>
        <w:pStyle w:val="normal"/>
        <w:spacing w:before="0" w:after="192" w:line="359" w:lineRule="auto"/>
        <w:ind w:left="-15" w:right="2"/>
      </w:pPr>
      <w:r w:rsidRPr="519776FC" w:rsidR="519776FC">
        <w:rPr>
          <w:lang w:val="en-US"/>
        </w:rPr>
        <w:t xml:space="preserve">Sustainability is usually described as "the ability to meet the needs of the present without harming the resources or endangering the ability of future generations to do the same. This report discusses, critically, the links between global sustainability policies and national and local health interventions within the United Kingdom. This paper uses Dahlgren and Whitehead's (1991) Social Determinants of Health paradigm </w:t>
      </w:r>
      <w:r w:rsidRPr="519776FC" w:rsidR="519776FC">
        <w:rPr>
          <w:rFonts w:ascii="Arial" w:hAnsi="Arial" w:eastAsia="Arial" w:cs="Arial"/>
          <w:lang w:val="en-US"/>
        </w:rPr>
        <w:t>and the “Health in All Policies” (HiAP</w:t>
      </w:r>
      <w:r w:rsidRPr="519776FC" w:rsidR="519776FC">
        <w:rPr>
          <w:lang w:val="en-US"/>
        </w:rPr>
        <w:t>) framework to examine how the UN Sustainable Development Goals (SDGs) of SDG 3 (Good Health and Wellbeing) and SDG 11 (Sustainable Cities and Communities) can be operationalised. This analysis takes a macro</w:t>
      </w:r>
      <w:r w:rsidRPr="519776FC" w:rsidR="519776FC">
        <w:rPr>
          <w:lang w:val="en-US"/>
        </w:rPr>
        <w:t>-</w:t>
      </w:r>
      <w:r w:rsidRPr="519776FC" w:rsidR="519776FC">
        <w:rPr>
          <w:lang w:val="en-US"/>
        </w:rPr>
        <w:t>environmental, political and economic lens to look at the drivers of health distribution, rather than as a consequence of individual lifestyles. This report assesses two national and two local initiatives to highlight implementation gaps and demonstrates that sustainability and public health cannot be separated from social justice</w:t>
      </w:r>
      <w:r w:rsidRPr="519776FC" w:rsidR="519776FC">
        <w:rPr>
          <w:lang w:val="en-US"/>
        </w:rPr>
        <w:t>.</w:t>
      </w:r>
      <w:r w:rsidRPr="519776FC" w:rsidR="519776FC">
        <w:rPr>
          <w:lang w:val="en-US"/>
        </w:rPr>
        <w:t xml:space="preserve"> </w:t>
      </w:r>
    </w:p>
    <w:p xmlns:wp14="http://schemas.microsoft.com/office/word/2010/wordml" w14:paraId="28CE8CB7" wp14:textId="77777777">
      <w:pPr>
        <w:spacing w:before="0" w:after="302" w:line="259" w:lineRule="auto"/>
        <w:ind w:left="721" w:right="0" w:firstLine="0"/>
        <w:jc w:val="left"/>
      </w:pPr>
      <w:r>
        <w:rPr/>
        <w:t xml:space="preserve"> </w:t>
      </w:r>
    </w:p>
    <w:p xmlns:wp14="http://schemas.microsoft.com/office/word/2010/wordml" w14:paraId="3D8A78C0" wp14:textId="77777777">
      <w:pPr>
        <w:pStyle w:val="heading1"/>
        <w:spacing w:before="0" w:after="235" w:line="259" w:lineRule="auto"/>
        <w:ind w:left="250" w:hanging="265"/>
      </w:pPr>
      <w:bookmarkStart w:name="_Toc18022" w:id="18022"/>
      <w:r>
        <w:rPr/>
        <w:t xml:space="preserve">Sustainable Development Goal 3: Good Health and Wellbeing</w:t>
      </w:r>
      <w:r>
        <w:rPr/>
        <w:t xml:space="preserve"> </w:t>
      </w:r>
      <w:bookmarkEnd w:id="18022"/>
    </w:p>
    <w:p xmlns:wp14="http://schemas.microsoft.com/office/word/2010/wordml" w14:paraId="063CC9B7" wp14:textId="77777777">
      <w:pPr>
        <w:pStyle w:val="heading2"/>
        <w:spacing w:before="0" w:after="117" w:line="259" w:lineRule="auto"/>
        <w:ind w:left="386" w:hanging="401"/>
      </w:pPr>
      <w:bookmarkStart w:name="_Toc18023" w:id="18023"/>
      <w:r>
        <w:rPr/>
        <w:t xml:space="preserve">Theoretical</w:t>
      </w:r>
      <w:r>
        <w:rPr/>
        <w:t xml:space="preserve"> </w:t>
      </w:r>
      <w:r>
        <w:rPr/>
        <w:t xml:space="preserve">Framework</w:t>
      </w:r>
      <w:r>
        <w:rPr/>
        <w:t xml:space="preserve"> </w:t>
      </w:r>
      <w:r>
        <w:rPr/>
        <w:t xml:space="preserve">and</w:t>
      </w:r>
      <w:r>
        <w:rPr/>
        <w:t xml:space="preserve"> </w:t>
      </w:r>
      <w:r>
        <w:rPr/>
        <w:t xml:space="preserve">Core</w:t>
      </w:r>
      <w:r>
        <w:rPr/>
        <w:t xml:space="preserve"> </w:t>
      </w:r>
      <w:r>
        <w:rPr/>
        <w:t xml:space="preserve">Constructs</w:t>
      </w:r>
      <w:r>
        <w:rPr/>
        <w:t xml:space="preserve"> </w:t>
      </w:r>
      <w:bookmarkEnd w:id="18023"/>
    </w:p>
    <w:p xmlns:wp14="http://schemas.microsoft.com/office/word/2010/wordml" w14:paraId="76BAB211" wp14:textId="77777777">
      <w:pPr>
        <w:pStyle w:val="normal"/>
        <w:spacing w:before="0" w:after="4" w:line="359" w:lineRule="auto"/>
        <w:ind w:left="-15" w:right="2"/>
      </w:pPr>
      <w:r>
        <w:rPr>
          <w:rFonts w:ascii="Arial" w:hAnsi="Arial" w:eastAsia="Arial" w:cs="Arial"/>
        </w:rPr>
        <w:t xml:space="preserve">One of the United Nations Sustainable Development Goal (SDG 3) is ‘ensure </w:t>
      </w:r>
      <w:r>
        <w:rPr/>
        <w:t xml:space="preserve">healthy lives and promote well</w:t>
      </w:r>
      <w:r>
        <w:rPr/>
        <w:t xml:space="preserve">-</w:t>
      </w:r>
      <w:r>
        <w:rPr/>
        <w:t xml:space="preserve">being for all, at all ages' (United Nations [UN], 2015). With a change in the disease</w:t>
      </w:r>
      <w:r>
        <w:rPr/>
        <w:t xml:space="preserve">-</w:t>
      </w:r>
      <w:r>
        <w:rPr/>
        <w:t xml:space="preserve">specific focus of the Millennium Development Goals (MDGs), SDG 3 takes a systemic approach, focusing on non</w:t>
      </w:r>
      <w:r>
        <w:rPr/>
        <w:t xml:space="preserve">-</w:t>
      </w:r>
      <w:r>
        <w:rPr/>
        <w:t xml:space="preserve">communicable diseases </w:t>
      </w:r>
    </w:p>
    <w:p xmlns:wp14="http://schemas.microsoft.com/office/word/2010/wordml" w14:paraId="09773359" wp14:textId="77777777">
      <w:pPr>
        <w:pStyle w:val="normal"/>
        <w:spacing w:before="0" w:after="4" w:line="359" w:lineRule="auto"/>
        <w:ind w:left="-15" w:right="2" w:firstLine="0"/>
      </w:pPr>
      <w:r w:rsidRPr="519776FC" w:rsidR="519776FC">
        <w:rPr>
          <w:lang w:val="en-US"/>
        </w:rPr>
        <w:t>(NCDs), mental health and Universal Health Coverage (UHC); World Health Organisation (WHO) (2023).</w:t>
      </w:r>
      <w:r w:rsidRPr="519776FC" w:rsidR="519776FC">
        <w:rPr>
          <w:lang w:val="en-US"/>
        </w:rPr>
        <w:t xml:space="preserve"> </w:t>
      </w:r>
    </w:p>
    <w:p xmlns:wp14="http://schemas.microsoft.com/office/word/2010/wordml" w14:paraId="7A3CC3EB" wp14:textId="77777777">
      <w:pPr>
        <w:pStyle w:val="normal"/>
        <w:spacing w:before="0" w:after="4" w:line="359" w:lineRule="auto"/>
        <w:ind w:left="-15" w:right="2"/>
      </w:pPr>
      <w:r w:rsidRPr="519776FC" w:rsidR="519776FC">
        <w:rPr>
          <w:lang w:val="en-US"/>
        </w:rPr>
        <w:t>Dahlgren and Whitehead's (1991) Social Determinants of Health model is used to analyze its real world impact. This model assumes health is influenced by multiple levels of influence, including individual biology, lifestyle, social networks, living conditions, and macro socio</w:t>
      </w:r>
      <w:r w:rsidRPr="519776FC" w:rsidR="519776FC">
        <w:rPr>
          <w:lang w:val="en-US"/>
        </w:rPr>
        <w:t>-</w:t>
      </w:r>
      <w:r w:rsidRPr="519776FC" w:rsidR="519776FC">
        <w:rPr>
          <w:lang w:val="en-US"/>
        </w:rPr>
        <w:t>economic systems</w:t>
      </w:r>
      <w:r w:rsidRPr="519776FC" w:rsidR="519776FC">
        <w:rPr>
          <w:lang w:val="en-US"/>
        </w:rPr>
        <w:t>:</w:t>
      </w:r>
      <w:r w:rsidRPr="519776FC" w:rsidR="519776FC">
        <w:rPr>
          <w:lang w:val="en-US"/>
        </w:rPr>
        <w:t xml:space="preserve"> </w:t>
      </w:r>
    </w:p>
    <w:p xmlns:wp14="http://schemas.microsoft.com/office/word/2010/wordml" w14:paraId="1895D3B7" wp14:textId="77777777">
      <w:pPr>
        <w:spacing w:before="0" w:after="67" w:line="259" w:lineRule="auto"/>
        <w:ind w:right="435" w:firstLine="0"/>
        <w:jc w:val="right"/>
      </w:pPr>
      <w:r>
        <w:drawing>
          <wp:inline xmlns:wp14="http://schemas.microsoft.com/office/word/2010/wordprocessingDrawing" distT="0" distB="0" distL="0" distR="0" wp14:anchorId="1877CEA1" wp14:editId="7777777">
            <wp:extent cx="5106670" cy="3372485"/>
            <wp:effectExtent l="0" t="0" r="0" b="0"/>
            <wp:docPr id="989" name="Picture 989" descr="Introducing public health: Figure 3 The Dahlgren and Whitehead rainbow | OpenLearn - Open University"/>
            <wp:cNvGraphicFramePr/>
            <a:graphic>
              <a:graphicData uri="http://schemas.openxmlformats.org/drawingml/2006/picture">
                <pic:pic xmlns:pic="http://schemas.openxmlformats.org/drawingml/2006/picture">
                  <pic:nvPicPr>
                    <pic:cNvPr id="989" name="Picture 989"/>
                    <pic:cNvPicPr/>
                  </pic:nvPicPr>
                  <pic:blipFill>
                    <a:blip r:embed="rId4"/>
                    <a:stretch>
                      <a:fillRect/>
                    </a:stretch>
                  </pic:blipFill>
                  <pic:spPr>
                    <a:xfrm>
                      <a:off x="0" y="0"/>
                      <a:ext cx="5106670" cy="3372485"/>
                    </a:xfrm>
                    <a:prstGeom prst="rect">
                      <a:avLst/>
                    </a:prstGeom>
                  </pic:spPr>
                </pic:pic>
              </a:graphicData>
            </a:graphic>
          </wp:inline>
        </w:drawing>
      </w:r>
      <w:r>
        <w:rPr>
          <w:color w:val="000000"/>
        </w:rPr>
        <w:t xml:space="preserve"> </w:t>
      </w:r>
    </w:p>
    <w:p xmlns:wp14="http://schemas.microsoft.com/office/word/2010/wordml" w14:paraId="4C4733F3" wp14:textId="77777777">
      <w:pPr>
        <w:spacing w:before="0" w:after="315" w:line="259" w:lineRule="auto"/>
        <w:ind w:left="10" w:right="13" w:hanging="10"/>
        <w:jc w:val="center"/>
      </w:pPr>
      <w:r>
        <w:rPr>
          <w:rFonts w:ascii="Arial" w:hAnsi="Arial" w:eastAsia="Arial" w:cs="Arial"/>
          <w:i w:val="1"/>
          <w:color w:val="44546a"/>
        </w:rPr>
        <w:t xml:space="preserve">Figure </w:t>
      </w:r>
      <w:r>
        <w:rPr>
          <w:rFonts w:ascii="Arial" w:hAnsi="Arial" w:eastAsia="Arial" w:cs="Arial"/>
          <w:i w:val="1"/>
          <w:color w:val="44546a"/>
        </w:rPr>
        <w:t xml:space="preserve">1</w:t>
      </w:r>
      <w:r>
        <w:rPr>
          <w:rFonts w:ascii="Arial" w:hAnsi="Arial" w:eastAsia="Arial" w:cs="Arial"/>
          <w:i w:val="1"/>
          <w:color w:val="44546a"/>
        </w:rPr>
        <w:t xml:space="preserve">: Dahlgren and Whitehead "Rainbow Model" (1991)</w:t>
      </w:r>
      <w:r>
        <w:rPr>
          <w:rFonts w:ascii="Arial" w:hAnsi="Arial" w:eastAsia="Arial" w:cs="Arial"/>
          <w:i w:val="1"/>
          <w:color w:val="44546a"/>
        </w:rPr>
        <w:t xml:space="preserve"> </w:t>
      </w:r>
    </w:p>
    <w:p xmlns:wp14="http://schemas.microsoft.com/office/word/2010/wordml" w14:paraId="4F92076D" wp14:textId="77777777">
      <w:pPr>
        <w:spacing w:before="0" w:after="112" w:line="259" w:lineRule="auto"/>
        <w:ind w:left="10" w:right="5" w:hanging="10"/>
        <w:jc w:val="center"/>
      </w:pPr>
      <w:r>
        <w:rPr>
          <w:rFonts w:ascii="Arial" w:hAnsi="Arial" w:eastAsia="Arial" w:cs="Arial"/>
          <w:i w:val="1"/>
          <w:color w:val="44546a"/>
        </w:rPr>
        <w:t xml:space="preserve"> </w:t>
      </w:r>
      <w:r>
        <w:rPr>
          <w:rFonts w:ascii="Arial" w:hAnsi="Arial" w:eastAsia="Arial" w:cs="Arial"/>
          <w:i w:val="1"/>
          <w:color w:val="44546a"/>
        </w:rPr>
        <w:t xml:space="preserve">Source: </w:t>
      </w:r>
    </w:p>
    <w:p xmlns:wp14="http://schemas.microsoft.com/office/word/2010/wordml" w14:paraId="0D111B9B" wp14:textId="77777777">
      <w:pPr>
        <w:spacing w:before="0" w:after="117" w:line="259" w:lineRule="auto"/>
        <w:ind w:left="85" w:right="0" w:firstLine="0"/>
        <w:jc w:val="left"/>
      </w:pPr>
      <w:r>
        <w:rPr>
          <w:rFonts w:ascii="Arial" w:hAnsi="Arial" w:eastAsia="Arial" w:cs="Arial"/>
          <w:i w:val="1"/>
          <w:color w:val="44546a"/>
        </w:rPr>
        <w:t xml:space="preserve">https://www.open.edu/openlearn/mod/oucontent/view.php?extra=thumbnailfigure_id</w:t>
      </w:r>
    </w:p>
    <w:p xmlns:wp14="http://schemas.microsoft.com/office/word/2010/wordml" w14:paraId="30E64B15" wp14:textId="77777777">
      <w:pPr>
        <w:spacing w:before="0" w:after="315" w:line="259" w:lineRule="auto"/>
        <w:ind w:left="10" w:right="6" w:hanging="10"/>
        <w:jc w:val="center"/>
      </w:pPr>
      <w:r>
        <w:rPr>
          <w:rFonts w:ascii="Arial" w:hAnsi="Arial" w:eastAsia="Arial" w:cs="Arial"/>
          <w:i w:val="1"/>
          <w:color w:val="44546a"/>
        </w:rPr>
        <w:t xml:space="preserve">m165&amp;id=68850&amp;utm_source=chatgpt.com</w:t>
      </w:r>
      <w:r>
        <w:rPr>
          <w:rFonts w:ascii="Arial" w:hAnsi="Arial" w:eastAsia="Arial" w:cs="Arial"/>
          <w:i w:val="1"/>
        </w:rPr>
        <w:t xml:space="preserve"> </w:t>
      </w:r>
    </w:p>
    <w:p xmlns:wp14="http://schemas.microsoft.com/office/word/2010/wordml" w14:paraId="500372C5" wp14:textId="77777777">
      <w:pPr>
        <w:pStyle w:val="normal"/>
        <w:spacing w:before="0" w:after="4" w:line="359" w:lineRule="auto"/>
        <w:ind w:left="-15" w:right="2" w:firstLine="0"/>
      </w:pPr>
      <w:r>
        <w:rPr/>
        <w:t xml:space="preserve">SDG</w:t>
      </w:r>
      <w:r>
        <w:rPr/>
        <w:t xml:space="preserve"> </w:t>
      </w:r>
      <w:r>
        <w:rPr/>
        <w:t xml:space="preserve">3 attempts to intervene at these macro levels by framing healthcare access as a fundamental human right.</w:t>
      </w:r>
      <w:r>
        <w:rPr/>
        <w:t xml:space="preserve"> </w:t>
      </w:r>
    </w:p>
    <w:p xmlns:wp14="http://schemas.microsoft.com/office/word/2010/wordml" w14:paraId="7FDE0BDC" wp14:textId="77777777">
      <w:pPr>
        <w:spacing w:before="0" w:after="112" w:line="259" w:lineRule="auto"/>
        <w:ind w:right="0" w:firstLine="0"/>
        <w:jc w:val="left"/>
      </w:pPr>
      <w:r>
        <w:rPr/>
        <w:t xml:space="preserve"> </w:t>
      </w:r>
    </w:p>
    <w:p xmlns:wp14="http://schemas.microsoft.com/office/word/2010/wordml" w14:paraId="19C8042B" wp14:textId="77777777">
      <w:pPr>
        <w:pStyle w:val="heading2"/>
        <w:spacing w:before="0" w:after="117" w:line="259" w:lineRule="auto"/>
        <w:ind w:left="386" w:hanging="401"/>
      </w:pPr>
      <w:bookmarkStart w:name="_Toc18024" w:id="18024"/>
      <w:r>
        <w:rPr/>
        <w:t xml:space="preserve">Systemic</w:t>
      </w:r>
      <w:r>
        <w:rPr/>
        <w:t xml:space="preserve"> </w:t>
      </w:r>
      <w:r>
        <w:rPr/>
        <w:t xml:space="preserve">Barriers</w:t>
      </w:r>
      <w:r>
        <w:rPr/>
        <w:t xml:space="preserve"> </w:t>
      </w:r>
      <w:r>
        <w:rPr/>
        <w:t xml:space="preserve">and</w:t>
      </w:r>
      <w:r>
        <w:rPr/>
        <w:t xml:space="preserve"> </w:t>
      </w:r>
      <w:r>
        <w:rPr/>
        <w:t xml:space="preserve">Critical</w:t>
      </w:r>
      <w:r>
        <w:rPr/>
        <w:t xml:space="preserve"> </w:t>
      </w:r>
      <w:r>
        <w:rPr/>
        <w:t xml:space="preserve">Public</w:t>
      </w:r>
      <w:r>
        <w:rPr/>
        <w:t xml:space="preserve"> </w:t>
      </w:r>
      <w:r>
        <w:rPr/>
        <w:t xml:space="preserve">Health</w:t>
      </w:r>
      <w:r>
        <w:rPr/>
        <w:t xml:space="preserve"> </w:t>
      </w:r>
      <w:r>
        <w:rPr/>
        <w:t xml:space="preserve">Impacts</w:t>
      </w:r>
      <w:r>
        <w:rPr/>
        <w:t xml:space="preserve"> </w:t>
      </w:r>
      <w:bookmarkEnd w:id="18024"/>
    </w:p>
    <w:p xmlns:wp14="http://schemas.microsoft.com/office/word/2010/wordml" w14:paraId="2B7A24D3" wp14:textId="77777777">
      <w:pPr>
        <w:pStyle w:val="normal"/>
        <w:spacing w:before="0" w:after="187" w:line="359" w:lineRule="auto"/>
        <w:ind w:left="-15" w:right="2"/>
      </w:pPr>
      <w:r>
        <w:rPr/>
        <w:t xml:space="preserve">However, crucially, SDG 3 is embedded in a global economic model that focuses on gross domestic product (GDP) growth rather than wellbeing (Buse and Hawkes, 2015). This structural tension reveals the "commercial determinants of health," in which multinational corporations make the most profit by creating and selling harmful goods for health, such as ultra</w:t>
      </w:r>
      <w:r>
        <w:rPr/>
        <w:t xml:space="preserve">-</w:t>
      </w:r>
      <w:r>
        <w:rPr/>
        <w:t xml:space="preserve">processed foods, alcohol and tobacco (Franz and Kickbusch, 2018). There is no regulatory mechanism yet in place that can stop these corporate practices with regard to SDG 3.</w:t>
      </w:r>
      <w:r>
        <w:rPr/>
        <w:t xml:space="preserve"> </w:t>
      </w:r>
    </w:p>
    <w:p xmlns:wp14="http://schemas.microsoft.com/office/word/2010/wordml" w14:paraId="0E911678" wp14:textId="77777777">
      <w:pPr>
        <w:pStyle w:val="normal"/>
        <w:spacing w:before="0" w:after="187" w:line="359" w:lineRule="auto"/>
        <w:ind w:left="-15" w:right="2"/>
      </w:pPr>
      <w:r>
        <w:rPr/>
        <w:t xml:space="preserve">Moreover, UHC is very hierarchical. Legacy structural adjustment programs have privatised public healthcare in many developing regions, bringing out of pocket expenses which places millions of people in poverty (Sengupta, 2025). Decades of austerity, disinvestment from the public service, have increased the health gap even </w:t>
      </w:r>
      <w:r>
        <w:rPr/>
        <w:t xml:space="preserve">in high</w:t>
      </w:r>
      <w:r>
        <w:rPr/>
        <w:t xml:space="preserve">-</w:t>
      </w:r>
      <w:r>
        <w:rPr/>
        <w:t xml:space="preserve">income countries such as the UK (Marmot, 2020). In other words, leaving systemic economic imbalances unaddressed, SDG 3 becomes a band</w:t>
      </w:r>
      <w:r>
        <w:rPr/>
        <w:t xml:space="preserve">-</w:t>
      </w:r>
      <w:r>
        <w:rPr/>
        <w:t xml:space="preserve">aid for structural problems instead of an enabling framework for change</w:t>
      </w:r>
      <w:r>
        <w:rPr/>
        <w:t xml:space="preserve">.</w:t>
      </w:r>
      <w:r>
        <w:rPr/>
        <w:t xml:space="preserve"> </w:t>
      </w:r>
    </w:p>
    <w:p xmlns:wp14="http://schemas.microsoft.com/office/word/2010/wordml" w14:paraId="6C1031F9" wp14:textId="77777777">
      <w:pPr>
        <w:spacing w:before="0" w:after="302" w:line="259" w:lineRule="auto"/>
        <w:ind w:right="0" w:firstLine="0"/>
        <w:jc w:val="left"/>
      </w:pPr>
      <w:r>
        <w:rPr/>
        <w:t xml:space="preserve"> </w:t>
      </w:r>
    </w:p>
    <w:p xmlns:wp14="http://schemas.microsoft.com/office/word/2010/wordml" w14:paraId="743A088B" wp14:textId="77777777">
      <w:pPr>
        <w:pStyle w:val="heading1"/>
        <w:spacing w:before="0" w:after="235" w:line="259" w:lineRule="auto"/>
        <w:ind w:left="250" w:hanging="265"/>
      </w:pPr>
      <w:bookmarkStart w:name="_Toc18025" w:id="18025"/>
      <w:r>
        <w:rPr/>
        <w:t xml:space="preserve">Sustainable Development Goal 11: Sustainable Cities and Communities</w:t>
      </w:r>
      <w:r>
        <w:rPr/>
        <w:t xml:space="preserve"> </w:t>
      </w:r>
      <w:bookmarkEnd w:id="18025"/>
    </w:p>
    <w:p xmlns:wp14="http://schemas.microsoft.com/office/word/2010/wordml" w14:paraId="28ACE512" wp14:textId="77777777">
      <w:pPr>
        <w:pStyle w:val="heading2"/>
        <w:spacing w:before="0" w:after="118" w:line="259" w:lineRule="auto"/>
        <w:ind w:left="386" w:hanging="401"/>
      </w:pPr>
      <w:bookmarkStart w:name="_Toc18026" w:id="18026"/>
      <w:r>
        <w:rPr/>
        <w:t xml:space="preserve">Environmental</w:t>
      </w:r>
      <w:r>
        <w:rPr/>
        <w:t xml:space="preserve"> </w:t>
      </w:r>
      <w:r>
        <w:rPr/>
        <w:t xml:space="preserve">Determinants</w:t>
      </w:r>
      <w:r>
        <w:rPr/>
        <w:t xml:space="preserve"> </w:t>
      </w:r>
      <w:r>
        <w:rPr/>
        <w:t xml:space="preserve">of</w:t>
      </w:r>
      <w:r>
        <w:rPr/>
        <w:t xml:space="preserve"> </w:t>
      </w:r>
      <w:r>
        <w:rPr/>
        <w:t xml:space="preserve">Urban</w:t>
      </w:r>
      <w:r>
        <w:rPr/>
        <w:t xml:space="preserve"> </w:t>
      </w:r>
      <w:r>
        <w:rPr/>
        <w:t xml:space="preserve">Public</w:t>
      </w:r>
      <w:r>
        <w:rPr/>
        <w:t xml:space="preserve"> </w:t>
      </w:r>
      <w:r>
        <w:rPr/>
        <w:t xml:space="preserve">Health</w:t>
      </w:r>
      <w:r>
        <w:rPr/>
        <w:t xml:space="preserve"> </w:t>
      </w:r>
      <w:bookmarkEnd w:id="18026"/>
    </w:p>
    <w:p xmlns:wp14="http://schemas.microsoft.com/office/word/2010/wordml" w14:paraId="4E2F56C5" wp14:textId="77777777">
      <w:pPr>
        <w:pStyle w:val="normal"/>
        <w:spacing w:before="0" w:after="192" w:line="359" w:lineRule="auto"/>
        <w:ind w:left="-15" w:right="2"/>
      </w:pPr>
      <w:r>
        <w:rPr/>
        <w:t xml:space="preserve">The United Nations (2015) set SDG 11 "make cities and human settlements inclusive, safe, resilient and sustainable". Urban planning is a key structural factor affecting public health, with more than half of the global population already living in cities (United Nations Department of Economic and Social Affairs (UN DESA), 2018). SDG 11 is about safe and clean cities, transportation, air quality, and green space.</w:t>
      </w:r>
      <w:r>
        <w:rPr/>
        <w:t xml:space="preserve"> </w:t>
      </w:r>
    </w:p>
    <w:p xmlns:wp14="http://schemas.microsoft.com/office/word/2010/wordml" w14:paraId="23B5144A" wp14:textId="77777777">
      <w:pPr>
        <w:pStyle w:val="normal"/>
        <w:spacing w:before="0" w:after="187" w:line="359" w:lineRule="auto"/>
        <w:ind w:left="-15" w:right="2"/>
      </w:pPr>
      <w:r>
        <w:rPr/>
        <w:t xml:space="preserve">Urban design impacts on health are immediate and tangible. Cardiovascular and respiratory deaths are a leading cause of ambient air pollution, caused by the transportation of fossil fuels. According to the WHO (2021), about 4.2 million people die every year due to ambient air pollution around the world. Fine particulate matter (PM2.5) and nitrogen dioxide (NO2) enter the lung tissue and cause systemic inflammation, COPD and pediatric</w:t>
      </w:r>
      <w:r>
        <w:rPr/>
        <w:t xml:space="preserve"> </w:t>
      </w:r>
      <w:r>
        <w:rPr/>
        <w:t xml:space="preserve">asthma (WHO, 2021). Car</w:t>
      </w:r>
      <w:r>
        <w:rPr/>
        <w:t xml:space="preserve">-</w:t>
      </w:r>
      <w:r>
        <w:rPr/>
        <w:t xml:space="preserve">centric planning also creates a separation of residential areas, which promote sedentary lifestyles and metabolic syndromes (Giles</w:t>
      </w:r>
      <w:r>
        <w:rPr/>
        <w:t xml:space="preserve">-</w:t>
      </w:r>
      <w:r>
        <w:rPr/>
        <w:t xml:space="preserve">Corti et al., 2016</w:t>
      </w:r>
      <w:r>
        <w:rPr/>
        <w:t xml:space="preserve">). </w:t>
      </w:r>
    </w:p>
    <w:p xmlns:wp14="http://schemas.microsoft.com/office/word/2010/wordml" w14:paraId="4CE745D7" wp14:textId="77777777">
      <w:pPr>
        <w:spacing w:before="0" w:after="307" w:line="259" w:lineRule="auto"/>
        <w:ind w:right="0" w:firstLine="0"/>
        <w:jc w:val="left"/>
      </w:pPr>
      <w:r>
        <w:rPr/>
        <w:t xml:space="preserve"> </w:t>
      </w:r>
    </w:p>
    <w:p xmlns:wp14="http://schemas.microsoft.com/office/word/2010/wordml" w14:paraId="60C778F4" wp14:textId="77777777">
      <w:pPr>
        <w:pStyle w:val="heading2"/>
        <w:spacing w:before="0" w:after="117" w:line="259" w:lineRule="auto"/>
        <w:ind w:left="386" w:hanging="401"/>
      </w:pPr>
      <w:bookmarkStart w:name="_Toc18027" w:id="18027"/>
      <w:r>
        <w:rPr/>
        <w:t xml:space="preserve">Spatial</w:t>
      </w:r>
      <w:r>
        <w:rPr/>
        <w:t xml:space="preserve"> </w:t>
      </w:r>
      <w:r>
        <w:rPr/>
        <w:t xml:space="preserve">Inequity</w:t>
      </w:r>
      <w:r>
        <w:rPr/>
        <w:t xml:space="preserve"> </w:t>
      </w:r>
      <w:r>
        <w:rPr/>
        <w:t xml:space="preserve">and</w:t>
      </w:r>
      <w:r>
        <w:rPr/>
        <w:t xml:space="preserve"> </w:t>
      </w:r>
      <w:r>
        <w:rPr/>
        <w:t xml:space="preserve">the</w:t>
      </w:r>
      <w:r>
        <w:rPr/>
        <w:t xml:space="preserve"> </w:t>
      </w:r>
      <w:r>
        <w:rPr/>
        <w:t xml:space="preserve">Salutogenic</w:t>
      </w:r>
      <w:r>
        <w:rPr/>
        <w:t xml:space="preserve"> </w:t>
      </w:r>
      <w:r>
        <w:rPr/>
        <w:t xml:space="preserve">Paradigm</w:t>
      </w:r>
      <w:r>
        <w:rPr/>
        <w:t xml:space="preserve"> </w:t>
      </w:r>
      <w:bookmarkEnd w:id="18027"/>
    </w:p>
    <w:p xmlns:wp14="http://schemas.microsoft.com/office/word/2010/wordml" w14:paraId="75D5DDED" wp14:textId="77777777">
      <w:pPr>
        <w:pStyle w:val="normal"/>
        <w:spacing w:before="0" w:after="187" w:line="359" w:lineRule="auto"/>
        <w:ind w:left="-15" w:right="2"/>
      </w:pPr>
      <w:r>
        <w:rPr/>
        <w:t xml:space="preserve">SDG 11 is a powerful instrument to foster environmental resilience, as it has been evaluated using the Salutogenic approach developed by Antonovsky (1996) which emphasises active health promoting assets. Green spaces and cycling corridors reduce cortisol levels and increase the social capital of the community (Jimenez et al., </w:t>
      </w:r>
      <w:r>
        <w:rPr/>
        <w:t xml:space="preserve">2021).</w:t>
      </w:r>
      <w:r>
        <w:rPr/>
        <w:t xml:space="preserve"> </w:t>
      </w:r>
    </w:p>
    <w:p xmlns:wp14="http://schemas.microsoft.com/office/word/2010/wordml" w14:paraId="7F150518" wp14:textId="77777777">
      <w:pPr>
        <w:pStyle w:val="normal"/>
        <w:spacing w:before="0" w:after="192" w:line="359" w:lineRule="auto"/>
        <w:ind w:left="-15" w:right="2"/>
      </w:pPr>
      <w:r>
        <w:rPr/>
        <w:t xml:space="preserve">However,</w:t>
      </w:r>
      <w:r>
        <w:rPr/>
        <w:t xml:space="preserve"> </w:t>
      </w:r>
      <w:r>
        <w:rPr/>
        <w:t xml:space="preserve">resources and assets of the environment are not evenly distributed. Green space maps directly onto wealthy neighbourhoods, and deprived neighbourhoods are located near busy roads and industrial facilities, in most cities (Cole et al., 2021). This form of environmental injustice brings about a double burden for lower income groups: high socio</w:t>
      </w:r>
      <w:r>
        <w:rPr/>
        <w:t xml:space="preserve">-</w:t>
      </w:r>
      <w:r>
        <w:rPr/>
        <w:t xml:space="preserve">economic stress combined with the absence of </w:t>
      </w:r>
      <w:r>
        <w:rPr/>
        <w:t xml:space="preserve">salutogenic urban buffers. Additionally, urban greening interventions in disadvantaged urban neighborhoods</w:t>
      </w:r>
      <w:r>
        <w:rPr/>
        <w:t xml:space="preserve"> </w:t>
      </w:r>
      <w:r>
        <w:rPr/>
        <w:t xml:space="preserve">often lead to "green gentrification," which involves the exclusion of the original residents of the area, who are typically poor, from the urban green space (Bressane et al., 2024</w:t>
      </w:r>
      <w:r>
        <w:rPr/>
        <w:t xml:space="preserve">). </w:t>
      </w:r>
    </w:p>
    <w:p xmlns:wp14="http://schemas.microsoft.com/office/word/2010/wordml" w14:paraId="7D149327" wp14:textId="77777777">
      <w:pPr>
        <w:spacing w:before="0" w:after="302" w:line="259" w:lineRule="auto"/>
        <w:ind w:right="0" w:firstLine="0"/>
        <w:jc w:val="left"/>
      </w:pPr>
      <w:r>
        <w:rPr/>
        <w:t xml:space="preserve"> </w:t>
      </w:r>
    </w:p>
    <w:p xmlns:wp14="http://schemas.microsoft.com/office/word/2010/wordml" w14:paraId="2BDED40B" wp14:textId="77777777">
      <w:pPr>
        <w:pStyle w:val="heading1"/>
        <w:spacing w:before="0" w:after="235" w:line="259" w:lineRule="auto"/>
        <w:ind w:left="250" w:hanging="265"/>
      </w:pPr>
      <w:bookmarkStart w:name="_Toc18028" w:id="18028"/>
      <w:r>
        <w:rPr/>
        <w:t xml:space="preserve">National Wellbeing Initiatives: Critical Evaluation</w:t>
      </w:r>
      <w:r>
        <w:rPr/>
        <w:t xml:space="preserve"> </w:t>
      </w:r>
      <w:bookmarkEnd w:id="18028"/>
    </w:p>
    <w:p xmlns:wp14="http://schemas.microsoft.com/office/word/2010/wordml" w14:paraId="51CCED0B" wp14:textId="77777777">
      <w:pPr>
        <w:pStyle w:val="heading2"/>
        <w:spacing w:before="0" w:after="235" w:line="259" w:lineRule="auto"/>
        <w:ind w:left="385" w:hanging="400"/>
      </w:pPr>
      <w:bookmarkStart w:name="_Toc18029" w:id="18029"/>
      <w:r>
        <w:rPr/>
        <w:t xml:space="preserve">The Well</w:t>
      </w:r>
      <w:r>
        <w:rPr/>
        <w:t xml:space="preserve">-</w:t>
      </w:r>
      <w:r>
        <w:rPr/>
        <w:t xml:space="preserve">being of Future Generations (Wales) Act 2015</w:t>
      </w:r>
      <w:r>
        <w:rPr/>
        <w:t xml:space="preserve"> </w:t>
      </w:r>
      <w:bookmarkEnd w:id="18029"/>
    </w:p>
    <w:p xmlns:wp14="http://schemas.microsoft.com/office/word/2010/wordml" w14:paraId="6ED2D2DB" wp14:textId="77777777">
      <w:pPr>
        <w:pStyle w:val="normal"/>
        <w:spacing w:before="0" w:after="4" w:line="359" w:lineRule="auto"/>
        <w:ind w:left="-15" w:right="2"/>
      </w:pPr>
      <w:r>
        <w:rPr/>
        <w:t xml:space="preserve">The legislation in Wales makes it a legal requirement for public bodies to incorporate long</w:t>
      </w:r>
      <w:r>
        <w:rPr/>
        <w:t xml:space="preserve">-</w:t>
      </w:r>
      <w:r>
        <w:rPr/>
        <w:t xml:space="preserve">term social, environmental and economic sustainability into decisions made (Welsh Government, 2015). The Act institutionalises the HiAP paradigm at a national level, by establishing goals, including 'A Healthier Wales'. The Act requires the following five structural behaviours</w:t>
      </w:r>
      <w:r>
        <w:rPr/>
        <w:t xml:space="preserve">:</w:t>
      </w:r>
      <w:r>
        <w:rPr/>
        <w:t xml:space="preserve"> </w:t>
      </w:r>
    </w:p>
    <w:p xmlns:wp14="http://schemas.microsoft.com/office/word/2010/wordml" w14:paraId="253B9705" wp14:textId="77777777">
      <w:pPr>
        <w:spacing w:before="0" w:after="63" w:line="259" w:lineRule="auto"/>
        <w:ind w:right="705" w:firstLine="0"/>
        <w:jc w:val="right"/>
      </w:pPr>
      <w:r>
        <w:drawing>
          <wp:inline xmlns:wp14="http://schemas.microsoft.com/office/word/2010/wordprocessingDrawing" distT="0" distB="0" distL="0" distR="0" wp14:anchorId="36F53C28" wp14:editId="7777777">
            <wp:extent cx="4761865" cy="3526790"/>
            <wp:effectExtent l="0" t="0" r="0" b="0"/>
            <wp:docPr id="1145" name="Picture 1145" descr="Well-being of Future Generations - Aneurin Bevan University Health Board"/>
            <wp:cNvGraphicFramePr/>
            <a:graphic>
              <a:graphicData uri="http://schemas.openxmlformats.org/drawingml/2006/picture">
                <pic:pic xmlns:pic="http://schemas.openxmlformats.org/drawingml/2006/picture">
                  <pic:nvPicPr>
                    <pic:cNvPr id="1145" name="Picture 1145"/>
                    <pic:cNvPicPr/>
                  </pic:nvPicPr>
                  <pic:blipFill>
                    <a:blip r:embed="rId5"/>
                    <a:stretch>
                      <a:fillRect/>
                    </a:stretch>
                  </pic:blipFill>
                  <pic:spPr>
                    <a:xfrm>
                      <a:off x="0" y="0"/>
                      <a:ext cx="4761865" cy="3526790"/>
                    </a:xfrm>
                    <a:prstGeom prst="rect">
                      <a:avLst/>
                    </a:prstGeom>
                  </pic:spPr>
                </pic:pic>
              </a:graphicData>
            </a:graphic>
          </wp:inline>
        </w:drawing>
      </w:r>
      <w:r>
        <w:rPr>
          <w:color w:val="000000"/>
        </w:rPr>
        <w:t xml:space="preserve"> </w:t>
      </w:r>
    </w:p>
    <w:p xmlns:wp14="http://schemas.microsoft.com/office/word/2010/wordml" w14:paraId="13A6A325" wp14:textId="77777777">
      <w:pPr>
        <w:spacing w:before="0" w:after="315" w:line="259" w:lineRule="auto"/>
        <w:ind w:left="10" w:right="10" w:hanging="10"/>
        <w:jc w:val="center"/>
      </w:pPr>
      <w:r>
        <w:rPr>
          <w:rFonts w:ascii="Arial" w:hAnsi="Arial" w:eastAsia="Arial" w:cs="Arial"/>
          <w:i w:val="1"/>
          <w:color w:val="44546a"/>
        </w:rPr>
        <w:t xml:space="preserve">Figure </w:t>
      </w:r>
      <w:r>
        <w:rPr>
          <w:rFonts w:ascii="Arial" w:hAnsi="Arial" w:eastAsia="Arial" w:cs="Arial"/>
          <w:i w:val="1"/>
          <w:color w:val="44546a"/>
        </w:rPr>
        <w:t xml:space="preserve">2</w:t>
      </w:r>
      <w:r>
        <w:rPr>
          <w:rFonts w:ascii="Arial" w:hAnsi="Arial" w:eastAsia="Arial" w:cs="Arial"/>
          <w:i w:val="1"/>
          <w:color w:val="44546a"/>
        </w:rPr>
        <w:t xml:space="preserve">: 5 Key Structural Behaviours </w:t>
      </w:r>
      <w:r>
        <w:rPr>
          <w:rFonts w:ascii="Arial" w:hAnsi="Arial" w:eastAsia="Arial" w:cs="Arial"/>
          <w:i w:val="1"/>
          <w:color w:val="44546a"/>
        </w:rPr>
        <w:t xml:space="preserve"> </w:t>
      </w:r>
    </w:p>
    <w:p xmlns:wp14="http://schemas.microsoft.com/office/word/2010/wordml" w14:paraId="5956FCC3" wp14:textId="77777777">
      <w:pPr>
        <w:spacing w:before="0" w:after="117" w:line="259" w:lineRule="auto"/>
        <w:ind w:left="10" w:right="7" w:hanging="10"/>
        <w:jc w:val="center"/>
      </w:pPr>
      <w:r>
        <w:rPr>
          <w:rFonts w:ascii="Arial" w:hAnsi="Arial" w:eastAsia="Arial" w:cs="Arial"/>
          <w:i w:val="1"/>
          <w:color w:val="44546a"/>
        </w:rPr>
        <w:t xml:space="preserve">Source: https://abuhb.nhs.wales/hospitals/staying</w:t>
      </w:r>
      <w:r>
        <w:rPr>
          <w:rFonts w:ascii="Arial" w:hAnsi="Arial" w:eastAsia="Arial" w:cs="Arial"/>
          <w:i w:val="1"/>
          <w:color w:val="44546a"/>
        </w:rPr>
        <w:t xml:space="preserve">-</w:t>
      </w:r>
      <w:r>
        <w:rPr>
          <w:rFonts w:ascii="Arial" w:hAnsi="Arial" w:eastAsia="Arial" w:cs="Arial"/>
          <w:i w:val="1"/>
          <w:color w:val="44546a"/>
        </w:rPr>
        <w:t xml:space="preserve">well</w:t>
      </w:r>
      <w:r>
        <w:rPr>
          <w:rFonts w:ascii="Arial" w:hAnsi="Arial" w:eastAsia="Arial" w:cs="Arial"/>
          <w:i w:val="1"/>
          <w:color w:val="44546a"/>
        </w:rPr>
        <w:t xml:space="preserve">-</w:t>
      </w:r>
      <w:r>
        <w:rPr>
          <w:rFonts w:ascii="Arial" w:hAnsi="Arial" w:eastAsia="Arial" w:cs="Arial"/>
          <w:i w:val="1"/>
          <w:color w:val="44546a"/>
        </w:rPr>
        <w:t xml:space="preserve">and</w:t>
      </w:r>
      <w:r>
        <w:rPr>
          <w:rFonts w:ascii="Arial" w:hAnsi="Arial" w:eastAsia="Arial" w:cs="Arial"/>
          <w:i w:val="1"/>
          <w:color w:val="44546a"/>
        </w:rPr>
        <w:t xml:space="preserve">-</w:t>
      </w:r>
      <w:r>
        <w:rPr>
          <w:rFonts w:ascii="Arial" w:hAnsi="Arial" w:eastAsia="Arial" w:cs="Arial"/>
          <w:i w:val="1"/>
          <w:color w:val="44546a"/>
        </w:rPr>
        <w:t xml:space="preserve">healthy/well</w:t>
      </w:r>
      <w:r>
        <w:rPr>
          <w:rFonts w:ascii="Arial" w:hAnsi="Arial" w:eastAsia="Arial" w:cs="Arial"/>
          <w:i w:val="1"/>
          <w:color w:val="44546a"/>
        </w:rPr>
        <w:t xml:space="preserve">-</w:t>
      </w:r>
      <w:r>
        <w:rPr>
          <w:rFonts w:ascii="Arial" w:hAnsi="Arial" w:eastAsia="Arial" w:cs="Arial"/>
          <w:i w:val="1"/>
          <w:color w:val="44546a"/>
        </w:rPr>
        <w:t xml:space="preserve">being</w:t>
      </w:r>
      <w:r>
        <w:rPr>
          <w:rFonts w:ascii="Arial" w:hAnsi="Arial" w:eastAsia="Arial" w:cs="Arial"/>
          <w:i w:val="1"/>
          <w:color w:val="44546a"/>
        </w:rPr>
        <w:t xml:space="preserve">-</w:t>
      </w:r>
      <w:r>
        <w:rPr>
          <w:rFonts w:ascii="Arial" w:hAnsi="Arial" w:eastAsia="Arial" w:cs="Arial"/>
          <w:i w:val="1"/>
          <w:color w:val="44546a"/>
        </w:rPr>
        <w:t xml:space="preserve">of</w:t>
      </w:r>
      <w:r>
        <w:rPr>
          <w:rFonts w:ascii="Arial" w:hAnsi="Arial" w:eastAsia="Arial" w:cs="Arial"/>
          <w:i w:val="1"/>
          <w:color w:val="44546a"/>
        </w:rPr>
        <w:t xml:space="preserve">-</w:t>
      </w:r>
    </w:p>
    <w:p xmlns:wp14="http://schemas.microsoft.com/office/word/2010/wordml" w14:paraId="59944CCA" wp14:textId="77777777">
      <w:pPr>
        <w:spacing w:before="0" w:after="315" w:line="259" w:lineRule="auto"/>
        <w:ind w:left="10" w:right="10" w:hanging="10"/>
        <w:jc w:val="center"/>
      </w:pPr>
      <w:r>
        <w:rPr>
          <w:rFonts w:ascii="Arial" w:hAnsi="Arial" w:eastAsia="Arial" w:cs="Arial"/>
          <w:i w:val="1"/>
          <w:color w:val="44546a"/>
        </w:rPr>
        <w:t xml:space="preserve">future</w:t>
      </w:r>
      <w:r>
        <w:rPr>
          <w:rFonts w:ascii="Arial" w:hAnsi="Arial" w:eastAsia="Arial" w:cs="Arial"/>
          <w:i w:val="1"/>
          <w:color w:val="44546a"/>
        </w:rPr>
        <w:t xml:space="preserve">-</w:t>
      </w:r>
      <w:r>
        <w:rPr>
          <w:rFonts w:ascii="Arial" w:hAnsi="Arial" w:eastAsia="Arial" w:cs="Arial"/>
          <w:i w:val="1"/>
          <w:color w:val="44546a"/>
        </w:rPr>
        <w:t xml:space="preserve">generations/?utm_source=chatgpt.com</w:t>
      </w:r>
      <w:r>
        <w:rPr>
          <w:rFonts w:ascii="Arial" w:hAnsi="Arial" w:eastAsia="Arial" w:cs="Arial"/>
          <w:i w:val="1"/>
        </w:rPr>
        <w:t xml:space="preserve"> </w:t>
      </w:r>
    </w:p>
    <w:p xmlns:wp14="http://schemas.microsoft.com/office/word/2010/wordml" w14:paraId="538DDEB6" wp14:textId="77777777">
      <w:pPr>
        <w:pStyle w:val="normal"/>
        <w:spacing w:before="0" w:after="4" w:line="359" w:lineRule="auto"/>
        <w:ind w:left="-15" w:right="2"/>
      </w:pPr>
      <w:r>
        <w:rPr>
          <w:rFonts w:ascii="Arial" w:hAnsi="Arial" w:eastAsia="Arial" w:cs="Arial"/>
        </w:rPr>
        <w:t xml:space="preserve">However, the Act’s implementation suffers from a divergence between progressive rhetoric and operational realities. Public authorities have to use these “five </w:t>
      </w:r>
      <w:r>
        <w:rPr>
          <w:rFonts w:ascii="Arial" w:hAnsi="Arial" w:eastAsia="Arial" w:cs="Arial"/>
        </w:rPr>
        <w:t xml:space="preserve">ways of working” but they are constrained by severe short</w:t>
      </w:r>
      <w:r>
        <w:rPr/>
        <w:t xml:space="preserve">-</w:t>
      </w:r>
      <w:r>
        <w:rPr/>
        <w:t xml:space="preserve">term budgetary pressures, imposed by Westminster funding models (Auditor General for Wales, 2020). The long</w:t>
      </w:r>
      <w:r>
        <w:rPr/>
      </w:r>
      <w:r>
        <w:rPr/>
        <w:t xml:space="preserve">term funding required for preventative services is then typically redirected to deal with the acute care needs of the winter months, which are more urgent.The</w:t>
      </w:r>
      <w:r>
        <w:rPr/>
        <w:t xml:space="preserve"> </w:t>
      </w:r>
      <w:r>
        <w:rPr/>
        <w:t xml:space="preserve">NHS Wales boards then routinely allocate long</w:t>
      </w:r>
      <w:r>
        <w:rPr/>
        <w:t xml:space="preserve">-</w:t>
      </w:r>
      <w:r>
        <w:rPr/>
        <w:t xml:space="preserve">term preventative budgets to the more pressing needs of immediate acute care. In addition, the Future Generations Commissioner does not have any statutory powers to enforce in the event of non</w:t>
      </w:r>
      <w:r>
        <w:rPr/>
        <w:t xml:space="preserve">-</w:t>
      </w:r>
      <w:r>
        <w:rPr/>
        <w:t xml:space="preserve">compliance, making the Act somewhat aspirational (Wallace, 2021).</w:t>
      </w:r>
      <w:r>
        <w:rPr/>
        <w:t xml:space="preserve"> </w:t>
      </w:r>
    </w:p>
    <w:p xmlns:wp14="http://schemas.microsoft.com/office/word/2010/wordml" w14:paraId="536D5136" wp14:textId="77777777">
      <w:pPr>
        <w:pStyle w:val="normal"/>
        <w:spacing w:before="0" w:after="4" w:line="359" w:lineRule="auto"/>
        <w:ind w:left="-15" w:right="2"/>
      </w:pPr>
      <w:r>
        <w:rPr/>
        <w:t xml:space="preserve">Recommendation: The Welsh Government should include a legally</w:t>
      </w:r>
      <w:r>
        <w:rPr/>
        <w:t xml:space="preserve">-</w:t>
      </w:r>
      <w:r>
        <w:rPr/>
        <w:t xml:space="preserve">stated ring</w:t>
      </w:r>
      <w:r>
        <w:rPr/>
      </w:r>
      <w:r>
        <w:rPr/>
        <w:t xml:space="preserve">fenced preventive health fund and prescribe local authority budgets to have </w:t>
      </w:r>
    </w:p>
    <w:p xmlns:wp14="http://schemas.microsoft.com/office/word/2010/wordml" w14:paraId="7EB31CC5" wp14:textId="77777777">
      <w:pPr>
        <w:pStyle w:val="normal"/>
        <w:spacing w:before="0" w:after="117" w:line="259" w:lineRule="auto"/>
        <w:ind w:left="-15" w:right="2" w:firstLine="0"/>
      </w:pPr>
      <w:r>
        <w:rPr/>
        <w:t xml:space="preserve">Independent Future Generations Impact Assessments (FGIAs) to ensure compliance</w:t>
      </w:r>
      <w:r>
        <w:rPr/>
        <w:t xml:space="preserve">.</w:t>
      </w:r>
      <w:r>
        <w:rPr/>
        <w:t xml:space="preserve"> </w:t>
      </w:r>
    </w:p>
    <w:p xmlns:wp14="http://schemas.microsoft.com/office/word/2010/wordml" w14:paraId="752553BD" wp14:textId="77777777">
      <w:pPr>
        <w:spacing w:before="0" w:after="117" w:line="259" w:lineRule="auto"/>
        <w:ind w:right="0" w:firstLine="0"/>
        <w:jc w:val="left"/>
      </w:pPr>
      <w:r>
        <w:rPr/>
        <w:t xml:space="preserve"> </w:t>
      </w:r>
    </w:p>
    <w:p xmlns:wp14="http://schemas.microsoft.com/office/word/2010/wordml" w14:paraId="0ADD2141" wp14:textId="77777777">
      <w:pPr>
        <w:pStyle w:val="heading2"/>
        <w:spacing w:before="0" w:after="235" w:line="259" w:lineRule="auto"/>
        <w:ind w:left="385" w:hanging="400"/>
      </w:pPr>
      <w:bookmarkStart w:name="_Toc18030" w:id="18030"/>
      <w:r>
        <w:rPr/>
        <w:t xml:space="preserve">The UK Soft Drinks Industry Levy (SDIL)</w:t>
      </w:r>
      <w:r>
        <w:rPr/>
        <w:t xml:space="preserve"> </w:t>
      </w:r>
      <w:bookmarkEnd w:id="18030"/>
    </w:p>
    <w:p xmlns:wp14="http://schemas.microsoft.com/office/word/2010/wordml" w14:paraId="27222B7A" wp14:textId="77777777">
      <w:pPr>
        <w:pStyle w:val="normal"/>
        <w:spacing w:before="0" w:after="4" w:line="359" w:lineRule="auto"/>
        <w:ind w:left="-15" w:right="2"/>
      </w:pPr>
      <w:r>
        <w:rPr/>
        <w:t xml:space="preserve">The SDIL was introduced in 2018 as a national fiscal tax, and it aims to tackle childhood obesity by imposing a charge on the sugar content of sugary drinks on the manufacturers of these drinks (HM Treasury, 2016). The SDIL has proven itself to be a very effective tool to catalyze market reformulation. To prevent the tax, more than half the beverages manufacturers cut back on sugar before the new guidelines took effect (Pell et al., 2021). Household sugar intake from</w:t>
      </w:r>
      <w:r>
        <w:rPr/>
        <w:t xml:space="preserve"> </w:t>
      </w:r>
      <w:r>
        <w:rPr/>
        <w:t xml:space="preserve">soft drinks was 12.1% lower across all UK groups, with the largest decrease across lower income groups (Evaluative data).</w:t>
      </w:r>
      <w:r>
        <w:rPr/>
        <w:t xml:space="preserve"> </w:t>
      </w:r>
    </w:p>
    <w:p xmlns:wp14="http://schemas.microsoft.com/office/word/2010/wordml" w14:paraId="38F3057C" wp14:textId="77777777">
      <w:pPr>
        <w:pStyle w:val="normal"/>
        <w:spacing w:before="0" w:after="4" w:line="359" w:lineRule="auto"/>
        <w:ind w:left="-15" w:right="2"/>
      </w:pPr>
      <w:r>
        <w:rPr/>
        <w:t xml:space="preserve">However,</w:t>
      </w:r>
      <w:r>
        <w:rPr/>
        <w:t xml:space="preserve"> </w:t>
      </w:r>
      <w:r>
        <w:rPr/>
        <w:t xml:space="preserve">the SDIL has limitations of a paternalistic and regressive nature. It </w:t>
      </w:r>
      <w:r>
        <w:rPr>
          <w:rFonts w:ascii="Arial" w:hAnsi="Arial" w:eastAsia="Arial" w:cs="Arial"/>
        </w:rPr>
        <w:t xml:space="preserve">does not tackle the underlying factors of obesity, for instance food poverty and ‘food </w:t>
      </w:r>
      <w:r>
        <w:rPr/>
        <w:t xml:space="preserve">deserts' in deprived communities (Rogers et al., 2023). Fresh and nutritionally dense foods are not affordable for low</w:t>
      </w:r>
      <w:r>
        <w:rPr/>
        <w:t xml:space="preserve">-</w:t>
      </w:r>
      <w:r>
        <w:rPr/>
        <w:t xml:space="preserve">income families and they are forced to eat cheap, high</w:t>
      </w:r>
      <w:r>
        <w:rPr/>
      </w:r>
      <w:r>
        <w:rPr/>
        <w:t xml:space="preserve">calorie foods that are ultra</w:t>
      </w:r>
      <w:r>
        <w:rPr/>
        <w:t xml:space="preserve">-</w:t>
      </w:r>
      <w:r>
        <w:rPr/>
        <w:t xml:space="preserve">processed. Fiscal taxes affecting diet without addressing systemic poverty is a reductionist approach to public health (Marmot et al., 2020).</w:t>
      </w:r>
      <w:r>
        <w:rPr/>
        <w:t xml:space="preserve"> </w:t>
      </w:r>
    </w:p>
    <w:p xmlns:wp14="http://schemas.microsoft.com/office/word/2010/wordml" w14:paraId="577929D4" wp14:textId="77777777">
      <w:pPr>
        <w:pStyle w:val="normal"/>
        <w:spacing w:before="0" w:after="4" w:line="359" w:lineRule="auto"/>
        <w:ind w:left="-15" w:right="2"/>
      </w:pPr>
      <w:r>
        <w:rPr/>
        <w:t xml:space="preserve">Recommendation: The revenue collected from the SDIL should be directly allocated to support fruit and vegetable voucher schemes for low income families to help mitigate the financial obstacles to a healthy diet</w:t>
      </w:r>
      <w:r>
        <w:rPr/>
        <w:t xml:space="preserve">.</w:t>
      </w:r>
      <w:r>
        <w:rPr/>
        <w:t xml:space="preserve"> </w:t>
      </w:r>
    </w:p>
    <w:p xmlns:wp14="http://schemas.microsoft.com/office/word/2010/wordml" w14:paraId="56051E44" wp14:textId="77777777">
      <w:pPr>
        <w:spacing w:before="0" w:after="117" w:line="259" w:lineRule="auto"/>
        <w:ind w:right="0" w:firstLine="0"/>
        <w:jc w:val="left"/>
      </w:pPr>
      <w:r>
        <w:rPr/>
        <w:t xml:space="preserve"> </w:t>
      </w:r>
    </w:p>
    <w:p xmlns:wp14="http://schemas.microsoft.com/office/word/2010/wordml" w14:paraId="5B0B5A6C" wp14:textId="77777777">
      <w:pPr>
        <w:pStyle w:val="heading1"/>
        <w:spacing w:before="0" w:after="235" w:line="259" w:lineRule="auto"/>
        <w:ind w:left="250" w:hanging="265"/>
      </w:pPr>
      <w:bookmarkStart w:name="_Toc18031" w:id="18031"/>
      <w:r>
        <w:rPr/>
        <w:t xml:space="preserve">Local Wellbeing Initiatives: Critical Evaluation</w:t>
      </w:r>
      <w:r>
        <w:rPr/>
        <w:t xml:space="preserve"> </w:t>
      </w:r>
      <w:bookmarkEnd w:id="18031"/>
    </w:p>
    <w:p xmlns:wp14="http://schemas.microsoft.com/office/word/2010/wordml" w14:paraId="3D9BB27A" wp14:textId="77777777">
      <w:pPr>
        <w:pStyle w:val="heading2"/>
        <w:spacing w:before="0" w:after="116" w:line="259" w:lineRule="auto"/>
        <w:ind w:left="385" w:hanging="400"/>
      </w:pPr>
      <w:bookmarkStart w:name="_Toc18032" w:id="18032"/>
      <w:r>
        <w:rPr>
          <w:rFonts w:ascii="Arial" w:hAnsi="Arial" w:eastAsia="Arial" w:cs="Arial"/>
        </w:rPr>
        <w:t xml:space="preserve">London’s Ultra Low Emission Zone (ULEZ)</w:t>
      </w:r>
      <w:r>
        <w:rPr/>
        <w:t xml:space="preserve"> </w:t>
      </w:r>
      <w:bookmarkEnd w:id="18032"/>
    </w:p>
    <w:p xmlns:wp14="http://schemas.microsoft.com/office/word/2010/wordml" w14:paraId="14B579D1" wp14:textId="77777777">
      <w:pPr>
        <w:pStyle w:val="normal"/>
        <w:spacing w:before="0" w:after="4" w:line="359" w:lineRule="auto"/>
        <w:ind w:left="-15" w:right="2"/>
      </w:pPr>
      <w:r>
        <w:rPr/>
        <w:t xml:space="preserve">The ULEZ is a scheme implemented by the Greater London Authority (GLA) which aims to reduce air pollution by directly imposing charges on vehicles that are unable to meet the standards, i.e. those that are highly polluting (GLA, 2019).</w:t>
      </w:r>
      <w:r>
        <w:rPr/>
        <w:t xml:space="preserve"> </w:t>
      </w:r>
    </w:p>
    <w:p xmlns:wp14="http://schemas.microsoft.com/office/word/2010/wordml" w14:paraId="6DC90D5F" wp14:textId="77777777">
      <w:pPr>
        <w:pStyle w:val="normal"/>
        <w:spacing w:before="0" w:after="4" w:line="359" w:lineRule="auto"/>
        <w:ind w:left="-15" w:right="2"/>
      </w:pPr>
      <w:r>
        <w:rPr/>
        <w:t xml:space="preserve">The ULEZ has had significant clinical outcomes. Post</w:t>
      </w:r>
      <w:r>
        <w:rPr/>
        <w:t xml:space="preserve">-</w:t>
      </w:r>
      <w:r>
        <w:rPr/>
        <w:t xml:space="preserve">implementation, levels of NO2 were reduced by more than 44% in central London (Mudway</w:t>
      </w:r>
      <w:r>
        <w:rPr/>
        <w:t xml:space="preserve"> </w:t>
      </w:r>
      <w:r>
        <w:rPr/>
        <w:t xml:space="preserve">et al., 2019). Importantly, the ULEZ extension's implementation in outer London has been shown to deliver an estimated 26% decrease in PM2.5 concentrations, and a significant decrease in the number of children admitted to hospital for asthma (GLA, 2023). Yet ULEZ has been widely criticised for its regressive social effect</w:t>
      </w:r>
      <w:r>
        <w:rPr/>
        <w:t xml:space="preserve">:</w:t>
      </w:r>
      <w:r>
        <w:rPr/>
        <w:t xml:space="preserve"> </w:t>
      </w:r>
    </w:p>
    <w:p xmlns:wp14="http://schemas.microsoft.com/office/word/2010/wordml" w14:paraId="554EF5F4" wp14:textId="77777777">
      <w:pPr>
        <w:spacing w:before="0" w:after="67" w:line="259" w:lineRule="auto"/>
        <w:ind w:right="1050" w:firstLine="0"/>
        <w:jc w:val="right"/>
      </w:pPr>
      <w:r>
        <w:drawing>
          <wp:inline xmlns:wp14="http://schemas.microsoft.com/office/word/2010/wordprocessingDrawing" distT="0" distB="0" distL="0" distR="0" wp14:anchorId="0FEB393E" wp14:editId="7777777">
            <wp:extent cx="4319524" cy="2879725"/>
            <wp:effectExtent l="0" t="0" r="0" b="0"/>
            <wp:docPr id="1426" name="Picture 1426"/>
            <wp:cNvGraphicFramePr/>
            <a:graphic>
              <a:graphicData uri="http://schemas.openxmlformats.org/drawingml/2006/picture">
                <pic:pic xmlns:pic="http://schemas.openxmlformats.org/drawingml/2006/picture">
                  <pic:nvPicPr>
                    <pic:cNvPr id="1426" name="Picture 1426"/>
                    <pic:cNvPicPr/>
                  </pic:nvPicPr>
                  <pic:blipFill>
                    <a:blip r:embed="rId6"/>
                    <a:stretch>
                      <a:fillRect/>
                    </a:stretch>
                  </pic:blipFill>
                  <pic:spPr>
                    <a:xfrm>
                      <a:off x="0" y="0"/>
                      <a:ext cx="4319524" cy="2879725"/>
                    </a:xfrm>
                    <a:prstGeom prst="rect">
                      <a:avLst/>
                    </a:prstGeom>
                  </pic:spPr>
                </pic:pic>
              </a:graphicData>
            </a:graphic>
          </wp:inline>
        </w:drawing>
      </w:r>
      <w:r>
        <w:rPr>
          <w:color w:val="000000"/>
        </w:rPr>
        <w:t xml:space="preserve"> </w:t>
      </w:r>
    </w:p>
    <w:p xmlns:wp14="http://schemas.microsoft.com/office/word/2010/wordml" w14:paraId="6228AD8F" wp14:textId="77777777">
      <w:pPr>
        <w:spacing w:before="0" w:after="117" w:line="259" w:lineRule="auto"/>
        <w:ind w:left="10" w:right="16" w:hanging="10"/>
        <w:jc w:val="center"/>
      </w:pPr>
      <w:r>
        <w:rPr>
          <w:rFonts w:ascii="Arial" w:hAnsi="Arial" w:eastAsia="Arial" w:cs="Arial"/>
          <w:i w:val="1"/>
          <w:color w:val="44546a"/>
        </w:rPr>
        <w:t xml:space="preserve">Figure </w:t>
      </w:r>
      <w:r>
        <w:rPr>
          <w:rFonts w:ascii="Arial" w:hAnsi="Arial" w:eastAsia="Arial" w:cs="Arial"/>
          <w:i w:val="1"/>
          <w:color w:val="44546a"/>
        </w:rPr>
        <w:t xml:space="preserve">3: </w:t>
      </w:r>
      <w:r>
        <w:rPr>
          <w:rFonts w:ascii="Arial" w:hAnsi="Arial" w:eastAsia="Arial" w:cs="Arial"/>
          <w:i w:val="1"/>
          <w:color w:val="44546a"/>
        </w:rPr>
        <w:t xml:space="preserve">Public health benefits and social equity challenges of the Ultra Low </w:t>
      </w:r>
    </w:p>
    <w:p xmlns:wp14="http://schemas.microsoft.com/office/word/2010/wordml" w14:paraId="6468ADE6" wp14:textId="77777777">
      <w:pPr>
        <w:spacing w:before="0" w:after="205" w:line="357" w:lineRule="auto"/>
        <w:ind w:left="10" w:right="0" w:hanging="10"/>
        <w:jc w:val="center"/>
      </w:pPr>
      <w:r>
        <w:rPr>
          <w:rFonts w:ascii="Arial" w:hAnsi="Arial" w:eastAsia="Arial" w:cs="Arial"/>
          <w:i w:val="1"/>
          <w:color w:val="44546a"/>
        </w:rPr>
        <w:t xml:space="preserve">Emission Zone (ULEZ), showing reduced air pollution and improved respiratory health alongside financial burdens for some low</w:t>
      </w:r>
      <w:r>
        <w:rPr>
          <w:rFonts w:ascii="Arial" w:hAnsi="Arial" w:eastAsia="Arial" w:cs="Arial"/>
          <w:i w:val="1"/>
          <w:color w:val="44546a"/>
        </w:rPr>
        <w:t xml:space="preserve">-</w:t>
      </w:r>
      <w:r>
        <w:rPr>
          <w:rFonts w:ascii="Arial" w:hAnsi="Arial" w:eastAsia="Arial" w:cs="Arial"/>
          <w:i w:val="1"/>
          <w:color w:val="44546a"/>
        </w:rPr>
        <w:t xml:space="preserve">income households. </w:t>
      </w:r>
      <w:r>
        <w:rPr>
          <w:rFonts w:ascii="Arial" w:hAnsi="Arial" w:eastAsia="Arial" w:cs="Arial"/>
          <w:i w:val="1"/>
          <w:color w:val="44546a"/>
        </w:rPr>
        <w:t xml:space="preserve"> </w:t>
      </w:r>
    </w:p>
    <w:p xmlns:wp14="http://schemas.microsoft.com/office/word/2010/wordml" w14:paraId="48B94FD9" wp14:textId="77777777">
      <w:pPr>
        <w:spacing w:before="0" w:after="200" w:line="361" w:lineRule="auto"/>
        <w:ind w:left="10" w:right="0" w:hanging="10"/>
        <w:jc w:val="center"/>
      </w:pPr>
      <w:r>
        <w:rPr>
          <w:rFonts w:ascii="Arial" w:hAnsi="Arial" w:eastAsia="Arial" w:cs="Arial"/>
          <w:i w:val="1"/>
          <w:color w:val="44546a"/>
        </w:rPr>
        <w:t xml:space="preserve">Source: Adapted from evaluations by Transport for London and the Greater London Authority.</w:t>
      </w:r>
      <w:r>
        <w:rPr>
          <w:rFonts w:ascii="Arial" w:hAnsi="Arial" w:eastAsia="Arial" w:cs="Arial"/>
          <w:i w:val="1"/>
          <w:color w:val="44546a"/>
        </w:rPr>
        <w:t xml:space="preserve"> </w:t>
      </w:r>
    </w:p>
    <w:p xmlns:wp14="http://schemas.microsoft.com/office/word/2010/wordml" w14:paraId="0D5DB525" wp14:textId="77777777">
      <w:pPr>
        <w:pStyle w:val="normal"/>
        <w:spacing w:before="0" w:after="4" w:line="359" w:lineRule="auto"/>
        <w:ind w:left="-15" w:right="2"/>
      </w:pPr>
      <w:r>
        <w:rPr/>
        <w:t xml:space="preserve">The</w:t>
      </w:r>
      <w:r>
        <w:rPr/>
        <w:t xml:space="preserve"> </w:t>
      </w:r>
      <w:r>
        <w:rPr/>
        <w:t xml:space="preserve">flat</w:t>
      </w:r>
      <w:r>
        <w:rPr/>
        <w:t xml:space="preserve"> </w:t>
      </w:r>
      <w:r>
        <w:rPr/>
        <w:t xml:space="preserve">fee</w:t>
      </w:r>
      <w:r>
        <w:rPr/>
        <w:t xml:space="preserve"> </w:t>
      </w:r>
      <w:r>
        <w:rPr/>
        <w:t xml:space="preserve">unfairly</w:t>
      </w:r>
      <w:r>
        <w:rPr/>
        <w:t xml:space="preserve"> </w:t>
      </w:r>
      <w:r>
        <w:rPr/>
        <w:t xml:space="preserve">impacts</w:t>
      </w:r>
      <w:r>
        <w:rPr/>
        <w:t xml:space="preserve"> </w:t>
      </w:r>
      <w:r>
        <w:rPr/>
        <w:t xml:space="preserve">lower</w:t>
      </w:r>
      <w:r>
        <w:rPr/>
        <w:t xml:space="preserve">-</w:t>
      </w:r>
      <w:r>
        <w:rPr/>
        <w:t xml:space="preserve">income</w:t>
      </w:r>
      <w:r>
        <w:rPr/>
        <w:t xml:space="preserve"> </w:t>
      </w:r>
      <w:r>
        <w:rPr/>
        <w:t xml:space="preserve">shift</w:t>
      </w:r>
      <w:r>
        <w:rPr/>
        <w:t xml:space="preserve"> </w:t>
      </w:r>
      <w:r>
        <w:rPr/>
        <w:t xml:space="preserve">workers</w:t>
      </w:r>
      <w:r>
        <w:rPr/>
        <w:t xml:space="preserve"> </w:t>
      </w:r>
      <w:r>
        <w:rPr/>
        <w:t xml:space="preserve">and</w:t>
      </w:r>
      <w:r>
        <w:rPr/>
        <w:t xml:space="preserve"> </w:t>
      </w:r>
      <w:r>
        <w:rPr/>
        <w:t xml:space="preserve">tradespeople</w:t>
      </w:r>
      <w:r>
        <w:rPr/>
        <w:t xml:space="preserve"> </w:t>
      </w:r>
      <w:r>
        <w:rPr/>
        <w:t xml:space="preserve">who</w:t>
      </w:r>
      <w:r>
        <w:rPr/>
        <w:t xml:space="preserve"> </w:t>
      </w:r>
      <w:r>
        <w:rPr/>
        <w:t xml:space="preserve">use</w:t>
      </w:r>
      <w:r>
        <w:rPr/>
        <w:t xml:space="preserve"> </w:t>
      </w:r>
      <w:r>
        <w:rPr/>
        <w:t xml:space="preserve">older</w:t>
      </w:r>
      <w:r>
        <w:rPr/>
        <w:t xml:space="preserve"> </w:t>
      </w:r>
      <w:r>
        <w:rPr/>
        <w:t xml:space="preserve">cars</w:t>
      </w:r>
      <w:r>
        <w:rPr/>
        <w:t xml:space="preserve"> </w:t>
      </w:r>
      <w:r>
        <w:rPr/>
        <w:t xml:space="preserve">that</w:t>
      </w:r>
      <w:r>
        <w:rPr/>
        <w:t xml:space="preserve"> </w:t>
      </w:r>
      <w:r>
        <w:rPr/>
        <w:t xml:space="preserve">are</w:t>
      </w:r>
      <w:r>
        <w:rPr/>
        <w:t xml:space="preserve"> </w:t>
      </w:r>
      <w:r>
        <w:rPr/>
        <w:t xml:space="preserve">not</w:t>
      </w:r>
      <w:r>
        <w:rPr/>
        <w:t xml:space="preserve"> </w:t>
      </w:r>
      <w:r>
        <w:rPr/>
        <w:t xml:space="preserve">airconformable</w:t>
      </w:r>
      <w:r>
        <w:rPr/>
        <w:t xml:space="preserve">,</w:t>
      </w:r>
      <w:r>
        <w:rPr/>
        <w:t xml:space="preserve"> </w:t>
      </w:r>
      <w:r>
        <w:rPr/>
        <w:t xml:space="preserve">as</w:t>
      </w:r>
      <w:r>
        <w:rPr/>
        <w:t xml:space="preserve"> </w:t>
      </w:r>
      <w:r>
        <w:rPr/>
        <w:t xml:space="preserve">these</w:t>
      </w:r>
      <w:r>
        <w:rPr/>
        <w:t xml:space="preserve"> </w:t>
      </w:r>
      <w:r>
        <w:rPr/>
        <w:t xml:space="preserve">individuals</w:t>
      </w:r>
      <w:r>
        <w:rPr/>
        <w:t xml:space="preserve"> </w:t>
      </w:r>
      <w:r>
        <w:rPr/>
        <w:t xml:space="preserve">can't</w:t>
      </w:r>
      <w:r>
        <w:rPr/>
        <w:t xml:space="preserve"> </w:t>
      </w:r>
      <w:r>
        <w:rPr/>
        <w:t xml:space="preserve">afford</w:t>
      </w:r>
      <w:r>
        <w:rPr/>
        <w:t xml:space="preserve"> </w:t>
      </w:r>
      <w:r>
        <w:rPr/>
        <w:t xml:space="preserve">to</w:t>
      </w:r>
      <w:r>
        <w:rPr/>
        <w:t xml:space="preserve"> </w:t>
      </w:r>
      <w:r>
        <w:rPr/>
        <w:t xml:space="preserve">meet</w:t>
      </w:r>
      <w:r>
        <w:rPr/>
        <w:t xml:space="preserve"> </w:t>
      </w:r>
      <w:r>
        <w:rPr/>
        <w:t xml:space="preserve">the</w:t>
      </w:r>
      <w:r>
        <w:rPr/>
        <w:t xml:space="preserve"> </w:t>
      </w:r>
      <w:r>
        <w:rPr/>
        <w:t xml:space="preserve">requirements</w:t>
      </w:r>
      <w:r>
        <w:rPr/>
        <w:t xml:space="preserve"> </w:t>
      </w:r>
      <w:r>
        <w:rPr/>
        <w:t xml:space="preserve">for</w:t>
      </w:r>
      <w:r>
        <w:rPr/>
        <w:t xml:space="preserve"> </w:t>
      </w:r>
      <w:r>
        <w:rPr/>
        <w:t xml:space="preserve">upgrading</w:t>
      </w:r>
      <w:r>
        <w:rPr/>
        <w:t xml:space="preserve"> </w:t>
      </w:r>
      <w:r>
        <w:rPr/>
        <w:t xml:space="preserve">their</w:t>
      </w:r>
      <w:r>
        <w:rPr/>
        <w:t xml:space="preserve"> </w:t>
      </w:r>
      <w:r>
        <w:rPr/>
        <w:t xml:space="preserve">vehicles</w:t>
      </w:r>
      <w:r>
        <w:rPr/>
        <w:t xml:space="preserve"> </w:t>
      </w:r>
      <w:r>
        <w:rPr/>
        <w:t xml:space="preserve">(GLA,</w:t>
      </w:r>
      <w:r>
        <w:rPr/>
        <w:t xml:space="preserve"> </w:t>
      </w:r>
      <w:r>
        <w:rPr/>
        <w:t xml:space="preserve">2023).</w:t>
      </w:r>
      <w:r>
        <w:rPr/>
        <w:t xml:space="preserve"> </w:t>
      </w:r>
      <w:r>
        <w:rPr/>
        <w:t xml:space="preserve">A</w:t>
      </w:r>
      <w:r>
        <w:rPr/>
        <w:t xml:space="preserve"> </w:t>
      </w:r>
      <w:r>
        <w:rPr/>
        <w:t xml:space="preserve">scrappage</w:t>
      </w:r>
      <w:r>
        <w:rPr/>
        <w:t xml:space="preserve"> </w:t>
      </w:r>
      <w:r>
        <w:rPr/>
        <w:t xml:space="preserve">scheme</w:t>
      </w:r>
      <w:r>
        <w:rPr/>
        <w:t xml:space="preserve"> </w:t>
      </w:r>
      <w:r>
        <w:rPr/>
        <w:t xml:space="preserve">has</w:t>
      </w:r>
      <w:r>
        <w:rPr/>
        <w:t xml:space="preserve"> </w:t>
      </w:r>
      <w:r>
        <w:rPr/>
        <w:t xml:space="preserve">been</w:t>
      </w:r>
      <w:r>
        <w:rPr/>
        <w:t xml:space="preserve"> </w:t>
      </w:r>
      <w:r>
        <w:rPr/>
        <w:t xml:space="preserve">implemented,</w:t>
      </w:r>
      <w:r>
        <w:rPr/>
        <w:t xml:space="preserve"> </w:t>
      </w:r>
      <w:r>
        <w:rPr/>
        <w:t xml:space="preserve">but</w:t>
      </w:r>
      <w:r>
        <w:rPr/>
        <w:t xml:space="preserve"> </w:t>
      </w:r>
      <w:r>
        <w:rPr/>
        <w:t xml:space="preserve">the</w:t>
      </w:r>
      <w:r>
        <w:rPr/>
        <w:t xml:space="preserve"> </w:t>
      </w:r>
      <w:r>
        <w:rPr/>
        <w:t xml:space="preserve">initial</w:t>
      </w:r>
      <w:r>
        <w:rPr/>
        <w:t xml:space="preserve"> </w:t>
      </w:r>
      <w:r>
        <w:rPr/>
        <w:t xml:space="preserve">funding</w:t>
      </w:r>
      <w:r>
        <w:rPr/>
        <w:t xml:space="preserve"> </w:t>
      </w:r>
      <w:r>
        <w:rPr/>
        <w:t xml:space="preserve">level</w:t>
      </w:r>
      <w:r>
        <w:rPr/>
        <w:t xml:space="preserve"> </w:t>
      </w:r>
      <w:r>
        <w:rPr/>
        <w:t xml:space="preserve">was</w:t>
      </w:r>
      <w:r>
        <w:rPr/>
        <w:t xml:space="preserve"> </w:t>
      </w:r>
      <w:r>
        <w:rPr/>
        <w:t xml:space="preserve">not</w:t>
      </w:r>
      <w:r>
        <w:rPr/>
        <w:t xml:space="preserve"> </w:t>
      </w:r>
      <w:r>
        <w:rPr/>
        <w:t xml:space="preserve">high</w:t>
      </w:r>
      <w:r>
        <w:rPr/>
        <w:t xml:space="preserve"> </w:t>
      </w:r>
      <w:r>
        <w:rPr/>
        <w:t xml:space="preserve">enough</w:t>
      </w:r>
      <w:r>
        <w:rPr/>
        <w:t xml:space="preserve"> </w:t>
      </w:r>
      <w:r>
        <w:rPr/>
        <w:t xml:space="preserve">to</w:t>
      </w:r>
      <w:r>
        <w:rPr/>
        <w:t xml:space="preserve"> </w:t>
      </w:r>
      <w:r>
        <w:rPr/>
        <w:t xml:space="preserve">replace</w:t>
      </w:r>
      <w:r>
        <w:rPr/>
        <w:t xml:space="preserve"> </w:t>
      </w:r>
      <w:r>
        <w:rPr/>
        <w:t xml:space="preserve">the</w:t>
      </w:r>
      <w:r>
        <w:rPr/>
        <w:t xml:space="preserve"> </w:t>
      </w:r>
      <w:r>
        <w:rPr/>
        <w:t xml:space="preserve">vehicles</w:t>
      </w:r>
      <w:r>
        <w:rPr/>
        <w:t xml:space="preserve"> </w:t>
      </w:r>
      <w:r>
        <w:rPr/>
        <w:t xml:space="preserve">when</w:t>
      </w:r>
      <w:r>
        <w:rPr/>
        <w:t xml:space="preserve"> </w:t>
      </w:r>
      <w:r>
        <w:rPr/>
        <w:t xml:space="preserve">a</w:t>
      </w:r>
      <w:r>
        <w:rPr/>
        <w:t xml:space="preserve"> </w:t>
      </w:r>
      <w:r>
        <w:rPr/>
        <w:t xml:space="preserve">wider</w:t>
      </w:r>
      <w:r>
        <w:rPr/>
        <w:t xml:space="preserve"> </w:t>
      </w:r>
      <w:r>
        <w:rPr/>
        <w:t xml:space="preserve">cost</w:t>
      </w:r>
      <w:r>
        <w:rPr/>
        <w:t xml:space="preserve">-</w:t>
      </w:r>
      <w:r>
        <w:rPr/>
        <w:t xml:space="preserve">of</w:t>
      </w:r>
      <w:r>
        <w:rPr/>
        <w:t xml:space="preserve">-</w:t>
      </w:r>
      <w:r>
        <w:rPr/>
        <w:t xml:space="preserve">living</w:t>
      </w:r>
      <w:r>
        <w:rPr/>
        <w:t xml:space="preserve"> </w:t>
      </w:r>
      <w:r>
        <w:rPr/>
        <w:t xml:space="preserve">crisis</w:t>
      </w:r>
      <w:r>
        <w:rPr/>
        <w:t xml:space="preserve"> </w:t>
      </w:r>
      <w:r>
        <w:rPr/>
        <w:t xml:space="preserve">started</w:t>
      </w:r>
      <w:r>
        <w:rPr/>
        <w:t xml:space="preserve"> </w:t>
      </w:r>
      <w:r>
        <w:rPr/>
        <w:t xml:space="preserve">to</w:t>
      </w:r>
      <w:r>
        <w:rPr/>
        <w:t xml:space="preserve"> </w:t>
      </w:r>
      <w:r>
        <w:rPr/>
        <w:t xml:space="preserve">affect</w:t>
      </w:r>
      <w:r>
        <w:rPr/>
        <w:t xml:space="preserve"> </w:t>
      </w:r>
      <w:r>
        <w:rPr/>
        <w:t xml:space="preserve">everyone.</w:t>
      </w:r>
      <w:r>
        <w:rPr/>
        <w:t xml:space="preserve"> </w:t>
      </w:r>
      <w:r>
        <w:rPr/>
        <w:t xml:space="preserve">This</w:t>
      </w:r>
      <w:r>
        <w:rPr/>
        <w:t xml:space="preserve"> </w:t>
      </w:r>
      <w:r>
        <w:rPr/>
        <w:t xml:space="preserve">highlights</w:t>
      </w:r>
      <w:r>
        <w:rPr/>
        <w:t xml:space="preserve"> </w:t>
      </w:r>
      <w:r>
        <w:rPr/>
        <w:t xml:space="preserve">the</w:t>
      </w:r>
      <w:r>
        <w:rPr/>
        <w:t xml:space="preserve"> </w:t>
      </w:r>
      <w:r>
        <w:rPr/>
        <w:t xml:space="preserve">unintended</w:t>
      </w:r>
      <w:r>
        <w:rPr/>
        <w:t xml:space="preserve"> </w:t>
      </w:r>
      <w:r>
        <w:rPr/>
        <w:t xml:space="preserve">consequences</w:t>
      </w:r>
      <w:r>
        <w:rPr/>
        <w:t xml:space="preserve"> </w:t>
      </w:r>
      <w:r>
        <w:rPr/>
        <w:t xml:space="preserve">of</w:t>
      </w:r>
      <w:r>
        <w:rPr/>
        <w:t xml:space="preserve"> </w:t>
      </w:r>
      <w:r>
        <w:rPr/>
        <w:t xml:space="preserve">environmental</w:t>
      </w:r>
      <w:r>
        <w:rPr/>
        <w:t xml:space="preserve"> </w:t>
      </w:r>
      <w:r>
        <w:rPr/>
        <w:t xml:space="preserve">interventions</w:t>
      </w:r>
      <w:r>
        <w:rPr/>
        <w:t xml:space="preserve"> </w:t>
      </w:r>
      <w:r>
        <w:rPr/>
        <w:t xml:space="preserve">to</w:t>
      </w:r>
      <w:r>
        <w:rPr/>
        <w:t xml:space="preserve"> </w:t>
      </w:r>
      <w:r>
        <w:rPr/>
        <w:t xml:space="preserve">exacerbate</w:t>
      </w:r>
      <w:r>
        <w:rPr/>
        <w:t xml:space="preserve"> </w:t>
      </w:r>
      <w:r>
        <w:rPr/>
        <w:t xml:space="preserve">economic</w:t>
      </w:r>
      <w:r>
        <w:rPr/>
        <w:t xml:space="preserve"> </w:t>
      </w:r>
      <w:r>
        <w:rPr/>
        <w:t xml:space="preserve">inequalities</w:t>
      </w:r>
      <w:r>
        <w:rPr/>
        <w:t xml:space="preserve"> </w:t>
      </w:r>
      <w:r>
        <w:rPr/>
        <w:t xml:space="preserve">when</w:t>
      </w:r>
      <w:r>
        <w:rPr/>
        <w:t xml:space="preserve"> </w:t>
      </w:r>
      <w:r>
        <w:rPr/>
        <w:t xml:space="preserve">they</w:t>
      </w:r>
      <w:r>
        <w:rPr/>
        <w:t xml:space="preserve"> </w:t>
      </w:r>
      <w:r>
        <w:rPr/>
        <w:t xml:space="preserve">are</w:t>
      </w:r>
      <w:r>
        <w:rPr/>
        <w:t xml:space="preserve"> </w:t>
      </w:r>
      <w:r>
        <w:rPr/>
        <w:t xml:space="preserve">designed</w:t>
      </w:r>
      <w:r>
        <w:rPr/>
        <w:t xml:space="preserve"> </w:t>
      </w:r>
      <w:r>
        <w:rPr/>
        <w:t xml:space="preserve">without</w:t>
      </w:r>
      <w:r>
        <w:rPr/>
        <w:t xml:space="preserve"> </w:t>
      </w:r>
      <w:r>
        <w:rPr/>
        <w:t xml:space="preserve">adequate</w:t>
      </w:r>
      <w:r>
        <w:rPr/>
        <w:t xml:space="preserve"> </w:t>
      </w:r>
      <w:r>
        <w:rPr/>
        <w:t xml:space="preserve">social</w:t>
      </w:r>
      <w:r>
        <w:rPr/>
        <w:t xml:space="preserve"> </w:t>
      </w:r>
      <w:r>
        <w:rPr/>
        <w:t xml:space="preserve">protection</w:t>
      </w:r>
      <w:r>
        <w:rPr/>
        <w:t xml:space="preserve"> </w:t>
      </w:r>
      <w:r>
        <w:rPr/>
        <w:t xml:space="preserve">measures</w:t>
      </w:r>
      <w:r>
        <w:rPr/>
        <w:t xml:space="preserve"> </w:t>
      </w:r>
      <w:r>
        <w:rPr/>
        <w:t xml:space="preserve">(Cole</w:t>
      </w:r>
      <w:r>
        <w:rPr/>
        <w:t xml:space="preserve"> </w:t>
      </w:r>
      <w:r>
        <w:rPr/>
        <w:t xml:space="preserve">et</w:t>
      </w:r>
      <w:r>
        <w:rPr/>
        <w:t xml:space="preserve"> </w:t>
      </w:r>
      <w:r>
        <w:rPr/>
        <w:t xml:space="preserve">al.,</w:t>
      </w:r>
      <w:r>
        <w:rPr/>
        <w:t xml:space="preserve"> </w:t>
      </w:r>
      <w:r>
        <w:rPr/>
        <w:t xml:space="preserve">2021).</w:t>
      </w:r>
      <w:r>
        <w:rPr/>
        <w:t xml:space="preserve"> </w:t>
      </w:r>
    </w:p>
    <w:p xmlns:wp14="http://schemas.microsoft.com/office/word/2010/wordml" w14:paraId="79F45C18" wp14:textId="77777777">
      <w:pPr>
        <w:pStyle w:val="normal"/>
        <w:spacing w:before="0" w:after="4" w:line="359" w:lineRule="auto"/>
        <w:ind w:left="-15" w:right="2"/>
      </w:pPr>
      <w:r>
        <w:rPr/>
        <w:t xml:space="preserve">Recommendation:</w:t>
      </w:r>
      <w:r>
        <w:rPr/>
        <w:t xml:space="preserve"> </w:t>
      </w:r>
      <w:r>
        <w:rPr/>
        <w:t xml:space="preserve">Transport</w:t>
      </w:r>
      <w:r>
        <w:rPr/>
        <w:t xml:space="preserve"> </w:t>
      </w:r>
      <w:r>
        <w:rPr/>
        <w:t xml:space="preserve">for</w:t>
      </w:r>
      <w:r>
        <w:rPr/>
        <w:t xml:space="preserve"> </w:t>
      </w:r>
      <w:r>
        <w:rPr/>
        <w:t xml:space="preserve">London</w:t>
      </w:r>
      <w:r>
        <w:rPr/>
        <w:t xml:space="preserve"> </w:t>
      </w:r>
      <w:r>
        <w:rPr/>
        <w:t xml:space="preserve">should</w:t>
      </w:r>
      <w:r>
        <w:rPr/>
        <w:t xml:space="preserve"> </w:t>
      </w:r>
      <w:r>
        <w:rPr/>
        <w:t xml:space="preserve">create</w:t>
      </w:r>
      <w:r>
        <w:rPr/>
        <w:t xml:space="preserve"> </w:t>
      </w:r>
      <w:r>
        <w:rPr/>
        <w:t xml:space="preserve">a</w:t>
      </w:r>
      <w:r>
        <w:rPr/>
        <w:t xml:space="preserve"> </w:t>
      </w:r>
      <w:r>
        <w:rPr/>
        <w:t xml:space="preserve">scheme</w:t>
      </w:r>
      <w:r>
        <w:rPr/>
        <w:t xml:space="preserve"> </w:t>
      </w:r>
      <w:r>
        <w:rPr/>
        <w:t xml:space="preserve">of</w:t>
      </w:r>
      <w:r>
        <w:rPr/>
        <w:t xml:space="preserve"> </w:t>
      </w:r>
      <w:r>
        <w:rPr>
          <w:rFonts w:ascii="Arial" w:hAnsi="Arial" w:eastAsia="Arial" w:cs="Arial"/>
        </w:rPr>
        <w:t xml:space="preserve">“Mobility</w:t>
      </w:r>
      <w:r>
        <w:rPr/>
        <w:t xml:space="preserve"> </w:t>
      </w:r>
      <w:r>
        <w:rPr>
          <w:rFonts w:ascii="Arial" w:hAnsi="Arial" w:eastAsia="Arial" w:cs="Arial"/>
        </w:rPr>
        <w:t xml:space="preserve">Credits”</w:t>
      </w:r>
      <w:r>
        <w:rPr/>
        <w:t xml:space="preserve"> </w:t>
      </w:r>
      <w:r>
        <w:rPr/>
        <w:t xml:space="preserve">where</w:t>
      </w:r>
      <w:r>
        <w:rPr/>
        <w:t xml:space="preserve"> </w:t>
      </w:r>
      <w:r>
        <w:rPr/>
        <w:t xml:space="preserve">the</w:t>
      </w:r>
      <w:r>
        <w:rPr/>
        <w:t xml:space="preserve"> </w:t>
      </w:r>
      <w:r>
        <w:rPr/>
        <w:t xml:space="preserve">car</w:t>
      </w:r>
      <w:r>
        <w:rPr/>
        <w:t xml:space="preserve"> </w:t>
      </w:r>
      <w:r>
        <w:rPr/>
        <w:t xml:space="preserve">owning</w:t>
      </w:r>
      <w:r>
        <w:rPr/>
        <w:t xml:space="preserve"> </w:t>
      </w:r>
      <w:r>
        <w:rPr/>
        <w:t xml:space="preserve">poor</w:t>
      </w:r>
      <w:r>
        <w:rPr/>
        <w:t xml:space="preserve"> </w:t>
      </w:r>
      <w:r>
        <w:rPr/>
        <w:t xml:space="preserve">receive</w:t>
      </w:r>
      <w:r>
        <w:rPr/>
        <w:t xml:space="preserve"> </w:t>
      </w:r>
      <w:r>
        <w:rPr/>
        <w:t xml:space="preserve">significant</w:t>
      </w:r>
      <w:r>
        <w:rPr/>
        <w:t xml:space="preserve"> </w:t>
      </w:r>
      <w:r>
        <w:rPr/>
        <w:t xml:space="preserve">amounts</w:t>
      </w:r>
      <w:r>
        <w:rPr/>
        <w:t xml:space="preserve"> </w:t>
      </w:r>
      <w:r>
        <w:rPr/>
        <w:t xml:space="preserve">of</w:t>
      </w:r>
      <w:r>
        <w:rPr/>
        <w:t xml:space="preserve"> </w:t>
      </w:r>
      <w:r>
        <w:rPr/>
        <w:t xml:space="preserve">funding</w:t>
      </w:r>
      <w:r>
        <w:rPr/>
        <w:t xml:space="preserve"> </w:t>
      </w:r>
      <w:r>
        <w:rPr/>
        <w:t xml:space="preserve">over</w:t>
      </w:r>
      <w:r>
        <w:rPr/>
        <w:t xml:space="preserve"> </w:t>
      </w:r>
      <w:r>
        <w:rPr/>
        <w:t xml:space="preserve">a</w:t>
      </w:r>
      <w:r>
        <w:rPr/>
        <w:t xml:space="preserve"> </w:t>
      </w:r>
      <w:r>
        <w:rPr/>
        <w:t xml:space="preserve">number</w:t>
      </w:r>
      <w:r>
        <w:rPr/>
        <w:t xml:space="preserve"> </w:t>
      </w:r>
      <w:r>
        <w:rPr/>
        <w:t xml:space="preserve">of</w:t>
      </w:r>
      <w:r>
        <w:rPr/>
        <w:t xml:space="preserve"> </w:t>
      </w:r>
      <w:r>
        <w:rPr/>
        <w:t xml:space="preserve">years</w:t>
      </w:r>
      <w:r>
        <w:rPr/>
        <w:t xml:space="preserve"> </w:t>
      </w:r>
      <w:r>
        <w:rPr/>
        <w:t xml:space="preserve">in</w:t>
      </w:r>
      <w:r>
        <w:rPr/>
        <w:t xml:space="preserve"> </w:t>
      </w:r>
      <w:r>
        <w:rPr/>
        <w:t xml:space="preserve">exchange</w:t>
      </w:r>
      <w:r>
        <w:rPr/>
        <w:t xml:space="preserve"> </w:t>
      </w:r>
      <w:r>
        <w:rPr/>
        <w:t xml:space="preserve">for</w:t>
      </w:r>
      <w:r>
        <w:rPr/>
        <w:t xml:space="preserve"> </w:t>
      </w:r>
      <w:r>
        <w:rPr/>
        <w:t xml:space="preserve">giving</w:t>
      </w:r>
      <w:r>
        <w:rPr/>
        <w:t xml:space="preserve"> </w:t>
      </w:r>
      <w:r>
        <w:rPr/>
        <w:t xml:space="preserve">up</w:t>
      </w:r>
      <w:r>
        <w:rPr/>
        <w:t xml:space="preserve"> </w:t>
      </w:r>
      <w:r>
        <w:rPr/>
        <w:t xml:space="preserve">their</w:t>
      </w:r>
      <w:r>
        <w:rPr/>
        <w:t xml:space="preserve"> </w:t>
      </w:r>
      <w:r>
        <w:rPr/>
        <w:t xml:space="preserve">non</w:t>
      </w:r>
      <w:r>
        <w:rPr/>
        <w:t xml:space="preserve">-</w:t>
      </w:r>
      <w:r>
        <w:rPr/>
        <w:t xml:space="preserve">compliant</w:t>
      </w:r>
      <w:r>
        <w:rPr/>
        <w:t xml:space="preserve"> </w:t>
      </w:r>
      <w:r>
        <w:rPr/>
        <w:t xml:space="preserve">vehicles</w:t>
      </w:r>
      <w:r>
        <w:rPr/>
        <w:t xml:space="preserve">.</w:t>
      </w:r>
      <w:r>
        <w:rPr/>
        <w:t xml:space="preserve"> </w:t>
      </w:r>
    </w:p>
    <w:p xmlns:wp14="http://schemas.microsoft.com/office/word/2010/wordml" w14:paraId="7E235B9D" wp14:textId="77777777">
      <w:pPr>
        <w:spacing w:before="0" w:after="117" w:line="259" w:lineRule="auto"/>
        <w:ind w:right="0" w:firstLine="0"/>
        <w:jc w:val="left"/>
      </w:pPr>
      <w:r>
        <w:rPr/>
        <w:t xml:space="preserve"> </w:t>
      </w:r>
    </w:p>
    <w:p xmlns:wp14="http://schemas.microsoft.com/office/word/2010/wordml" w14:paraId="5112221C" wp14:textId="77777777">
      <w:pPr>
        <w:pStyle w:val="heading2"/>
        <w:spacing w:before="0" w:after="116" w:line="259" w:lineRule="auto"/>
        <w:ind w:left="385" w:hanging="400"/>
      </w:pPr>
      <w:bookmarkStart w:name="_Toc18033" w:id="18033"/>
      <w:r>
        <w:rPr>
          <w:rFonts w:ascii="Arial" w:hAnsi="Arial" w:eastAsia="Arial" w:cs="Arial"/>
        </w:rPr>
        <w:t xml:space="preserve">Birmingham’s Active Travel Fund / Healthy Streets Initiative</w:t>
      </w:r>
      <w:r>
        <w:rPr/>
        <w:t xml:space="preserve"> </w:t>
      </w:r>
      <w:bookmarkEnd w:id="18033"/>
    </w:p>
    <w:p xmlns:wp14="http://schemas.microsoft.com/office/word/2010/wordml" w14:paraId="678537BB" wp14:textId="77777777">
      <w:pPr>
        <w:pStyle w:val="normal"/>
        <w:spacing w:before="0" w:after="4" w:line="359" w:lineRule="auto"/>
        <w:ind w:left="-15" w:right="2"/>
      </w:pPr>
      <w:r>
        <w:rPr/>
        <w:t xml:space="preserve">Birmingham City Council used the funds of active travel to change the use of road space to make it safer and easier for people to walk and cycle, creating low traffic neighbourhoods (LTNs) and pedestrianised school streets (Birmingham City Council, </w:t>
      </w:r>
      <w:r>
        <w:rPr/>
        <w:t xml:space="preserve">2020).</w:t>
      </w:r>
      <w:r>
        <w:rPr/>
        <w:t xml:space="preserve"> </w:t>
      </w:r>
    </w:p>
    <w:p xmlns:wp14="http://schemas.microsoft.com/office/word/2010/wordml" w14:paraId="7FFC5350" wp14:textId="77777777">
      <w:pPr>
        <w:pStyle w:val="normal"/>
        <w:spacing w:before="0" w:after="4" w:line="359" w:lineRule="auto"/>
        <w:ind w:left="-15" w:right="2"/>
      </w:pPr>
      <w:r>
        <w:rPr/>
        <w:t xml:space="preserve">There was spatial inequity in the implementation of the project, although the project was observed to have had a positive effect on physical activity and community safety amongst residents of the active zones. LTNs were focused in high value areas; and boundary roadways were diverted to take the displaced vehicular traffic through deprived and ethnically diverse areas (Birmingham Voluntary Service Council [BVSC] 2022). This meant that the concentration of air pollution and noise for marginal residents increased overall. This is a spatial shift of environmental harms, with wealthy groups appropriating salutogenic elements, and the vulnerable groups receiving the environmental harms (Martens, 2020).</w:t>
      </w:r>
      <w:r>
        <w:rPr/>
        <w:t xml:space="preserve"> </w:t>
      </w:r>
    </w:p>
    <w:p xmlns:wp14="http://schemas.microsoft.com/office/word/2010/wordml" w14:paraId="5F592835" wp14:textId="77777777">
      <w:pPr>
        <w:pStyle w:val="normal"/>
        <w:spacing w:before="0" w:after="4" w:line="359" w:lineRule="auto"/>
        <w:ind w:left="-15" w:right="2"/>
      </w:pPr>
      <w:r>
        <w:rPr>
          <w:rFonts w:ascii="Arial" w:hAnsi="Arial" w:eastAsia="Arial" w:cs="Arial"/>
        </w:rPr>
        <w:t xml:space="preserve">Recommendation: Birmingham City Council should adopt an ‘Equity</w:t>
      </w:r>
      <w:r>
        <w:rPr/>
        <w:t xml:space="preserve">-</w:t>
      </w:r>
      <w:r>
        <w:rPr>
          <w:rFonts w:ascii="Arial" w:hAnsi="Arial" w:eastAsia="Arial" w:cs="Arial"/>
        </w:rPr>
        <w:t xml:space="preserve">First’ </w:t>
      </w:r>
      <w:r>
        <w:rPr/>
        <w:t xml:space="preserve">approach to planning by co</w:t>
      </w:r>
      <w:r>
        <w:rPr/>
        <w:t xml:space="preserve">-</w:t>
      </w:r>
      <w:r>
        <w:rPr/>
        <w:t xml:space="preserve">designing the traffic calming fabric with marginalised communities, to avoid traffic displacement and to make sure that infrastructure investment is equitable</w:t>
      </w:r>
      <w:r>
        <w:rPr/>
        <w:t xml:space="preserve">.</w:t>
      </w:r>
      <w:r>
        <w:rPr/>
        <w:t xml:space="preserve"> </w:t>
      </w:r>
    </w:p>
    <w:p xmlns:wp14="http://schemas.microsoft.com/office/word/2010/wordml" w14:paraId="66AC4DF1" wp14:textId="77777777">
      <w:pPr>
        <w:spacing w:before="0" w:after="117" w:line="259" w:lineRule="auto"/>
        <w:ind w:right="0" w:firstLine="0"/>
        <w:jc w:val="left"/>
      </w:pPr>
      <w:r>
        <w:rPr/>
        <w:t xml:space="preserve"> </w:t>
      </w:r>
    </w:p>
    <w:p xmlns:wp14="http://schemas.microsoft.com/office/word/2010/wordml" w14:paraId="64B88769" wp14:textId="77777777">
      <w:pPr>
        <w:pStyle w:val="heading2"/>
        <w:spacing w:before="0" w:after="0" w:line="259" w:lineRule="auto"/>
        <w:ind w:left="386" w:hanging="401"/>
      </w:pPr>
      <w:bookmarkStart w:name="_Toc18034" w:id="18034"/>
      <w:r>
        <w:rPr/>
        <w:t xml:space="preserve">Synthesis</w:t>
      </w:r>
      <w:r>
        <w:rPr/>
        <w:t xml:space="preserve"> </w:t>
      </w:r>
      <w:r>
        <w:rPr/>
        <w:t xml:space="preserve">of</w:t>
      </w:r>
      <w:r>
        <w:rPr/>
        <w:t xml:space="preserve"> </w:t>
      </w:r>
      <w:r>
        <w:rPr/>
        <w:t xml:space="preserve">Evaluated</w:t>
      </w:r>
      <w:r>
        <w:rPr/>
        <w:t xml:space="preserve"> </w:t>
      </w:r>
      <w:r>
        <w:rPr/>
        <w:t xml:space="preserve">Initiatives</w:t>
      </w:r>
      <w:r>
        <w:rPr/>
        <w:t xml:space="preserve"> </w:t>
      </w:r>
      <w:bookmarkEnd w:id="18034"/>
    </w:p>
    <w:tbl>
      <w:tblPr>
        <w:tblStyle w:val="TableGrid"/>
        <w:tblW w:w="8939" w:type="dxa"/>
        <w:tblInd w:w="48" w:type="dxa"/>
        <w:tblCellMar>
          <w:top w:w="0" w:type="dxa"/>
          <w:left w:w="0" w:type="dxa"/>
          <w:bottom w:w="0" w:type="dxa"/>
          <w:right w:w="0" w:type="dxa"/>
        </w:tblCellMar>
      </w:tblPr>
      <w:tblGrid>
        <w:gridCol w:w="1884"/>
        <w:gridCol w:w="2101"/>
        <w:gridCol w:w="2291"/>
        <w:gridCol w:w="2663"/>
      </w:tblGrid>
      <w:tr xmlns:wp14="http://schemas.microsoft.com/office/word/2010/wordml" w14:paraId="6E31378C" wp14:textId="77777777">
        <w:trPr>
          <w:trHeight w:val="1081" w:hRule="atLeast"/>
        </w:trPr>
        <w:tc>
          <w:tcPr>
            <w:tcW w:w="1884" w:type="dxa"/>
            <w:tcBorders>
              <w:top w:val="single" w:color="c4c7c5" w:sz="6"/>
              <w:left w:val="single" w:color="c4c7c5" w:sz="6"/>
              <w:bottom w:val="single" w:color="c4c7c5" w:sz="6"/>
              <w:right w:val="double" w:color="c4c7c5" w:sz="6"/>
            </w:tcBorders>
            <w:vAlign w:val="center"/>
          </w:tcPr>
          <w:p w14:paraId="745E15CE" wp14:textId="77777777">
            <w:pPr>
              <w:spacing w:before="0" w:after="0" w:line="259" w:lineRule="auto"/>
              <w:ind w:right="0" w:firstLine="0"/>
              <w:jc w:val="left"/>
            </w:pPr>
            <w:r>
              <w:rPr>
                <w:rFonts w:ascii="Arial" w:hAnsi="Arial" w:eastAsia="Arial" w:cs="Arial"/>
                <w:b w:val="1"/>
              </w:rPr>
              <w:t xml:space="preserve">Initiative</w:t>
            </w:r>
            <w:r>
              <w:rPr/>
              <w:t xml:space="preserve"> </w:t>
            </w:r>
          </w:p>
        </w:tc>
        <w:tc>
          <w:tcPr>
            <w:tcW w:w="2101" w:type="dxa"/>
            <w:tcBorders>
              <w:top w:val="single" w:color="c4c7c5" w:sz="6"/>
              <w:left w:val="double" w:color="c4c7c5" w:sz="6"/>
              <w:bottom w:val="single" w:color="c4c7c5" w:sz="6"/>
              <w:right w:val="double" w:color="c4c7c5" w:sz="6"/>
            </w:tcBorders>
            <w:vAlign w:val="center"/>
          </w:tcPr>
          <w:p w14:paraId="727D5379" wp14:textId="77777777">
            <w:pPr>
              <w:spacing w:before="0" w:after="113" w:line="259" w:lineRule="auto"/>
              <w:ind w:left="23" w:right="0" w:firstLine="0"/>
              <w:jc w:val="left"/>
            </w:pPr>
            <w:r>
              <w:rPr>
                <w:rFonts w:ascii="Arial" w:hAnsi="Arial" w:eastAsia="Arial" w:cs="Arial"/>
                <w:b w:val="1"/>
              </w:rPr>
              <w:t xml:space="preserve">Primary</w:t>
            </w:r>
            <w:r>
              <w:rPr>
                <w:rFonts w:ascii="Arial" w:hAnsi="Arial" w:eastAsia="Arial" w:cs="Arial"/>
                <w:b w:val="1"/>
              </w:rPr>
              <w:t xml:space="preserve"> </w:t>
            </w:r>
          </w:p>
          <w:p w14:paraId="4A888B23" wp14:textId="77777777">
            <w:pPr>
              <w:spacing w:before="0" w:after="0" w:line="259" w:lineRule="auto"/>
              <w:ind w:left="23" w:right="0" w:firstLine="0"/>
              <w:jc w:val="left"/>
            </w:pPr>
            <w:r>
              <w:rPr>
                <w:rFonts w:ascii="Arial" w:hAnsi="Arial" w:eastAsia="Arial" w:cs="Arial"/>
                <w:b w:val="1"/>
              </w:rPr>
              <w:t xml:space="preserve">Strength</w:t>
            </w:r>
            <w:r>
              <w:rPr/>
              <w:t xml:space="preserve"> </w:t>
            </w:r>
          </w:p>
        </w:tc>
        <w:tc>
          <w:tcPr>
            <w:tcW w:w="2291" w:type="dxa"/>
            <w:tcBorders>
              <w:top w:val="single" w:color="c4c7c5" w:sz="6"/>
              <w:left w:val="double" w:color="c4c7c5" w:sz="6"/>
              <w:bottom w:val="single" w:color="c4c7c5" w:sz="6"/>
              <w:right w:val="double" w:color="c4c7c5" w:sz="6"/>
            </w:tcBorders>
            <w:vAlign w:val="center"/>
          </w:tcPr>
          <w:p w14:paraId="596ADA24" wp14:textId="77777777">
            <w:pPr>
              <w:spacing w:before="0" w:after="113" w:line="259" w:lineRule="auto"/>
              <w:ind w:left="23" w:right="0" w:firstLine="0"/>
              <w:jc w:val="left"/>
            </w:pPr>
            <w:r>
              <w:rPr>
                <w:rFonts w:ascii="Arial" w:hAnsi="Arial" w:eastAsia="Arial" w:cs="Arial"/>
                <w:b w:val="1"/>
              </w:rPr>
              <w:t xml:space="preserve">Structural</w:t>
            </w:r>
            <w:r>
              <w:rPr>
                <w:rFonts w:ascii="Arial" w:hAnsi="Arial" w:eastAsia="Arial" w:cs="Arial"/>
                <w:b w:val="1"/>
              </w:rPr>
              <w:t xml:space="preserve"> </w:t>
            </w:r>
          </w:p>
          <w:p w14:paraId="4BA40502" wp14:textId="77777777">
            <w:pPr>
              <w:spacing w:before="0" w:after="0" w:line="259" w:lineRule="auto"/>
              <w:ind w:left="23" w:right="0" w:firstLine="0"/>
              <w:jc w:val="left"/>
            </w:pPr>
            <w:r>
              <w:rPr>
                <w:rFonts w:ascii="Arial" w:hAnsi="Arial" w:eastAsia="Arial" w:cs="Arial"/>
                <w:b w:val="1"/>
              </w:rPr>
              <w:t xml:space="preserve">Limitation</w:t>
            </w:r>
            <w:r>
              <w:rPr/>
              <w:t xml:space="preserve"> </w:t>
            </w:r>
          </w:p>
        </w:tc>
        <w:tc>
          <w:tcPr>
            <w:tcW w:w="2663" w:type="dxa"/>
            <w:tcBorders>
              <w:top w:val="single" w:color="c4c7c5" w:sz="6"/>
              <w:left w:val="double" w:color="c4c7c5" w:sz="6"/>
              <w:bottom w:val="single" w:color="c4c7c5" w:sz="6"/>
              <w:right w:val="single" w:color="c4c7c5" w:sz="6"/>
            </w:tcBorders>
            <w:vAlign w:val="center"/>
          </w:tcPr>
          <w:p w14:paraId="42213CAF" wp14:textId="77777777">
            <w:pPr>
              <w:spacing w:before="0" w:after="0" w:line="259" w:lineRule="auto"/>
              <w:ind w:left="22" w:right="0" w:firstLine="0"/>
              <w:jc w:val="left"/>
            </w:pPr>
            <w:r>
              <w:rPr>
                <w:rFonts w:ascii="Arial" w:hAnsi="Arial" w:eastAsia="Arial" w:cs="Arial"/>
                <w:b w:val="1"/>
              </w:rPr>
              <w:t xml:space="preserve">Recommendation</w:t>
            </w:r>
            <w:r>
              <w:rPr/>
              <w:t xml:space="preserve"> </w:t>
            </w:r>
          </w:p>
        </w:tc>
      </w:tr>
    </w:tbl>
    <w:tbl>
      <w:tblPr>
        <w:tblStyle w:val="TableGrid"/>
        <w:tblW w:w="8939" w:type="dxa"/>
        <w:tblInd w:w="48" w:type="dxa"/>
        <w:tblCellMar>
          <w:top w:w="0" w:type="dxa"/>
          <w:left w:w="0" w:type="dxa"/>
          <w:bottom w:w="0" w:type="dxa"/>
          <w:right w:w="0" w:type="dxa"/>
        </w:tblCellMar>
      </w:tblPr>
      <w:tblGrid>
        <w:gridCol w:w="1884"/>
        <w:gridCol w:w="2101"/>
        <w:gridCol w:w="2291"/>
        <w:gridCol w:w="2663"/>
      </w:tblGrid>
      <w:tr xmlns:wp14="http://schemas.microsoft.com/office/word/2010/wordml" w14:paraId="7A77E82F" wp14:textId="77777777">
        <w:trPr>
          <w:trHeight w:val="1500" w:hRule="atLeast"/>
        </w:trPr>
        <w:tc>
          <w:tcPr>
            <w:tcW w:w="1884" w:type="dxa"/>
            <w:tcBorders>
              <w:top w:val="single" w:color="c4c7c5" w:sz="6"/>
              <w:left w:val="single" w:color="c4c7c5" w:sz="6"/>
              <w:bottom w:val="single" w:color="c4c7c5" w:sz="6"/>
              <w:right w:val="double" w:color="c4c7c5" w:sz="6"/>
            </w:tcBorders>
            <w:vAlign w:val="center"/>
          </w:tcPr>
          <w:p w14:paraId="4BC92D82" wp14:textId="77777777">
            <w:pPr>
              <w:tabs>
                <w:tab w:val="right" w:pos="1884"/>
              </w:tabs>
              <w:spacing w:before="0" w:after="124" w:line="259" w:lineRule="auto"/>
              <w:ind w:right="0" w:firstLine="0"/>
              <w:jc w:val="left"/>
            </w:pPr>
            <w:r>
              <w:rPr>
                <w:rFonts w:ascii="Arial" w:hAnsi="Arial" w:eastAsia="Arial" w:cs="Arial"/>
                <w:b w:val="1"/>
              </w:rPr>
              <w:t xml:space="preserve">Wales</w:t>
            </w:r>
            <w:r>
              <w:rPr>
                <w:rFonts w:ascii="Arial" w:hAnsi="Arial" w:eastAsia="Arial" w:cs="Arial"/>
                <w:b w:val="1"/>
              </w:rPr>
              <w:t xml:space="preserve"> 	</w:t>
            </w:r>
            <w:r>
              <w:rPr>
                <w:rFonts w:ascii="Arial" w:hAnsi="Arial" w:eastAsia="Arial" w:cs="Arial"/>
                <w:b w:val="1"/>
              </w:rPr>
              <w:t xml:space="preserve">Act</w:t>
            </w:r>
            <w:r>
              <w:rPr>
                <w:rFonts w:ascii="Arial" w:hAnsi="Arial" w:eastAsia="Arial" w:cs="Arial"/>
                <w:b w:val="1"/>
              </w:rPr>
              <w:t xml:space="preserve"> </w:t>
            </w:r>
          </w:p>
          <w:p w14:paraId="1CCFA911" wp14:textId="77777777">
            <w:pPr>
              <w:spacing w:before="0" w:after="118" w:line="259" w:lineRule="auto"/>
              <w:ind w:right="0" w:firstLine="0"/>
              <w:jc w:val="left"/>
            </w:pPr>
            <w:r>
              <w:rPr>
                <w:rFonts w:ascii="Arial" w:hAnsi="Arial" w:eastAsia="Arial" w:cs="Arial"/>
                <w:b w:val="1"/>
              </w:rPr>
              <w:t xml:space="preserve">2015</w:t>
            </w:r>
            <w:r>
              <w:rPr/>
              <w:t xml:space="preserve"> </w:t>
            </w:r>
          </w:p>
          <w:p w14:paraId="3832868B" wp14:textId="77777777">
            <w:pPr>
              <w:spacing w:before="0" w:after="0" w:line="259" w:lineRule="auto"/>
              <w:ind w:right="0" w:firstLine="0"/>
              <w:jc w:val="left"/>
            </w:pPr>
            <w:r>
              <w:rPr/>
              <w:t xml:space="preserve">(National)</w:t>
            </w:r>
            <w:r>
              <w:rPr/>
              <w:t xml:space="preserve"> </w:t>
            </w:r>
          </w:p>
        </w:tc>
        <w:tc>
          <w:tcPr>
            <w:tcW w:w="2101" w:type="dxa"/>
            <w:tcBorders>
              <w:top w:val="single" w:color="c4c7c5" w:sz="6"/>
              <w:left w:val="double" w:color="c4c7c5" w:sz="6"/>
              <w:bottom w:val="single" w:color="c4c7c5" w:sz="6"/>
              <w:right w:val="double" w:color="c4c7c5" w:sz="6"/>
            </w:tcBorders>
            <w:vAlign w:val="center"/>
          </w:tcPr>
          <w:p w14:paraId="3B821B9A" wp14:textId="77777777">
            <w:pPr>
              <w:spacing w:before="0" w:after="0" w:line="259" w:lineRule="auto"/>
              <w:ind w:left="23" w:right="0" w:firstLine="0"/>
              <w:jc w:val="left"/>
            </w:pPr>
            <w:r>
              <w:rPr/>
              <w:t xml:space="preserve">Legal</w:t>
            </w:r>
            <w:r>
              <w:rPr/>
              <w:t xml:space="preserve"> </w:t>
            </w:r>
            <w:r>
              <w:rPr/>
              <w:t xml:space="preserve">codification</w:t>
            </w:r>
            <w:r>
              <w:rPr/>
              <w:t xml:space="preserve"> 	</w:t>
            </w:r>
            <w:r>
              <w:rPr/>
              <w:t xml:space="preserve">of</w:t>
            </w:r>
            <w:r>
              <w:rPr/>
              <w:t xml:space="preserve"> </w:t>
            </w:r>
            <w:r>
              <w:rPr/>
              <w:t xml:space="preserve">long</w:t>
            </w:r>
            <w:r>
              <w:rPr/>
              <w:t xml:space="preserve">-</w:t>
            </w:r>
            <w:r>
              <w:rPr/>
              <w:t xml:space="preserve">term</w:t>
            </w:r>
            <w:r>
              <w:rPr/>
              <w:t xml:space="preserve"> </w:t>
            </w:r>
          </w:p>
        </w:tc>
        <w:tc>
          <w:tcPr>
            <w:tcW w:w="2291" w:type="dxa"/>
            <w:tcBorders>
              <w:top w:val="single" w:color="c4c7c5" w:sz="6"/>
              <w:left w:val="double" w:color="c4c7c5" w:sz="6"/>
              <w:bottom w:val="single" w:color="c4c7c5" w:sz="6"/>
              <w:right w:val="double" w:color="c4c7c5" w:sz="6"/>
            </w:tcBorders>
            <w:vAlign w:val="center"/>
          </w:tcPr>
          <w:p w14:paraId="780FFF2F" wp14:textId="77777777">
            <w:pPr>
              <w:spacing w:before="0" w:after="0" w:line="259" w:lineRule="auto"/>
              <w:ind w:left="23" w:right="87" w:firstLine="0"/>
            </w:pPr>
            <w:r>
              <w:rPr/>
              <w:t xml:space="preserve">No</w:t>
            </w:r>
            <w:r>
              <w:rPr/>
              <w:t xml:space="preserve"> </w:t>
            </w:r>
            <w:r>
              <w:rPr/>
              <w:t xml:space="preserve">statutory</w:t>
            </w:r>
            <w:r>
              <w:rPr/>
              <w:t xml:space="preserve"> </w:t>
            </w:r>
            <w:r>
              <w:rPr/>
              <w:t xml:space="preserve">penalties;</w:t>
            </w:r>
            <w:r>
              <w:rPr/>
              <w:t xml:space="preserve"> </w:t>
            </w:r>
            <w:r>
              <w:rPr/>
              <w:t xml:space="preserve">acute</w:t>
            </w:r>
            <w:r>
              <w:rPr/>
              <w:t xml:space="preserve"> </w:t>
            </w:r>
            <w:r>
              <w:rPr/>
              <w:t xml:space="preserve">NHS</w:t>
            </w:r>
            <w:r>
              <w:rPr/>
              <w:t xml:space="preserve"> </w:t>
            </w:r>
            <w:r>
              <w:rPr/>
              <w:t xml:space="preserve">clinical</w:t>
            </w:r>
            <w:r>
              <w:rPr/>
              <w:t xml:space="preserve"> </w:t>
            </w:r>
          </w:p>
        </w:tc>
        <w:tc>
          <w:tcPr>
            <w:tcW w:w="2663" w:type="dxa"/>
            <w:tcBorders>
              <w:top w:val="single" w:color="c4c7c5" w:sz="6"/>
              <w:left w:val="double" w:color="c4c7c5" w:sz="6"/>
              <w:bottom w:val="single" w:color="c4c7c5" w:sz="6"/>
              <w:right w:val="single" w:color="c4c7c5" w:sz="6"/>
            </w:tcBorders>
            <w:vAlign w:val="center"/>
          </w:tcPr>
          <w:p w14:paraId="3312E065" wp14:textId="77777777">
            <w:pPr>
              <w:spacing w:before="0" w:after="0" w:line="259" w:lineRule="auto"/>
              <w:ind w:left="22" w:right="0" w:firstLine="0"/>
              <w:jc w:val="left"/>
            </w:pPr>
            <w:r>
              <w:rPr/>
              <w:t xml:space="preserve">Ring</w:t>
            </w:r>
            <w:r>
              <w:rPr/>
              <w:t xml:space="preserve">-</w:t>
            </w:r>
            <w:r>
              <w:rPr/>
              <w:t xml:space="preserve">fence</w:t>
            </w:r>
            <w:r>
              <w:rPr/>
              <w:t xml:space="preserve"> </w:t>
            </w:r>
            <w:r>
              <w:rPr/>
              <w:t xml:space="preserve">preventive</w:t>
            </w:r>
            <w:r>
              <w:rPr/>
              <w:t xml:space="preserve"> 	</w:t>
            </w:r>
            <w:r>
              <w:rPr/>
              <w:t xml:space="preserve">funds;</w:t>
            </w:r>
            <w:r>
              <w:rPr/>
              <w:t xml:space="preserve"> </w:t>
            </w:r>
          </w:p>
        </w:tc>
      </w:tr>
    </w:tbl>
    <w:tbl>
      <w:tblPr>
        <w:tblStyle w:val="TableGrid"/>
        <w:tblW w:w="8939" w:type="dxa"/>
        <w:tblInd w:w="40" w:type="dxa"/>
        <w:tblCellMar>
          <w:top w:w="0" w:type="dxa"/>
          <w:left w:w="0" w:type="dxa"/>
          <w:bottom w:w="0" w:type="dxa"/>
          <w:right w:w="0" w:type="dxa"/>
        </w:tblCellMar>
      </w:tblPr>
      <w:tblGrid>
        <w:gridCol w:w="1884"/>
        <w:gridCol w:w="7055"/>
      </w:tblGrid>
      <w:tr xmlns:wp14="http://schemas.microsoft.com/office/word/2010/wordml" w14:paraId="04A932E5" wp14:textId="77777777">
        <w:trPr>
          <w:trHeight w:val="1510" w:hRule="atLeast"/>
        </w:trPr>
        <w:tc>
          <w:tcPr>
            <w:tcW w:w="1884" w:type="dxa"/>
            <w:tcBorders>
              <w:top w:val="nil"/>
              <w:left w:val="nil"/>
              <w:bottom w:val="nil"/>
              <w:right w:val="nil"/>
            </w:tcBorders>
            <w:vAlign w:val="top"/>
          </w:tcPr>
          <w:p w14:paraId="0A37501D" wp14:textId="77777777">
            <w:pPr>
              <w:spacing w:before="0" w:after="0" w:line="259" w:lineRule="auto"/>
              <w:ind w:right="0" w:firstLine="0"/>
              <w:jc w:val="left"/>
            </w:pPr>
            <w:r>
              <w:rPr>
                <w:rFonts w:ascii="Calibri" w:hAnsi="Calibri" w:eastAsia="Calibri" w:cs="Calibri"/>
                <w:color w:val="000000"/>
                <w:sz w:val="22"/>
              </w:rPr>
              <mc:AlternateContent>
                <mc:Choice Requires="wpg">
                  <w:drawing>
                    <wp:inline xmlns:wp14="http://schemas.microsoft.com/office/word/2010/wordprocessingDrawing" distT="0" distB="0" distL="0" distR="0" wp14:anchorId="63F61370" wp14:editId="7777777">
                      <wp:extent cx="1191324" cy="959104"/>
                      <wp:docPr id="17710" name="Group 17710"/>
                      <wp:cNvGraphicFramePr/>
                      <a:graphic>
                        <a:graphicData uri="http://schemas.microsoft.com/office/word/2010/wordprocessingGroup">
                          <wpg:wgp>
                            <wpg:cNvGrpSpPr/>
                            <wpg:grpSpPr>
                              <a:xfrm>
                                <a:off x="0" y="0"/>
                                <a:ext cx="1191324" cy="959104"/>
                                <a:chOff x="0" y="0"/>
                                <a:chExt cx="1191324" cy="959104"/>
                              </a:xfrm>
                            </wpg:grpSpPr>
                            <wps:wsp>
                              <wps:cNvPr id="18450" name="Shape 18450"/>
                              <wps:cNvSpPr/>
                              <wps:spPr>
                                <a:xfrm>
                                  <a:off x="0" y="0"/>
                                  <a:ext cx="9525" cy="9525"/>
                                </a:xfrm>
                                <a:custGeom>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1" name="Shape 18451"/>
                              <wps:cNvSpPr/>
                              <wps:spPr>
                                <a:xfrm>
                                  <a:off x="9525" y="0"/>
                                  <a:ext cx="1172210" cy="9525"/>
                                </a:xfrm>
                                <a:custGeom>
                                  <a:pathLst>
                                    <a:path w="1172210" h="9525">
                                      <a:moveTo>
                                        <a:pt x="0" y="0"/>
                                      </a:moveTo>
                                      <a:lnTo>
                                        <a:pt x="1172210" y="0"/>
                                      </a:lnTo>
                                      <a:lnTo>
                                        <a:pt x="1172210"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2" name="Shape 18452"/>
                              <wps:cNvSpPr/>
                              <wps:spPr>
                                <a:xfrm>
                                  <a:off x="1181799" y="0"/>
                                  <a:ext cx="9525" cy="9525"/>
                                </a:xfrm>
                                <a:custGeom>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3" name="Shape 18453"/>
                              <wps:cNvSpPr/>
                              <wps:spPr>
                                <a:xfrm>
                                  <a:off x="0" y="949579"/>
                                  <a:ext cx="9525" cy="9525"/>
                                </a:xfrm>
                                <a:custGeom>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4" name="Shape 18454"/>
                              <wps:cNvSpPr/>
                              <wps:spPr>
                                <a:xfrm>
                                  <a:off x="9525" y="949579"/>
                                  <a:ext cx="1172210" cy="9525"/>
                                </a:xfrm>
                                <a:custGeom>
                                  <a:pathLst>
                                    <a:path w="1172210" h="9525">
                                      <a:moveTo>
                                        <a:pt x="0" y="0"/>
                                      </a:moveTo>
                                      <a:lnTo>
                                        <a:pt x="1172210" y="0"/>
                                      </a:lnTo>
                                      <a:lnTo>
                                        <a:pt x="1172210"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5" name="Shape 18455"/>
                              <wps:cNvSpPr/>
                              <wps:spPr>
                                <a:xfrm>
                                  <a:off x="1181799" y="949579"/>
                                  <a:ext cx="9525" cy="9525"/>
                                </a:xfrm>
                                <a:custGeom>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6" name="Shape 18456"/>
                              <wps:cNvSpPr/>
                              <wps:spPr>
                                <a:xfrm>
                                  <a:off x="0" y="9461"/>
                                  <a:ext cx="9525" cy="940118"/>
                                </a:xfrm>
                                <a:custGeom>
                                  <a:pathLst>
                                    <a:path w="9525" h="940118">
                                      <a:moveTo>
                                        <a:pt x="0" y="0"/>
                                      </a:moveTo>
                                      <a:lnTo>
                                        <a:pt x="9525" y="0"/>
                                      </a:lnTo>
                                      <a:lnTo>
                                        <a:pt x="9525" y="940118"/>
                                      </a:lnTo>
                                      <a:lnTo>
                                        <a:pt x="0" y="940118"/>
                                      </a:lnTo>
                                      <a:lnTo>
                                        <a:pt x="0" y="0"/>
                                      </a:lnTo>
                                    </a:path>
                                  </a:pathLst>
                                </a:custGeom>
                                <a:ln w="0" cap="flat">
                                  <a:miter lim="127000"/>
                                </a:ln>
                              </wps:spPr>
                              <wps:style>
                                <a:lnRef idx="0">
                                  <a:srgbClr val="000000">
                                    <a:alpha val="0"/>
                                  </a:srgbClr>
                                </a:lnRef>
                                <a:fillRef idx="1">
                                  <a:srgbClr val="c4c7c5"/>
                                </a:fillRef>
                                <a:effectRef idx="0"/>
                                <a:fontRef idx="none"/>
                              </wps:style>
                              <wps:bodyPr/>
                            </wps:wsp>
                            <wps:wsp>
                              <wps:cNvPr id="18457" name="Shape 18457"/>
                              <wps:cNvSpPr/>
                              <wps:spPr>
                                <a:xfrm>
                                  <a:off x="1181799" y="9461"/>
                                  <a:ext cx="9525" cy="940118"/>
                                </a:xfrm>
                                <a:custGeom>
                                  <a:pathLst>
                                    <a:path w="9525" h="940118">
                                      <a:moveTo>
                                        <a:pt x="0" y="0"/>
                                      </a:moveTo>
                                      <a:lnTo>
                                        <a:pt x="9525" y="0"/>
                                      </a:lnTo>
                                      <a:lnTo>
                                        <a:pt x="9525" y="940118"/>
                                      </a:lnTo>
                                      <a:lnTo>
                                        <a:pt x="0" y="940118"/>
                                      </a:lnTo>
                                      <a:lnTo>
                                        <a:pt x="0" y="0"/>
                                      </a:lnTo>
                                    </a:path>
                                  </a:pathLst>
                                </a:custGeom>
                                <a:ln w="0" cap="flat">
                                  <a:miter lim="127000"/>
                                </a:ln>
                              </wps:spPr>
                              <wps:style>
                                <a:lnRef idx="0">
                                  <a:srgbClr val="000000">
                                    <a:alpha val="0"/>
                                  </a:srgbClr>
                                </a:lnRef>
                                <a:fillRef idx="1">
                                  <a:srgbClr val="c4c7c5"/>
                                </a:fillRef>
                                <a:effectRef idx="0"/>
                                <a:fontRef idx="none"/>
                              </wps:style>
                              <wps:bodyPr/>
                            </wps:wsp>
                          </wpg:wgp>
                        </a:graphicData>
                      </a:graphic>
                    </wp:inline>
                  </w:drawing>
                </mc:Choice>
                <mc:Fallback>
                  <w:pict w14:anchorId="528881AE">
                    <v:group id="Group 17710" style="width:93.805pt;height:75.52pt;mso-position-horizontal-relative:char;mso-position-vertical-relative:line" coordsize="11913,9591">
                      <v:shape id="Shape 18458" style="position:absolute;width:95;height:95;left:0;top:0;" coordsize="9525,9525" path="m0,0l9525,0l9525,9525l0,9525l0,0">
                        <v:stroke on="false" weight="0pt" color="#000000" opacity="0" miterlimit="10" joinstyle="miter" endcap="flat"/>
                        <v:fill on="true" color="#c4c7c5"/>
                      </v:shape>
                      <v:shape id="Shape 18459" style="position:absolute;width:11722;height:95;left:95;top:0;" coordsize="1172210,9525" path="m0,0l1172210,0l1172210,9525l0,9525l0,0">
                        <v:stroke on="false" weight="0pt" color="#000000" opacity="0" miterlimit="10" joinstyle="miter" endcap="flat"/>
                        <v:fill on="true" color="#c4c7c5"/>
                      </v:shape>
                      <v:shape id="Shape 18460" style="position:absolute;width:95;height:95;left:11817;top:0;" coordsize="9525,9525" path="m0,0l9525,0l9525,9525l0,9525l0,0">
                        <v:stroke on="false" weight="0pt" color="#000000" opacity="0" miterlimit="10" joinstyle="miter" endcap="flat"/>
                        <v:fill on="true" color="#c4c7c5"/>
                      </v:shape>
                      <v:shape id="Shape 18461" style="position:absolute;width:95;height:95;left:0;top:9495;" coordsize="9525,9525" path="m0,0l9525,0l9525,9525l0,9525l0,0">
                        <v:stroke on="false" weight="0pt" color="#000000" opacity="0" miterlimit="10" joinstyle="miter" endcap="flat"/>
                        <v:fill on="true" color="#c4c7c5"/>
                      </v:shape>
                      <v:shape id="Shape 18462" style="position:absolute;width:11722;height:95;left:95;top:9495;" coordsize="1172210,9525" path="m0,0l1172210,0l1172210,9525l0,9525l0,0">
                        <v:stroke on="false" weight="0pt" color="#000000" opacity="0" miterlimit="10" joinstyle="miter" endcap="flat"/>
                        <v:fill on="true" color="#c4c7c5"/>
                      </v:shape>
                      <v:shape id="Shape 18463" style="position:absolute;width:95;height:95;left:11817;top:9495;" coordsize="9525,9525" path="m0,0l9525,0l9525,9525l0,9525l0,0">
                        <v:stroke on="false" weight="0pt" color="#000000" opacity="0" miterlimit="10" joinstyle="miter" endcap="flat"/>
                        <v:fill on="true" color="#c4c7c5"/>
                      </v:shape>
                      <v:shape id="Shape 18464" style="position:absolute;width:95;height:9401;left:0;top:94;" coordsize="9525,940118" path="m0,0l9525,0l9525,940118l0,940118l0,0">
                        <v:stroke on="false" weight="0pt" color="#000000" opacity="0" miterlimit="10" joinstyle="miter" endcap="flat"/>
                        <v:fill on="true" color="#c4c7c5"/>
                      </v:shape>
                      <v:shape id="Shape 18465" style="position:absolute;width:95;height:9401;left:11817;top:94;" coordsize="9525,940118" path="m0,0l9525,0l9525,940118l0,940118l0,0">
                        <v:stroke on="false" weight="0pt" color="#000000" opacity="0" miterlimit="10" joinstyle="miter" endcap="flat"/>
                        <v:fill on="true" color="#c4c7c5"/>
                      </v:shape>
                    </v:group>
                  </w:pict>
                </mc:Fallback>
              </mc:AlternateContent>
            </w:r>
          </w:p>
        </w:tc>
        <w:tc>
          <w:tcPr>
            <w:tcW w:w="7055" w:type="dxa"/>
            <w:tcBorders>
              <w:top w:val="nil"/>
              <w:left w:val="nil"/>
              <w:bottom w:val="nil"/>
              <w:right w:val="nil"/>
            </w:tcBorders>
            <w:vAlign w:val="top"/>
          </w:tcPr>
          <w:p w14:paraId="5DAB6C7B" wp14:textId="77777777">
            <w:pPr>
              <w:spacing w:before="0" w:after="0" w:line="259" w:lineRule="auto"/>
              <w:ind w:left="-3375" w:right="10427" w:firstLine="0"/>
              <w:jc w:val="left"/>
            </w:pPr>
          </w:p>
          <w:tbl>
            <w:tblPr>
              <w:tblStyle w:val="TableGrid"/>
              <w:tblW w:w="7033" w:type="dxa"/>
              <w:tblInd w:w="19" w:type="dxa"/>
              <w:tblCellMar>
                <w:top w:w="178" w:type="dxa"/>
                <w:left w:w="188" w:type="dxa"/>
                <w:bottom w:w="0" w:type="dxa"/>
                <w:right w:w="115" w:type="dxa"/>
              </w:tblCellMar>
            </w:tblPr>
            <w:tblGrid>
              <w:gridCol w:w="2079"/>
              <w:gridCol w:w="2291"/>
              <w:gridCol w:w="2663"/>
            </w:tblGrid>
            <w:tr w14:paraId="41391E46" wp14:textId="77777777">
              <w:trPr>
                <w:trHeight w:val="1495" w:hRule="atLeast"/>
              </w:trPr>
              <w:tc>
                <w:tcPr>
                  <w:tcW w:w="2079" w:type="dxa"/>
                  <w:tcBorders>
                    <w:top w:val="single" w:color="c4c7c5" w:sz="6"/>
                    <w:left w:val="single" w:color="c4c7c5" w:sz="6"/>
                    <w:bottom w:val="single" w:color="c4c7c5" w:sz="6"/>
                    <w:right w:val="double" w:color="c4c7c5" w:sz="6"/>
                  </w:tcBorders>
                  <w:vAlign w:val="top"/>
                </w:tcPr>
                <w:p w14:paraId="07337DDB" wp14:textId="77777777">
                  <w:pPr>
                    <w:spacing w:before="0" w:after="0" w:line="259" w:lineRule="auto"/>
                    <w:ind w:right="0" w:firstLine="0"/>
                    <w:jc w:val="left"/>
                  </w:pPr>
                  <w:r>
                    <w:rPr/>
                    <w:t xml:space="preserve">sustainable</w:t>
                  </w:r>
                  <w:r>
                    <w:rPr/>
                    <w:t xml:space="preserve"> </w:t>
                  </w:r>
                  <w:r>
                    <w:rPr/>
                    <w:t xml:space="preserve">thinking.</w:t>
                  </w:r>
                  <w:r>
                    <w:rPr/>
                    <w:t xml:space="preserve"> </w:t>
                  </w:r>
                </w:p>
              </w:tc>
              <w:tc>
                <w:tcPr>
                  <w:tcW w:w="2291" w:type="dxa"/>
                  <w:tcBorders>
                    <w:top w:val="single" w:color="c4c7c5" w:sz="6"/>
                    <w:left w:val="double" w:color="c4c7c5" w:sz="6"/>
                    <w:bottom w:val="single" w:color="c4c7c5" w:sz="6"/>
                    <w:right w:val="double" w:color="c4c7c5" w:sz="6"/>
                  </w:tcBorders>
                  <w:vAlign w:val="center"/>
                </w:tcPr>
                <w:p w14:paraId="7FAA2154" wp14:textId="77777777">
                  <w:pPr>
                    <w:tabs>
                      <w:tab w:val="right" w:pos="1988"/>
                    </w:tabs>
                    <w:spacing w:before="0" w:after="124" w:line="259" w:lineRule="auto"/>
                    <w:ind w:right="0" w:firstLine="0"/>
                    <w:jc w:val="left"/>
                  </w:pPr>
                  <w:r>
                    <w:rPr/>
                    <w:t xml:space="preserve">crises</w:t>
                  </w:r>
                  <w:r>
                    <w:rPr/>
                    <w:t xml:space="preserve"> 	</w:t>
                  </w:r>
                  <w:r>
                    <w:rPr/>
                    <w:t xml:space="preserve">drain</w:t>
                  </w:r>
                  <w:r>
                    <w:rPr/>
                    <w:t xml:space="preserve"> </w:t>
                  </w:r>
                </w:p>
                <w:p w14:paraId="18E658FD" wp14:textId="77777777">
                  <w:pPr>
                    <w:spacing w:before="0" w:after="0" w:line="259" w:lineRule="auto"/>
                    <w:ind w:left="23" w:right="0" w:firstLine="0"/>
                    <w:jc w:val="left"/>
                  </w:pPr>
                  <w:r>
                    <w:rPr/>
                    <w:t xml:space="preserve">preventive</w:t>
                  </w:r>
                  <w:r>
                    <w:rPr/>
                    <w:t xml:space="preserve"> </w:t>
                  </w:r>
                  <w:r>
                    <w:rPr/>
                    <w:t xml:space="preserve">budgets.</w:t>
                  </w:r>
                  <w:r>
                    <w:rPr/>
                    <w:t xml:space="preserve"> </w:t>
                  </w:r>
                </w:p>
              </w:tc>
              <w:tc>
                <w:tcPr>
                  <w:tcW w:w="2663" w:type="dxa"/>
                  <w:tcBorders>
                    <w:top w:val="single" w:color="c4c7c5" w:sz="6"/>
                    <w:left w:val="double" w:color="c4c7c5" w:sz="6"/>
                    <w:bottom w:val="single" w:color="c4c7c5" w:sz="6"/>
                    <w:right w:val="single" w:color="c4c7c5" w:sz="6"/>
                  </w:tcBorders>
                  <w:vAlign w:val="top"/>
                </w:tcPr>
                <w:p w14:paraId="400E10A4" wp14:textId="77777777">
                  <w:pPr>
                    <w:spacing w:before="0" w:after="0" w:line="259" w:lineRule="auto"/>
                    <w:ind w:left="22" w:right="0" w:firstLine="0"/>
                    <w:jc w:val="left"/>
                  </w:pPr>
                  <w:r>
                    <w:rPr/>
                    <w:t xml:space="preserve">introduce</w:t>
                  </w:r>
                  <w:r>
                    <w:rPr/>
                    <w:t xml:space="preserve"> </w:t>
                  </w:r>
                  <w:r>
                    <w:rPr/>
                    <w:t xml:space="preserve">mandatory</w:t>
                  </w:r>
                  <w:r>
                    <w:rPr/>
                    <w:t xml:space="preserve"> </w:t>
                  </w:r>
                  <w:r>
                    <w:rPr/>
                    <w:t xml:space="preserve">FGIAs.</w:t>
                  </w:r>
                  <w:r>
                    <w:rPr/>
                    <w:t xml:space="preserve"> </w:t>
                  </w:r>
                </w:p>
              </w:tc>
            </w:tr>
          </w:tbl>
          <w:p w14:paraId="02EB378F" wp14:textId="77777777">
            <w:pPr>
              <w:bidi w:val="0"/>
              <w:spacing w:before="0" w:after="160" w:line="259" w:lineRule="auto"/>
              <w:ind w:left="0" w:right="0" w:firstLine="0"/>
              <w:jc w:val="left"/>
            </w:pPr>
          </w:p>
        </w:tc>
      </w:tr>
    </w:tbl>
    <w:tbl>
      <w:tblPr>
        <w:tblStyle w:val="TableGrid"/>
        <w:tblW w:w="8939" w:type="dxa"/>
        <w:tblInd w:w="48" w:type="dxa"/>
        <w:tblCellMar>
          <w:top w:w="0" w:type="dxa"/>
          <w:left w:w="0" w:type="dxa"/>
          <w:bottom w:w="0" w:type="dxa"/>
          <w:right w:w="0" w:type="dxa"/>
        </w:tblCellMar>
      </w:tblPr>
      <w:tblGrid>
        <w:gridCol w:w="1884"/>
        <w:gridCol w:w="2101"/>
        <w:gridCol w:w="2291"/>
        <w:gridCol w:w="2663"/>
      </w:tblGrid>
      <w:tr xmlns:wp14="http://schemas.microsoft.com/office/word/2010/wordml" w14:paraId="0457CA43" wp14:textId="77777777">
        <w:trPr>
          <w:trHeight w:val="2741" w:hRule="atLeast"/>
        </w:trPr>
        <w:tc>
          <w:tcPr>
            <w:tcW w:w="1884" w:type="dxa"/>
            <w:tcBorders>
              <w:top w:val="single" w:color="c4c7c5" w:sz="6"/>
              <w:left w:val="single" w:color="c4c7c5" w:sz="6"/>
              <w:bottom w:val="single" w:color="c4c7c5" w:sz="6"/>
              <w:right w:val="double" w:color="c4c7c5" w:sz="6"/>
            </w:tcBorders>
            <w:vAlign w:val="center"/>
          </w:tcPr>
          <w:p w14:paraId="7A47FA18" wp14:textId="77777777">
            <w:pPr>
              <w:tabs>
                <w:tab w:val="right" w:pos="1884"/>
              </w:tabs>
              <w:spacing w:before="0" w:after="125" w:line="259" w:lineRule="auto"/>
              <w:ind w:right="0" w:firstLine="0"/>
              <w:jc w:val="left"/>
            </w:pPr>
            <w:r>
              <w:rPr>
                <w:rFonts w:ascii="Arial" w:hAnsi="Arial" w:eastAsia="Arial" w:cs="Arial"/>
                <w:b w:val="1"/>
              </w:rPr>
              <w:t xml:space="preserve">UK</w:t>
            </w:r>
            <w:r>
              <w:rPr>
                <w:rFonts w:ascii="Arial" w:hAnsi="Arial" w:eastAsia="Arial" w:cs="Arial"/>
                <w:b w:val="1"/>
              </w:rPr>
              <w:t xml:space="preserve"> 	</w:t>
            </w:r>
            <w:r>
              <w:rPr>
                <w:rFonts w:ascii="Arial" w:hAnsi="Arial" w:eastAsia="Arial" w:cs="Arial"/>
                <w:b w:val="1"/>
              </w:rPr>
              <w:t xml:space="preserve">SDIL</w:t>
            </w:r>
            <w:r>
              <w:rPr/>
              <w:t xml:space="preserve"> </w:t>
            </w:r>
          </w:p>
          <w:p w14:paraId="4B2078F4" wp14:textId="77777777">
            <w:pPr>
              <w:spacing w:before="0" w:after="0" w:line="259" w:lineRule="auto"/>
              <w:ind w:right="0" w:firstLine="0"/>
              <w:jc w:val="left"/>
            </w:pPr>
            <w:r>
              <w:rPr/>
              <w:t xml:space="preserve">(National)</w:t>
            </w:r>
            <w:r>
              <w:rPr/>
              <w:t xml:space="preserve"> </w:t>
            </w:r>
          </w:p>
        </w:tc>
        <w:tc>
          <w:tcPr>
            <w:tcW w:w="2101" w:type="dxa"/>
            <w:tcBorders>
              <w:top w:val="single" w:color="c4c7c5" w:sz="6"/>
              <w:left w:val="double" w:color="c4c7c5" w:sz="6"/>
              <w:bottom w:val="single" w:color="c4c7c5" w:sz="6"/>
              <w:right w:val="double" w:color="c4c7c5" w:sz="6"/>
            </w:tcBorders>
            <w:vAlign w:val="center"/>
          </w:tcPr>
          <w:p w14:paraId="3F7058CC" wp14:textId="77777777">
            <w:pPr>
              <w:spacing w:before="0" w:after="0" w:line="259" w:lineRule="auto"/>
              <w:ind w:left="23" w:right="0" w:firstLine="0"/>
              <w:jc w:val="left"/>
            </w:pPr>
            <w:r>
              <w:rPr/>
              <w:t xml:space="preserve">Prompted</w:t>
            </w:r>
            <w:r>
              <w:rPr/>
              <w:t xml:space="preserve"> </w:t>
            </w:r>
            <w:r>
              <w:rPr/>
              <w:t xml:space="preserve">massive</w:t>
            </w:r>
            <w:r>
              <w:rPr/>
              <w:t xml:space="preserve"> </w:t>
            </w:r>
            <w:r>
              <w:rPr/>
              <w:t xml:space="preserve">commercial</w:t>
            </w:r>
            <w:r>
              <w:rPr/>
              <w:t xml:space="preserve"> </w:t>
            </w:r>
            <w:r>
              <w:rPr/>
              <w:t xml:space="preserve">sugar</w:t>
            </w:r>
            <w:r>
              <w:rPr/>
              <w:t xml:space="preserve"> </w:t>
            </w:r>
            <w:r>
              <w:rPr/>
              <w:t xml:space="preserve">reformulation</w:t>
            </w:r>
            <w:r>
              <w:rPr/>
              <w:t xml:space="preserve"> (&gt;50%). </w:t>
            </w:r>
          </w:p>
        </w:tc>
        <w:tc>
          <w:tcPr>
            <w:tcW w:w="2291" w:type="dxa"/>
            <w:tcBorders>
              <w:top w:val="single" w:color="c4c7c5" w:sz="6"/>
              <w:left w:val="double" w:color="c4c7c5" w:sz="6"/>
              <w:bottom w:val="single" w:color="c4c7c5" w:sz="6"/>
              <w:right w:val="double" w:color="c4c7c5" w:sz="6"/>
            </w:tcBorders>
            <w:vAlign w:val="center"/>
          </w:tcPr>
          <w:p w14:paraId="597FE7B0" wp14:textId="77777777">
            <w:pPr>
              <w:spacing w:before="0" w:after="0" w:line="259" w:lineRule="auto"/>
              <w:ind w:left="23" w:right="85" w:firstLine="0"/>
            </w:pPr>
            <w:r>
              <w:rPr/>
              <w:t xml:space="preserve">Fails</w:t>
            </w:r>
            <w:r>
              <w:rPr/>
              <w:t xml:space="preserve"> </w:t>
            </w:r>
            <w:r>
              <w:rPr/>
              <w:t xml:space="preserve">to</w:t>
            </w:r>
            <w:r>
              <w:rPr/>
              <w:t xml:space="preserve"> </w:t>
            </w:r>
            <w:r>
              <w:rPr/>
              <w:t xml:space="preserve">address</w:t>
            </w:r>
            <w:r>
              <w:rPr/>
              <w:t xml:space="preserve"> </w:t>
            </w:r>
            <w:r>
              <w:rPr/>
              <w:t xml:space="preserve">geographical</w:t>
            </w:r>
            <w:r>
              <w:rPr/>
              <w:t xml:space="preserve"> </w:t>
            </w:r>
            <w:r>
              <w:rPr/>
              <w:t xml:space="preserve">food</w:t>
            </w:r>
            <w:r>
              <w:rPr/>
              <w:t xml:space="preserve"> </w:t>
            </w:r>
            <w:r>
              <w:rPr/>
              <w:t xml:space="preserve">deserts</w:t>
            </w:r>
            <w:r>
              <w:rPr/>
              <w:t xml:space="preserve"> </w:t>
            </w:r>
            <w:r>
              <w:rPr/>
              <w:t xml:space="preserve">and</w:t>
            </w:r>
            <w:r>
              <w:rPr/>
              <w:t xml:space="preserve"> </w:t>
            </w:r>
            <w:r>
              <w:rPr/>
              <w:t xml:space="preserve">poverty.</w:t>
            </w:r>
            <w:r>
              <w:rPr/>
              <w:t xml:space="preserve"> </w:t>
            </w:r>
          </w:p>
        </w:tc>
        <w:tc>
          <w:tcPr>
            <w:tcW w:w="2663" w:type="dxa"/>
            <w:tcBorders>
              <w:top w:val="single" w:color="c4c7c5" w:sz="6"/>
              <w:left w:val="double" w:color="c4c7c5" w:sz="6"/>
              <w:bottom w:val="single" w:color="c4c7c5" w:sz="6"/>
              <w:right w:val="single" w:color="c4c7c5" w:sz="6"/>
            </w:tcBorders>
            <w:vAlign w:val="center"/>
          </w:tcPr>
          <w:p w14:paraId="74741E41" wp14:textId="77777777">
            <w:pPr>
              <w:spacing w:before="0" w:after="0" w:line="259" w:lineRule="auto"/>
              <w:ind w:left="22" w:right="64" w:firstLine="0"/>
            </w:pPr>
            <w:r>
              <w:rPr/>
              <w:t xml:space="preserve">Hypothecate</w:t>
            </w:r>
            <w:r>
              <w:rPr/>
              <w:t xml:space="preserve"> </w:t>
            </w:r>
            <w:r>
              <w:rPr/>
              <w:t xml:space="preserve">tax</w:t>
            </w:r>
            <w:r>
              <w:rPr/>
              <w:t xml:space="preserve"> </w:t>
            </w:r>
            <w:r>
              <w:rPr/>
              <w:t xml:space="preserve">revenue</w:t>
            </w:r>
            <w:r>
              <w:rPr/>
              <w:t xml:space="preserve"> </w:t>
            </w:r>
            <w:r>
              <w:rPr/>
              <w:t xml:space="preserve">to</w:t>
            </w:r>
            <w:r>
              <w:rPr/>
              <w:t xml:space="preserve"> </w:t>
            </w:r>
            <w:r>
              <w:rPr/>
              <w:t xml:space="preserve">subsidise</w:t>
            </w:r>
            <w:r>
              <w:rPr/>
              <w:t xml:space="preserve"> </w:t>
            </w:r>
            <w:r>
              <w:rPr/>
              <w:t xml:space="preserve">fresh</w:t>
            </w:r>
            <w:r>
              <w:rPr/>
              <w:t xml:space="preserve">-</w:t>
            </w:r>
            <w:r>
              <w:rPr/>
              <w:t xml:space="preserve">food</w:t>
            </w:r>
            <w:r>
              <w:rPr/>
              <w:t xml:space="preserve"> </w:t>
            </w:r>
            <w:r>
              <w:rPr/>
              <w:t xml:space="preserve">vouchers.</w:t>
            </w:r>
            <w:r>
              <w:rPr/>
              <w:t xml:space="preserve"> </w:t>
            </w:r>
          </w:p>
        </w:tc>
      </w:tr>
    </w:tbl>
    <w:tbl>
      <w:tblPr>
        <w:tblStyle w:val="TableGrid"/>
        <w:tblW w:w="8939" w:type="dxa"/>
        <w:tblInd w:w="48" w:type="dxa"/>
        <w:tblCellMar>
          <w:top w:w="0" w:type="dxa"/>
          <w:left w:w="0" w:type="dxa"/>
          <w:bottom w:w="0" w:type="dxa"/>
          <w:right w:w="0" w:type="dxa"/>
        </w:tblCellMar>
      </w:tblPr>
      <w:tblGrid>
        <w:gridCol w:w="1884"/>
        <w:gridCol w:w="2101"/>
        <w:gridCol w:w="2291"/>
        <w:gridCol w:w="2663"/>
      </w:tblGrid>
      <w:tr xmlns:wp14="http://schemas.microsoft.com/office/word/2010/wordml" w14:paraId="22AD407D" wp14:textId="77777777">
        <w:trPr>
          <w:trHeight w:val="2326" w:hRule="atLeast"/>
        </w:trPr>
        <w:tc>
          <w:tcPr>
            <w:tcW w:w="1884" w:type="dxa"/>
            <w:tcBorders>
              <w:top w:val="single" w:color="c4c7c5" w:sz="6"/>
              <w:left w:val="single" w:color="c4c7c5" w:sz="6"/>
              <w:bottom w:val="single" w:color="c4c7c5" w:sz="6"/>
              <w:right w:val="double" w:color="c4c7c5" w:sz="6"/>
            </w:tcBorders>
            <w:vAlign w:val="center"/>
          </w:tcPr>
          <w:p w14:paraId="7F81FD33" wp14:textId="77777777">
            <w:pPr>
              <w:spacing w:before="0" w:after="117" w:line="259" w:lineRule="auto"/>
              <w:ind w:right="0" w:firstLine="0"/>
              <w:jc w:val="left"/>
            </w:pPr>
            <w:r>
              <w:rPr>
                <w:rFonts w:ascii="Arial" w:hAnsi="Arial" w:eastAsia="Arial" w:cs="Arial"/>
                <w:b w:val="1"/>
              </w:rPr>
              <w:t xml:space="preserve">London</w:t>
            </w:r>
            <w:r>
              <w:rPr>
                <w:rFonts w:ascii="Arial" w:hAnsi="Arial" w:eastAsia="Arial" w:cs="Arial"/>
                <w:b w:val="1"/>
              </w:rPr>
              <w:t xml:space="preserve"> </w:t>
            </w:r>
          </w:p>
          <w:p w14:paraId="25999EDF" wp14:textId="77777777">
            <w:pPr>
              <w:spacing w:before="0" w:after="0" w:line="259" w:lineRule="auto"/>
              <w:ind w:right="0" w:firstLine="0"/>
              <w:jc w:val="left"/>
            </w:pPr>
            <w:r>
              <w:rPr>
                <w:rFonts w:ascii="Arial" w:hAnsi="Arial" w:eastAsia="Arial" w:cs="Arial"/>
                <w:b w:val="1"/>
              </w:rPr>
              <w:t xml:space="preserve">ULEZ</w:t>
            </w:r>
            <w:r>
              <w:rPr/>
              <w:t xml:space="preserve"> </w:t>
            </w:r>
            <w:r>
              <w:rPr/>
              <w:t xml:space="preserve">(Local)</w:t>
            </w:r>
            <w:r>
              <w:rPr/>
              <w:t xml:space="preserve"> </w:t>
            </w:r>
          </w:p>
        </w:tc>
        <w:tc>
          <w:tcPr>
            <w:tcW w:w="2101" w:type="dxa"/>
            <w:tcBorders>
              <w:top w:val="single" w:color="c4c7c5" w:sz="6"/>
              <w:left w:val="double" w:color="c4c7c5" w:sz="6"/>
              <w:bottom w:val="single" w:color="c4c7c5" w:sz="6"/>
              <w:right w:val="double" w:color="c4c7c5" w:sz="6"/>
            </w:tcBorders>
            <w:vAlign w:val="center"/>
          </w:tcPr>
          <w:p w14:paraId="3731CC4C" wp14:textId="77777777">
            <w:pPr>
              <w:spacing w:before="0" w:after="0" w:line="361" w:lineRule="auto"/>
              <w:ind w:left="23" w:right="16" w:firstLine="0"/>
              <w:jc w:val="left"/>
            </w:pPr>
            <w:r>
              <w:rPr/>
              <w:t xml:space="preserve">Dramatic</w:t>
            </w:r>
            <w:r>
              <w:rPr/>
              <w:t xml:space="preserve"> </w:t>
            </w:r>
            <w:r>
              <w:rPr/>
              <w:t xml:space="preserve">clinical</w:t>
            </w:r>
            <w:r>
              <w:rPr/>
              <w:t xml:space="preserve"> </w:t>
            </w:r>
            <w:r>
              <w:rPr/>
              <w:t xml:space="preserve">drops</w:t>
            </w:r>
            <w:r>
              <w:rPr/>
              <w:t xml:space="preserve"> </w:t>
            </w:r>
            <w:r>
              <w:rPr/>
              <w:t xml:space="preserve">in</w:t>
            </w:r>
            <w:r>
              <w:rPr/>
              <w:t xml:space="preserve"> </w:t>
            </w:r>
          </w:p>
          <w:p w14:paraId="4A69D12F" wp14:textId="77777777">
            <w:pPr>
              <w:spacing w:before="0" w:after="0" w:line="259" w:lineRule="auto"/>
              <w:ind w:left="23" w:right="85" w:firstLine="0"/>
            </w:pPr>
            <w:r>
              <w:rPr/>
              <w:t xml:space="preserve">NO2</w:t>
            </w:r>
            <w:r>
              <w:rPr/>
              <w:t xml:space="preserve"> (-</w:t>
            </w:r>
            <w:r>
              <w:rPr/>
              <w:t xml:space="preserve">44%)</w:t>
            </w:r>
            <w:r>
              <w:rPr/>
              <w:t xml:space="preserve"> </w:t>
            </w:r>
            <w:r>
              <w:rPr/>
              <w:t xml:space="preserve">and</w:t>
            </w:r>
            <w:r>
              <w:rPr/>
              <w:t xml:space="preserve"> </w:t>
            </w:r>
            <w:r>
              <w:rPr/>
              <w:t xml:space="preserve">PM2.5</w:t>
            </w:r>
            <w:r>
              <w:rPr/>
              <w:t xml:space="preserve"> (</w:t>
            </w:r>
            <w:r>
              <w:rPr/>
              <w:t xml:space="preserve">26%).</w:t>
            </w:r>
            <w:r>
              <w:rPr/>
              <w:t xml:space="preserve"> </w:t>
            </w:r>
          </w:p>
        </w:tc>
        <w:tc>
          <w:tcPr>
            <w:tcW w:w="2291" w:type="dxa"/>
            <w:tcBorders>
              <w:top w:val="single" w:color="c4c7c5" w:sz="6"/>
              <w:left w:val="double" w:color="c4c7c5" w:sz="6"/>
              <w:bottom w:val="single" w:color="c4c7c5" w:sz="6"/>
              <w:right w:val="double" w:color="c4c7c5" w:sz="6"/>
            </w:tcBorders>
            <w:vAlign w:val="center"/>
          </w:tcPr>
          <w:p w14:paraId="30B35DF0" wp14:textId="77777777">
            <w:pPr>
              <w:spacing w:before="0" w:after="0" w:line="259" w:lineRule="auto"/>
              <w:ind w:left="23" w:right="85" w:firstLine="0"/>
            </w:pPr>
            <w:r>
              <w:rPr/>
              <w:t xml:space="preserve">Flat</w:t>
            </w:r>
            <w:r>
              <w:rPr/>
              <w:t xml:space="preserve">-</w:t>
            </w:r>
            <w:r>
              <w:rPr/>
              <w:t xml:space="preserve">rate</w:t>
            </w:r>
            <w:r>
              <w:rPr/>
              <w:t xml:space="preserve"> </w:t>
            </w:r>
            <w:r>
              <w:rPr/>
              <w:t xml:space="preserve">fee</w:t>
            </w:r>
            <w:r>
              <w:rPr/>
              <w:t xml:space="preserve"> </w:t>
            </w:r>
            <w:r>
              <w:rPr/>
              <w:t xml:space="preserve">acts</w:t>
            </w:r>
            <w:r>
              <w:rPr/>
              <w:t xml:space="preserve"> </w:t>
            </w:r>
            <w:r>
              <w:rPr/>
              <w:t xml:space="preserve">as</w:t>
            </w:r>
            <w:r>
              <w:rPr/>
              <w:t xml:space="preserve"> </w:t>
            </w:r>
            <w:r>
              <w:rPr/>
              <w:t xml:space="preserve">a</w:t>
            </w:r>
            <w:r>
              <w:rPr/>
              <w:t xml:space="preserve"> </w:t>
            </w:r>
            <w:r>
              <w:rPr/>
              <w:t xml:space="preserve">regressive</w:t>
            </w:r>
            <w:r>
              <w:rPr/>
              <w:t xml:space="preserve"> </w:t>
            </w:r>
            <w:r>
              <w:rPr/>
              <w:t xml:space="preserve">tax</w:t>
            </w:r>
            <w:r>
              <w:rPr/>
              <w:t xml:space="preserve"> </w:t>
            </w:r>
            <w:r>
              <w:rPr/>
              <w:t xml:space="preserve">on</w:t>
            </w:r>
            <w:r>
              <w:rPr/>
              <w:t xml:space="preserve"> </w:t>
            </w:r>
            <w:r>
              <w:rPr/>
              <w:t xml:space="preserve">poor</w:t>
            </w:r>
            <w:r>
              <w:rPr/>
              <w:t xml:space="preserve"> </w:t>
            </w:r>
            <w:r>
              <w:rPr/>
              <w:t xml:space="preserve">car</w:t>
            </w:r>
            <w:r>
              <w:rPr/>
            </w:r>
            <w:r>
              <w:rPr/>
              <w:t xml:space="preserve">owners.</w:t>
            </w:r>
            <w:r>
              <w:rPr/>
              <w:t xml:space="preserve"> </w:t>
            </w:r>
          </w:p>
        </w:tc>
        <w:tc>
          <w:tcPr>
            <w:tcW w:w="2663" w:type="dxa"/>
            <w:tcBorders>
              <w:top w:val="single" w:color="c4c7c5" w:sz="6"/>
              <w:left w:val="double" w:color="c4c7c5" w:sz="6"/>
              <w:bottom w:val="single" w:color="c4c7c5" w:sz="6"/>
              <w:right w:val="single" w:color="c4c7c5" w:sz="6"/>
            </w:tcBorders>
            <w:vAlign w:val="center"/>
          </w:tcPr>
          <w:p w14:paraId="32AFD615" wp14:textId="77777777">
            <w:pPr>
              <w:tabs>
                <w:tab w:val="right" w:pos="2663"/>
              </w:tabs>
              <w:spacing w:before="0" w:after="124" w:line="259" w:lineRule="auto"/>
              <w:ind w:right="0" w:firstLine="0"/>
              <w:jc w:val="left"/>
            </w:pPr>
            <w:r>
              <w:rPr/>
              <w:t xml:space="preserve">Introduce</w:t>
            </w:r>
            <w:r>
              <w:rPr/>
              <w:t xml:space="preserve"> 	</w:t>
            </w:r>
            <w:r>
              <w:rPr/>
              <w:t xml:space="preserve">means</w:t>
            </w:r>
            <w:r>
              <w:rPr/>
              <w:t xml:space="preserve">-</w:t>
            </w:r>
          </w:p>
          <w:p w14:paraId="6F2966B0" wp14:textId="77777777">
            <w:pPr>
              <w:spacing w:before="0" w:after="117" w:line="259" w:lineRule="auto"/>
              <w:ind w:right="44" w:firstLine="0"/>
              <w:jc w:val="center"/>
            </w:pPr>
            <w:r>
              <w:rPr/>
              <w:t xml:space="preserve">tested</w:t>
            </w:r>
            <w:r>
              <w:rPr/>
              <w:t xml:space="preserve"> </w:t>
            </w:r>
            <w:r>
              <w:rPr/>
              <w:t xml:space="preserve">public</w:t>
            </w:r>
            <w:r>
              <w:rPr/>
              <w:t xml:space="preserve"> </w:t>
            </w:r>
            <w:r>
              <w:rPr/>
              <w:t xml:space="preserve">transit</w:t>
            </w:r>
            <w:r>
              <w:rPr/>
              <w:t xml:space="preserve"> </w:t>
            </w:r>
          </w:p>
          <w:p w14:paraId="3AEF8770" wp14:textId="77777777">
            <w:pPr>
              <w:spacing w:before="0" w:after="0" w:line="259" w:lineRule="auto"/>
              <w:ind w:left="22" w:right="0" w:firstLine="0"/>
              <w:jc w:val="left"/>
            </w:pPr>
            <w:r>
              <w:rPr/>
              <w:t xml:space="preserve">"Mobility</w:t>
            </w:r>
            <w:r>
              <w:rPr/>
              <w:t xml:space="preserve"> </w:t>
            </w:r>
            <w:r>
              <w:rPr/>
              <w:t xml:space="preserve">Credits."</w:t>
            </w:r>
            <w:r>
              <w:rPr/>
              <w:t xml:space="preserve"> </w:t>
            </w:r>
          </w:p>
        </w:tc>
      </w:tr>
    </w:tbl>
    <w:tbl>
      <w:tblPr>
        <w:tblStyle w:val="TableGrid"/>
        <w:tblW w:w="8939" w:type="dxa"/>
        <w:tblInd w:w="48" w:type="dxa"/>
        <w:tblCellMar>
          <w:top w:w="0" w:type="dxa"/>
          <w:left w:w="0" w:type="dxa"/>
          <w:bottom w:w="0" w:type="dxa"/>
          <w:right w:w="0" w:type="dxa"/>
        </w:tblCellMar>
      </w:tblPr>
      <w:tblGrid>
        <w:gridCol w:w="1884"/>
        <w:gridCol w:w="2101"/>
        <w:gridCol w:w="2291"/>
        <w:gridCol w:w="2663"/>
      </w:tblGrid>
      <w:tr xmlns:wp14="http://schemas.microsoft.com/office/word/2010/wordml" w14:paraId="7B0C5F8B" wp14:textId="77777777">
        <w:trPr>
          <w:trHeight w:val="2326" w:hRule="atLeast"/>
        </w:trPr>
        <w:tc>
          <w:tcPr>
            <w:tcW w:w="1884" w:type="dxa"/>
            <w:tcBorders>
              <w:top w:val="single" w:color="c4c7c5" w:sz="6"/>
              <w:left w:val="single" w:color="c4c7c5" w:sz="6"/>
              <w:bottom w:val="single" w:color="c4c7c5" w:sz="6"/>
              <w:right w:val="double" w:color="c4c7c5" w:sz="6"/>
            </w:tcBorders>
            <w:vAlign w:val="center"/>
          </w:tcPr>
          <w:p w14:paraId="5F04E50E" wp14:textId="77777777">
            <w:pPr>
              <w:spacing w:before="0" w:after="118" w:line="259" w:lineRule="auto"/>
              <w:ind w:right="0" w:firstLine="0"/>
              <w:jc w:val="left"/>
            </w:pPr>
            <w:r>
              <w:rPr>
                <w:rFonts w:ascii="Arial" w:hAnsi="Arial" w:eastAsia="Arial" w:cs="Arial"/>
                <w:b w:val="1"/>
              </w:rPr>
              <w:t xml:space="preserve">Birmingham</w:t>
            </w:r>
            <w:r>
              <w:rPr>
                <w:rFonts w:ascii="Arial" w:hAnsi="Arial" w:eastAsia="Arial" w:cs="Arial"/>
                <w:b w:val="1"/>
              </w:rPr>
              <w:t xml:space="preserve"> </w:t>
            </w:r>
          </w:p>
          <w:p w14:paraId="5CE28351" wp14:textId="77777777">
            <w:pPr>
              <w:spacing w:before="0" w:after="0" w:line="259" w:lineRule="auto"/>
              <w:ind w:right="0" w:firstLine="0"/>
              <w:jc w:val="left"/>
            </w:pPr>
            <w:r>
              <w:rPr>
                <w:rFonts w:ascii="Arial" w:hAnsi="Arial" w:eastAsia="Arial" w:cs="Arial"/>
                <w:b w:val="1"/>
              </w:rPr>
              <w:t xml:space="preserve">LTNs</w:t>
            </w:r>
            <w:r>
              <w:rPr/>
              <w:t xml:space="preserve"> </w:t>
            </w:r>
            <w:r>
              <w:rPr/>
              <w:t xml:space="preserve">(Local)</w:t>
            </w:r>
            <w:r>
              <w:rPr/>
              <w:t xml:space="preserve"> </w:t>
            </w:r>
          </w:p>
        </w:tc>
        <w:tc>
          <w:tcPr>
            <w:tcW w:w="2101" w:type="dxa"/>
            <w:tcBorders>
              <w:top w:val="single" w:color="c4c7c5" w:sz="6"/>
              <w:left w:val="double" w:color="c4c7c5" w:sz="6"/>
              <w:bottom w:val="single" w:color="c4c7c5" w:sz="6"/>
              <w:right w:val="double" w:color="c4c7c5" w:sz="6"/>
            </w:tcBorders>
            <w:vAlign w:val="center"/>
          </w:tcPr>
          <w:p w14:paraId="61C2EEED" wp14:textId="77777777">
            <w:pPr>
              <w:spacing w:before="0" w:after="17" w:line="361" w:lineRule="auto"/>
              <w:ind w:left="23" w:right="0" w:firstLine="0"/>
              <w:jc w:val="left"/>
            </w:pPr>
            <w:r>
              <w:rPr/>
              <w:t xml:space="preserve">Boosted</w:t>
            </w:r>
            <w:r>
              <w:rPr/>
              <w:t xml:space="preserve"> </w:t>
            </w:r>
            <w:r>
              <w:rPr/>
              <w:t xml:space="preserve">localised</w:t>
            </w:r>
            <w:r>
              <w:rPr/>
              <w:t xml:space="preserve"> </w:t>
            </w:r>
            <w:r>
              <w:rPr/>
              <w:t xml:space="preserve">physical</w:t>
            </w:r>
            <w:r>
              <w:rPr/>
              <w:t xml:space="preserve"> </w:t>
            </w:r>
          </w:p>
          <w:p w14:paraId="59F786F7" wp14:textId="77777777">
            <w:pPr>
              <w:spacing w:before="0" w:after="0" w:line="259" w:lineRule="auto"/>
              <w:ind w:left="23" w:right="0" w:firstLine="0"/>
              <w:jc w:val="left"/>
            </w:pPr>
            <w:r>
              <w:rPr/>
              <w:t xml:space="preserve">exercise</w:t>
            </w:r>
            <w:r>
              <w:rPr/>
              <w:t xml:space="preserve"> 	</w:t>
            </w:r>
            <w:r>
              <w:rPr/>
              <w:t xml:space="preserve">and</w:t>
            </w:r>
            <w:r>
              <w:rPr/>
              <w:t xml:space="preserve"> </w:t>
            </w:r>
            <w:r>
              <w:rPr/>
              <w:t xml:space="preserve">safety.</w:t>
            </w:r>
            <w:r>
              <w:rPr/>
              <w:t xml:space="preserve"> </w:t>
            </w:r>
          </w:p>
        </w:tc>
        <w:tc>
          <w:tcPr>
            <w:tcW w:w="2291" w:type="dxa"/>
            <w:tcBorders>
              <w:top w:val="single" w:color="c4c7c5" w:sz="6"/>
              <w:left w:val="double" w:color="c4c7c5" w:sz="6"/>
              <w:bottom w:val="single" w:color="c4c7c5" w:sz="6"/>
              <w:right w:val="double" w:color="c4c7c5" w:sz="6"/>
            </w:tcBorders>
            <w:vAlign w:val="center"/>
          </w:tcPr>
          <w:p w14:paraId="544DA350" wp14:textId="77777777">
            <w:pPr>
              <w:spacing w:before="0" w:after="0" w:line="259" w:lineRule="auto"/>
              <w:ind w:left="23" w:right="0" w:firstLine="0"/>
              <w:jc w:val="left"/>
            </w:pPr>
            <w:r>
              <w:rPr/>
              <w:t xml:space="preserve">Transferred</w:t>
            </w:r>
            <w:r>
              <w:rPr/>
              <w:t xml:space="preserve"> </w:t>
            </w:r>
            <w:r>
              <w:rPr/>
              <w:t xml:space="preserve">environmental</w:t>
            </w:r>
            <w:r>
              <w:rPr/>
              <w:t xml:space="preserve"> </w:t>
            </w:r>
            <w:r>
              <w:rPr/>
              <w:t xml:space="preserve">traffic</w:t>
            </w:r>
            <w:r>
              <w:rPr/>
              <w:t xml:space="preserve"> </w:t>
            </w:r>
            <w:r>
              <w:rPr/>
              <w:t xml:space="preserve">harms</w:t>
            </w:r>
            <w:r>
              <w:rPr/>
              <w:t xml:space="preserve"> </w:t>
            </w:r>
            <w:r>
              <w:rPr/>
              <w:t xml:space="preserve">to</w:t>
            </w:r>
            <w:r>
              <w:rPr/>
              <w:t xml:space="preserve"> </w:t>
            </w:r>
            <w:r>
              <w:rPr/>
              <w:t xml:space="preserve">boundary</w:t>
            </w:r>
            <w:r>
              <w:rPr/>
              <w:t xml:space="preserve">-</w:t>
            </w:r>
            <w:r>
              <w:rPr/>
              <w:t xml:space="preserve">road</w:t>
            </w:r>
            <w:r>
              <w:rPr/>
              <w:t xml:space="preserve"> </w:t>
            </w:r>
            <w:r>
              <w:rPr/>
              <w:t xml:space="preserve">poor.</w:t>
            </w:r>
            <w:r>
              <w:rPr/>
              <w:t xml:space="preserve"> </w:t>
            </w:r>
          </w:p>
        </w:tc>
        <w:tc>
          <w:tcPr>
            <w:tcW w:w="2663" w:type="dxa"/>
            <w:tcBorders>
              <w:top w:val="single" w:color="c4c7c5" w:sz="6"/>
              <w:left w:val="double" w:color="c4c7c5" w:sz="6"/>
              <w:bottom w:val="single" w:color="c4c7c5" w:sz="6"/>
              <w:right w:val="single" w:color="c4c7c5" w:sz="6"/>
            </w:tcBorders>
            <w:vAlign w:val="center"/>
          </w:tcPr>
          <w:p w14:paraId="2A4A498C" wp14:textId="77777777">
            <w:pPr>
              <w:spacing w:before="0" w:after="0" w:line="259" w:lineRule="auto"/>
              <w:ind w:left="22" w:right="66" w:firstLine="0"/>
            </w:pPr>
            <w:r>
              <w:rPr/>
              <w:t xml:space="preserve">Adopt</w:t>
            </w:r>
            <w:r>
              <w:rPr/>
              <w:t xml:space="preserve"> </w:t>
            </w:r>
            <w:r>
              <w:rPr/>
              <w:t xml:space="preserve">"Equity</w:t>
            </w:r>
            <w:r>
              <w:rPr/>
              <w:t xml:space="preserve">-</w:t>
            </w:r>
            <w:r>
              <w:rPr/>
              <w:t xml:space="preserve">First"</w:t>
            </w:r>
            <w:r>
              <w:rPr/>
              <w:t xml:space="preserve"> </w:t>
            </w:r>
            <w:r>
              <w:rPr/>
              <w:t xml:space="preserve">planning</w:t>
            </w:r>
            <w:r>
              <w:rPr/>
              <w:t xml:space="preserve"> </w:t>
            </w:r>
            <w:r>
              <w:rPr/>
              <w:t xml:space="preserve">to</w:t>
            </w:r>
            <w:r>
              <w:rPr/>
              <w:t xml:space="preserve"> </w:t>
            </w:r>
            <w:r>
              <w:rPr/>
              <w:t xml:space="preserve">prevent</w:t>
            </w:r>
            <w:r>
              <w:rPr/>
              <w:t xml:space="preserve"> </w:t>
            </w:r>
            <w:r>
              <w:rPr/>
              <w:t xml:space="preserve">traffic</w:t>
            </w:r>
            <w:r>
              <w:rPr/>
              <w:t xml:space="preserve"> </w:t>
            </w:r>
            <w:r>
              <w:rPr/>
              <w:t xml:space="preserve">displacement.</w:t>
            </w:r>
            <w:r>
              <w:rPr/>
              <w:t xml:space="preserve"> </w:t>
            </w:r>
          </w:p>
        </w:tc>
      </w:tr>
    </w:tbl>
    <w:p xmlns:wp14="http://schemas.microsoft.com/office/word/2010/wordml" w14:paraId="0B1A40C9" wp14:textId="77777777">
      <w:pPr>
        <w:pStyle w:val="heading1"/>
        <w:spacing w:before="0" w:after="235" w:line="259" w:lineRule="auto"/>
        <w:ind w:left="250" w:hanging="265"/>
      </w:pPr>
      <w:bookmarkStart w:name="_Toc18035" w:id="18035"/>
      <w:r>
        <w:rPr/>
        <w:t xml:space="preserve">Conclusion</w:t>
      </w:r>
      <w:r>
        <w:rPr/>
        <w:t xml:space="preserve"> </w:t>
      </w:r>
      <w:bookmarkEnd w:id="18035"/>
    </w:p>
    <w:p xmlns:wp14="http://schemas.microsoft.com/office/word/2010/wordml" w14:paraId="45B01024" wp14:textId="77777777">
      <w:pPr>
        <w:pStyle w:val="normal"/>
        <w:spacing w:before="0" w:after="4" w:line="359" w:lineRule="auto"/>
        <w:ind w:left="-15" w:right="2"/>
      </w:pPr>
      <w:r>
        <w:rPr/>
        <w:t xml:space="preserve">This report has critically analysed SDG 3 and SDG 11 in the context of the UK. The legislation, such as the Future Generations (Wales) Act, and fiscal measures such as SDIL are important developments, but they are limited by economic austerity and regressive economic structures. Likewise, there are other examples in the UK: for instance, London's ULEZ and Birmingham's active travel plans illustrate how such city</w:t>
      </w:r>
      <w:r>
        <w:rPr/>
      </w:r>
      <w:r>
        <w:rPr/>
        <w:t xml:space="preserve">wide environmental projects can reinforce social inequity if they are not designed in a socially</w:t>
      </w:r>
      <w:r>
        <w:rPr/>
        <w:t xml:space="preserve"> </w:t>
      </w:r>
      <w:r>
        <w:rPr/>
        <w:t xml:space="preserve">just way. If public health improvement is to be achieved, policy makers need to go beyond top</w:t>
      </w:r>
      <w:r>
        <w:rPr/>
        <w:t xml:space="preserve">-</w:t>
      </w:r>
      <w:r>
        <w:rPr/>
        <w:t xml:space="preserve">down, one</w:t>
      </w:r>
      <w:r>
        <w:rPr/>
        <w:t xml:space="preserve">-</w:t>
      </w:r>
      <w:r>
        <w:rPr/>
        <w:t xml:space="preserve">off behavioral changes. Rather, structural and commercial determinants of health need to be broken down, with environmental sustainability structurally tied to social justice</w:t>
      </w:r>
      <w:r>
        <w:rPr/>
        <w:t xml:space="preserve">.</w:t>
      </w:r>
      <w:r>
        <w:rPr/>
        <w:t xml:space="preserve"> </w:t>
      </w:r>
    </w:p>
    <w:p xmlns:wp14="http://schemas.microsoft.com/office/word/2010/wordml" w14:paraId="459C7026" wp14:textId="77777777">
      <w:pPr>
        <w:pStyle w:val="heading1"/>
        <w:spacing w:before="0" w:after="235" w:line="259" w:lineRule="auto"/>
        <w:ind w:left="250" w:hanging="265"/>
      </w:pPr>
      <w:bookmarkStart w:name="_Toc18036" w:id="18036"/>
      <w:r>
        <w:rPr/>
        <w:t xml:space="preserve">References</w:t>
      </w:r>
      <w:r>
        <w:rPr/>
        <w:t xml:space="preserve"> </w:t>
      </w:r>
      <w:bookmarkEnd w:id="18036"/>
    </w:p>
    <w:p xmlns:wp14="http://schemas.microsoft.com/office/word/2010/wordml" w14:paraId="4920CC81" wp14:textId="77777777">
      <w:pPr>
        <w:pStyle w:val="normal"/>
        <w:numPr>
          <w:ilvl w:val="0"/>
          <w:numId w:val="1"/>
        </w:numPr>
        <w:spacing w:before="0" w:after="4" w:line="359" w:lineRule="auto"/>
        <w:ind w:left="721" w:right="2" w:hanging="360"/>
      </w:pPr>
      <w:r>
        <w:rPr/>
        <w:t xml:space="preserve">Aldred, R., Croft, J. and Goodman, A. (2021) 'Impacts of introducing Low Traffic Neighbourhoods on road traffic injuries', </w:t>
      </w:r>
      <w:r>
        <w:rPr>
          <w:rFonts w:ascii="Arial" w:hAnsi="Arial" w:eastAsia="Arial" w:cs="Arial"/>
          <w:i w:val="1"/>
        </w:rPr>
        <w:t xml:space="preserve">Findings</w:t>
      </w:r>
      <w:r>
        <w:rPr/>
        <w:t xml:space="preserve">, March, pp. 1</w:t>
      </w:r>
      <w:r>
        <w:rPr/>
        <w:t xml:space="preserve">-</w:t>
      </w:r>
      <w:r>
        <w:rPr/>
        <w:t xml:space="preserve">10.</w:t>
      </w:r>
      <w:r>
        <w:rPr/>
        <w:t xml:space="preserve"> </w:t>
      </w:r>
    </w:p>
    <w:p xmlns:wp14="http://schemas.microsoft.com/office/word/2010/wordml" w14:paraId="44A2B060" wp14:textId="77777777">
      <w:pPr>
        <w:pStyle w:val="normal"/>
        <w:numPr>
          <w:ilvl w:val="0"/>
          <w:numId w:val="1"/>
        </w:numPr>
        <w:spacing w:before="0" w:after="4" w:line="359" w:lineRule="auto"/>
        <w:ind w:left="721" w:right="2" w:hanging="360"/>
      </w:pPr>
      <w:r>
        <w:rPr/>
        <w:t xml:space="preserve">Antonovsky, A. (1996) 'The salutogenic model as a theory to guide health promotion', </w:t>
      </w:r>
      <w:r>
        <w:rPr>
          <w:rFonts w:ascii="Arial" w:hAnsi="Arial" w:eastAsia="Arial" w:cs="Arial"/>
          <w:i w:val="1"/>
        </w:rPr>
        <w:t xml:space="preserve">Health</w:t>
      </w:r>
      <w:r>
        <w:rPr>
          <w:rFonts w:ascii="Arial" w:hAnsi="Arial" w:eastAsia="Arial" w:cs="Arial"/>
          <w:i w:val="1"/>
        </w:rPr>
        <w:t xml:space="preserve"> </w:t>
      </w:r>
      <w:r>
        <w:rPr>
          <w:rFonts w:ascii="Arial" w:hAnsi="Arial" w:eastAsia="Arial" w:cs="Arial"/>
          <w:i w:val="1"/>
        </w:rPr>
        <w:t xml:space="preserve">Promotion</w:t>
      </w:r>
      <w:r>
        <w:rPr>
          <w:rFonts w:ascii="Arial" w:hAnsi="Arial" w:eastAsia="Arial" w:cs="Arial"/>
          <w:i w:val="1"/>
        </w:rPr>
        <w:t xml:space="preserve"> </w:t>
      </w:r>
      <w:r>
        <w:rPr>
          <w:rFonts w:ascii="Arial" w:hAnsi="Arial" w:eastAsia="Arial" w:cs="Arial"/>
          <w:i w:val="1"/>
        </w:rPr>
        <w:t xml:space="preserve">International</w:t>
      </w:r>
      <w:r>
        <w:rPr/>
        <w:t xml:space="preserve">, 11(1), pp. 11</w:t>
      </w:r>
      <w:r>
        <w:rPr/>
        <w:t xml:space="preserve">-</w:t>
      </w:r>
      <w:r>
        <w:rPr/>
        <w:t xml:space="preserve">18.</w:t>
      </w:r>
      <w:r>
        <w:rPr/>
        <w:t xml:space="preserve"> </w:t>
      </w:r>
    </w:p>
    <w:p xmlns:wp14="http://schemas.microsoft.com/office/word/2010/wordml" w14:paraId="61E1BA9F" wp14:textId="77777777">
      <w:pPr>
        <w:pStyle w:val="normal"/>
        <w:numPr>
          <w:ilvl w:val="0"/>
          <w:numId w:val="1"/>
        </w:numPr>
        <w:spacing w:before="0" w:after="118" w:line="259" w:lineRule="auto"/>
        <w:ind w:left="721" w:right="2" w:hanging="360"/>
      </w:pPr>
      <w:r>
        <w:rPr/>
        <w:t xml:space="preserve">Auditor General for Wales (2020) </w:t>
      </w:r>
      <w:r>
        <w:rPr>
          <w:rFonts w:ascii="Arial" w:hAnsi="Arial" w:eastAsia="Arial" w:cs="Arial"/>
          <w:i w:val="1"/>
        </w:rPr>
        <w:t xml:space="preserve">So,</w:t>
      </w:r>
      <w:r>
        <w:rPr>
          <w:rFonts w:ascii="Arial" w:hAnsi="Arial" w:eastAsia="Arial" w:cs="Arial"/>
          <w:i w:val="1"/>
        </w:rPr>
        <w:t xml:space="preserve"> </w:t>
      </w:r>
      <w:r>
        <w:rPr>
          <w:rFonts w:ascii="Arial" w:hAnsi="Arial" w:eastAsia="Arial" w:cs="Arial"/>
          <w:i w:val="1"/>
        </w:rPr>
        <w:t xml:space="preserve">what’s</w:t>
      </w:r>
      <w:r>
        <w:rPr>
          <w:rFonts w:ascii="Arial" w:hAnsi="Arial" w:eastAsia="Arial" w:cs="Arial"/>
          <w:i w:val="1"/>
        </w:rPr>
        <w:t xml:space="preserve"> </w:t>
      </w:r>
      <w:r>
        <w:rPr>
          <w:rFonts w:ascii="Arial" w:hAnsi="Arial" w:eastAsia="Arial" w:cs="Arial"/>
          <w:i w:val="1"/>
        </w:rPr>
        <w:t xml:space="preserve">different?</w:t>
      </w:r>
      <w:r>
        <w:rPr>
          <w:rFonts w:ascii="Arial" w:hAnsi="Arial" w:eastAsia="Arial" w:cs="Arial"/>
          <w:i w:val="1"/>
        </w:rPr>
        <w:t xml:space="preserve"> </w:t>
      </w:r>
      <w:r>
        <w:rPr>
          <w:rFonts w:ascii="Arial" w:hAnsi="Arial" w:eastAsia="Arial" w:cs="Arial"/>
          <w:i w:val="1"/>
        </w:rPr>
        <w:t xml:space="preserve">Findings</w:t>
      </w:r>
      <w:r>
        <w:rPr>
          <w:rFonts w:ascii="Arial" w:hAnsi="Arial" w:eastAsia="Arial" w:cs="Arial"/>
          <w:i w:val="1"/>
        </w:rPr>
        <w:t xml:space="preserve"> </w:t>
      </w:r>
      <w:r>
        <w:rPr>
          <w:rFonts w:ascii="Arial" w:hAnsi="Arial" w:eastAsia="Arial" w:cs="Arial"/>
          <w:i w:val="1"/>
        </w:rPr>
        <w:t xml:space="preserve">from</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p>
    <w:p xmlns:wp14="http://schemas.microsoft.com/office/word/2010/wordml" w14:paraId="042D05C7" wp14:textId="77777777">
      <w:pPr>
        <w:spacing w:before="0" w:after="136" w:line="259" w:lineRule="auto"/>
        <w:ind w:left="731" w:right="-13" w:hanging="10"/>
        <w:jc w:val="left"/>
      </w:pPr>
      <w:r>
        <w:rPr>
          <w:rFonts w:ascii="Arial" w:hAnsi="Arial" w:eastAsia="Arial" w:cs="Arial"/>
          <w:i w:val="1"/>
        </w:rPr>
        <w:t xml:space="preserve">Auditor</w:t>
      </w:r>
      <w:r>
        <w:rPr>
          <w:rFonts w:ascii="Arial" w:hAnsi="Arial" w:eastAsia="Arial" w:cs="Arial"/>
          <w:i w:val="1"/>
        </w:rPr>
        <w:t xml:space="preserve"> </w:t>
      </w:r>
      <w:r>
        <w:rPr>
          <w:rFonts w:ascii="Arial" w:hAnsi="Arial" w:eastAsia="Arial" w:cs="Arial"/>
          <w:i w:val="1"/>
        </w:rPr>
        <w:t xml:space="preserve">General’s</w:t>
      </w:r>
      <w:r>
        <w:rPr>
          <w:rFonts w:ascii="Arial" w:hAnsi="Arial" w:eastAsia="Arial" w:cs="Arial"/>
          <w:i w:val="1"/>
        </w:rPr>
        <w:t xml:space="preserve"> </w:t>
      </w:r>
      <w:r>
        <w:rPr>
          <w:rFonts w:ascii="Arial" w:hAnsi="Arial" w:eastAsia="Arial" w:cs="Arial"/>
          <w:i w:val="1"/>
        </w:rPr>
        <w:t xml:space="preserve">examinations</w:t>
      </w:r>
      <w:r>
        <w:rPr>
          <w:rFonts w:ascii="Arial" w:hAnsi="Arial" w:eastAsia="Arial" w:cs="Arial"/>
          <w:i w:val="1"/>
        </w:rPr>
        <w:t xml:space="preserve"> </w:t>
      </w:r>
      <w:r>
        <w:rPr>
          <w:rFonts w:ascii="Arial" w:hAnsi="Arial" w:eastAsia="Arial" w:cs="Arial"/>
          <w:i w:val="1"/>
        </w:rPr>
        <w:t xml:space="preserve">on</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Sustainable</w:t>
      </w:r>
      <w:r>
        <w:rPr>
          <w:rFonts w:ascii="Arial" w:hAnsi="Arial" w:eastAsia="Arial" w:cs="Arial"/>
          <w:i w:val="1"/>
        </w:rPr>
        <w:t xml:space="preserve"> </w:t>
      </w:r>
      <w:r>
        <w:rPr>
          <w:rFonts w:ascii="Arial" w:hAnsi="Arial" w:eastAsia="Arial" w:cs="Arial"/>
          <w:i w:val="1"/>
        </w:rPr>
        <w:t xml:space="preserve">Development</w:t>
      </w:r>
      <w:r>
        <w:rPr>
          <w:rFonts w:ascii="Arial" w:hAnsi="Arial" w:eastAsia="Arial" w:cs="Arial"/>
          <w:i w:val="1"/>
        </w:rPr>
        <w:t xml:space="preserve"> </w:t>
      </w:r>
      <w:r>
        <w:rPr>
          <w:rFonts w:ascii="Arial" w:hAnsi="Arial" w:eastAsia="Arial" w:cs="Arial"/>
          <w:i w:val="1"/>
        </w:rPr>
        <w:t xml:space="preserve">Principle</w:t>
      </w:r>
      <w:r>
        <w:rPr/>
        <w:t xml:space="preserve">. </w:t>
      </w:r>
    </w:p>
    <w:p xmlns:wp14="http://schemas.microsoft.com/office/word/2010/wordml" w14:paraId="606472DF" wp14:textId="77777777">
      <w:pPr>
        <w:pStyle w:val="normal"/>
        <w:tabs>
          <w:tab w:val="center" w:pos="1108"/>
          <w:tab w:val="center" w:pos="2705"/>
          <w:tab w:val="center" w:pos="4190"/>
          <w:tab w:val="center" w:pos="5685"/>
          <w:tab w:val="center" w:pos="7393"/>
          <w:tab w:val="right" w:pos="9036"/>
        </w:tabs>
        <w:spacing w:before="0" w:after="119" w:line="259" w:lineRule="auto"/>
        <w:ind w:right="0" w:firstLine="0"/>
        <w:jc w:val="left"/>
      </w:pPr>
      <w:r>
        <w:rPr>
          <w:rFonts w:ascii="Calibri" w:hAnsi="Calibri" w:eastAsia="Calibri" w:cs="Calibri"/>
          <w:color w:val="000000"/>
          <w:sz w:val="22"/>
        </w:rPr>
        <w:t xml:space="preserve">	</w:t>
      </w:r>
      <w:r>
        <w:rPr/>
        <w:t xml:space="preserve">Cardiff: 	Wales 	Audit 	Office. 	Available 	at: </w:t>
      </w:r>
    </w:p>
    <w:p xmlns:wp14="http://schemas.microsoft.com/office/word/2010/wordml" w14:paraId="1069EB94" wp14:textId="77777777">
      <w:pPr>
        <w:pStyle w:val="normal"/>
        <w:spacing w:before="0" w:after="4" w:line="359" w:lineRule="auto"/>
        <w:ind w:left="721" w:right="2" w:firstLine="0"/>
      </w:pPr>
      <w:r>
        <w:rPr/>
        <w:t xml:space="preserve">https://www.audit.wales/sites/default/files/Well</w:t>
      </w:r>
      <w:r>
        <w:rPr/>
        <w:t xml:space="preserve">-</w:t>
      </w:r>
      <w:r>
        <w:rPr/>
        <w:t xml:space="preserve">being</w:t>
      </w:r>
      <w:r>
        <w:rPr/>
        <w:t xml:space="preserve">-</w:t>
      </w:r>
      <w:r>
        <w:rPr/>
        <w:t xml:space="preserve">of</w:t>
      </w:r>
      <w:r>
        <w:rPr/>
        <w:t xml:space="preserve">-</w:t>
      </w:r>
      <w:r>
        <w:rPr/>
        <w:t xml:space="preserve">Future</w:t>
      </w:r>
      <w:r>
        <w:rPr/>
        <w:t xml:space="preserve">-</w:t>
      </w:r>
      <w:r>
        <w:rPr/>
        <w:t xml:space="preserve">Generations</w:t>
      </w:r>
      <w:r>
        <w:rPr/>
      </w:r>
      <w:r>
        <w:rPr/>
        <w:t xml:space="preserve">report</w:t>
      </w:r>
      <w:r>
        <w:rPr/>
        <w:t xml:space="preserve">-</w:t>
      </w:r>
      <w:r>
        <w:rPr/>
        <w:t xml:space="preserve">eng_11.pdf</w:t>
      </w:r>
      <w:r>
        <w:rPr/>
        <w:t xml:space="preserve"> </w:t>
      </w:r>
    </w:p>
    <w:p xmlns:wp14="http://schemas.microsoft.com/office/word/2010/wordml" w14:paraId="1793BC34" wp14:textId="77777777">
      <w:pPr>
        <w:numPr>
          <w:ilvl w:val="0"/>
          <w:numId w:val="1"/>
        </w:numPr>
        <w:spacing w:before="0" w:after="136" w:line="259" w:lineRule="auto"/>
        <w:ind w:left="721" w:right="2" w:hanging="360"/>
      </w:pPr>
      <w:r>
        <w:rPr/>
        <w:t xml:space="preserve">Birmingham City Council (2020) </w:t>
      </w:r>
      <w:r>
        <w:rPr>
          <w:rFonts w:ascii="Arial" w:hAnsi="Arial" w:eastAsia="Arial" w:cs="Arial"/>
          <w:i w:val="1"/>
        </w:rPr>
        <w:t xml:space="preserve">Birmingham</w:t>
      </w:r>
      <w:r>
        <w:rPr>
          <w:rFonts w:ascii="Arial" w:hAnsi="Arial" w:eastAsia="Arial" w:cs="Arial"/>
          <w:i w:val="1"/>
        </w:rPr>
        <w:t xml:space="preserve"> </w:t>
      </w:r>
      <w:r>
        <w:rPr>
          <w:rFonts w:ascii="Arial" w:hAnsi="Arial" w:eastAsia="Arial" w:cs="Arial"/>
          <w:i w:val="1"/>
        </w:rPr>
        <w:t xml:space="preserve">Emergency</w:t>
      </w:r>
      <w:r>
        <w:rPr>
          <w:rFonts w:ascii="Arial" w:hAnsi="Arial" w:eastAsia="Arial" w:cs="Arial"/>
          <w:i w:val="1"/>
        </w:rPr>
        <w:t xml:space="preserve"> </w:t>
      </w:r>
      <w:r>
        <w:rPr>
          <w:rFonts w:ascii="Arial" w:hAnsi="Arial" w:eastAsia="Arial" w:cs="Arial"/>
          <w:i w:val="1"/>
        </w:rPr>
        <w:t xml:space="preserve">Active</w:t>
      </w:r>
      <w:r>
        <w:rPr>
          <w:rFonts w:ascii="Arial" w:hAnsi="Arial" w:eastAsia="Arial" w:cs="Arial"/>
          <w:i w:val="1"/>
        </w:rPr>
        <w:t xml:space="preserve"> </w:t>
      </w:r>
      <w:r>
        <w:rPr>
          <w:rFonts w:ascii="Arial" w:hAnsi="Arial" w:eastAsia="Arial" w:cs="Arial"/>
          <w:i w:val="1"/>
        </w:rPr>
        <w:t xml:space="preserve">Travel</w:t>
      </w:r>
      <w:r>
        <w:rPr>
          <w:rFonts w:ascii="Arial" w:hAnsi="Arial" w:eastAsia="Arial" w:cs="Arial"/>
          <w:i w:val="1"/>
        </w:rPr>
        <w:t xml:space="preserve"> </w:t>
      </w:r>
      <w:r>
        <w:rPr>
          <w:rFonts w:ascii="Arial" w:hAnsi="Arial" w:eastAsia="Arial" w:cs="Arial"/>
          <w:i w:val="1"/>
        </w:rPr>
        <w:t xml:space="preserve">Plan</w:t>
      </w:r>
      <w:r>
        <w:rPr/>
        <w:t xml:space="preserve">. </w:t>
      </w:r>
    </w:p>
    <w:p xmlns:wp14="http://schemas.microsoft.com/office/word/2010/wordml" w14:paraId="39A9B88F" wp14:textId="77777777">
      <w:pPr>
        <w:pStyle w:val="normal"/>
        <w:tabs>
          <w:tab w:val="center" w:pos="1396"/>
          <w:tab w:val="center" w:pos="3342"/>
          <w:tab w:val="center" w:pos="4819"/>
          <w:tab w:val="center" w:pos="6090"/>
          <w:tab w:val="center" w:pos="7642"/>
          <w:tab w:val="right" w:pos="9036"/>
        </w:tabs>
        <w:spacing w:before="0" w:after="124" w:line="259" w:lineRule="auto"/>
        <w:ind w:right="0" w:firstLine="0"/>
        <w:jc w:val="left"/>
      </w:pPr>
      <w:r>
        <w:rPr>
          <w:rFonts w:ascii="Calibri" w:hAnsi="Calibri" w:eastAsia="Calibri" w:cs="Calibri"/>
          <w:color w:val="000000"/>
          <w:sz w:val="22"/>
        </w:rPr>
        <w:t xml:space="preserve">	</w:t>
      </w:r>
      <w:r>
        <w:rPr/>
        <w:t xml:space="preserve">Birmingham: 	Birmingham 	City 	Council. 	Available 	at: </w:t>
      </w:r>
    </w:p>
    <w:p xmlns:wp14="http://schemas.microsoft.com/office/word/2010/wordml" w14:paraId="1732FD10" wp14:textId="77777777">
      <w:pPr>
        <w:pStyle w:val="normal"/>
        <w:spacing w:before="0" w:after="4" w:line="359" w:lineRule="auto"/>
        <w:ind w:left="721" w:right="2" w:firstLine="0"/>
      </w:pPr>
      <w:r>
        <w:rPr/>
        <w:t xml:space="preserve">https://docslib.org/doc/9966552/emergency</w:t>
      </w:r>
      <w:r>
        <w:rPr/>
        <w:t xml:space="preserve">-</w:t>
      </w:r>
      <w:r>
        <w:rPr/>
        <w:t xml:space="preserve">birmingham</w:t>
      </w:r>
      <w:r>
        <w:rPr/>
        <w:t xml:space="preserve">-</w:t>
      </w:r>
      <w:r>
        <w:rPr/>
        <w:t xml:space="preserve">transport</w:t>
      </w:r>
      <w:r>
        <w:rPr/>
        <w:t xml:space="preserve">-</w:t>
      </w:r>
      <w:r>
        <w:rPr/>
        <w:t xml:space="preserve">plan</w:t>
      </w:r>
      <w:r>
        <w:rPr/>
      </w:r>
      <w:r>
        <w:rPr/>
        <w:t xml:space="preserve">update</w:t>
      </w:r>
      <w:r>
        <w:rPr/>
        <w:t xml:space="preserve">-</w:t>
      </w:r>
      <w:r>
        <w:rPr/>
        <w:t xml:space="preserve">including</w:t>
      </w:r>
      <w:r>
        <w:rPr/>
        <w:t xml:space="preserve">-</w:t>
      </w:r>
      <w:r>
        <w:rPr/>
        <w:t xml:space="preserve">emergency</w:t>
      </w:r>
      <w:r>
        <w:rPr/>
        <w:t xml:space="preserve">-</w:t>
      </w:r>
      <w:r>
        <w:rPr/>
        <w:t xml:space="preserve">active</w:t>
      </w:r>
      <w:r>
        <w:rPr/>
        <w:t xml:space="preserve">-</w:t>
      </w:r>
      <w:r>
        <w:rPr/>
        <w:t xml:space="preserve">travel</w:t>
      </w:r>
      <w:r>
        <w:rPr/>
        <w:t xml:space="preserve">-</w:t>
      </w:r>
      <w:r>
        <w:rPr/>
        <w:t xml:space="preserve">fund</w:t>
      </w:r>
      <w:r>
        <w:rPr/>
        <w:t xml:space="preserve"> </w:t>
      </w:r>
    </w:p>
    <w:p xmlns:wp14="http://schemas.microsoft.com/office/word/2010/wordml" w14:paraId="2F9074D7" wp14:textId="77777777">
      <w:pPr>
        <w:pStyle w:val="normal"/>
        <w:numPr>
          <w:ilvl w:val="0"/>
          <w:numId w:val="1"/>
        </w:numPr>
        <w:spacing w:before="0" w:after="117" w:line="259" w:lineRule="auto"/>
        <w:ind w:left="721" w:right="2" w:hanging="360"/>
      </w:pPr>
      <w:r>
        <w:rPr/>
        <w:t xml:space="preserve">Birmingham Voluntary Service Council [BVSC] (2022) </w:t>
      </w:r>
      <w:r>
        <w:rPr>
          <w:rFonts w:ascii="Arial" w:hAnsi="Arial" w:eastAsia="Arial" w:cs="Arial"/>
          <w:i w:val="1"/>
        </w:rPr>
        <w:t xml:space="preserve">Health</w:t>
      </w:r>
      <w:r>
        <w:rPr>
          <w:rFonts w:ascii="Arial" w:hAnsi="Arial" w:eastAsia="Arial" w:cs="Arial"/>
          <w:i w:val="1"/>
        </w:rPr>
        <w:t xml:space="preserve"> </w:t>
      </w:r>
      <w:r>
        <w:rPr>
          <w:rFonts w:ascii="Arial" w:hAnsi="Arial" w:eastAsia="Arial" w:cs="Arial"/>
          <w:i w:val="1"/>
        </w:rPr>
        <w:t xml:space="preserve">Inequalities</w:t>
      </w:r>
      <w:r>
        <w:rPr>
          <w:rFonts w:ascii="Arial" w:hAnsi="Arial" w:eastAsia="Arial" w:cs="Arial"/>
          <w:i w:val="1"/>
        </w:rPr>
        <w:t xml:space="preserve"> </w:t>
      </w:r>
      <w:r>
        <w:rPr>
          <w:rFonts w:ascii="Arial" w:hAnsi="Arial" w:eastAsia="Arial" w:cs="Arial"/>
          <w:i w:val="1"/>
        </w:rPr>
        <w:t xml:space="preserve">in</w:t>
      </w:r>
      <w:r>
        <w:rPr>
          <w:rFonts w:ascii="Arial" w:hAnsi="Arial" w:eastAsia="Arial" w:cs="Arial"/>
          <w:i w:val="1"/>
        </w:rPr>
        <w:t xml:space="preserve"> </w:t>
      </w:r>
    </w:p>
    <w:p xmlns:wp14="http://schemas.microsoft.com/office/word/2010/wordml" w14:paraId="2C0AA891" wp14:textId="77777777">
      <w:pPr>
        <w:spacing w:before="0" w:after="136" w:line="259" w:lineRule="auto"/>
        <w:ind w:left="731" w:right="-13" w:hanging="10"/>
        <w:jc w:val="left"/>
      </w:pPr>
      <w:r>
        <w:rPr>
          <w:rFonts w:ascii="Arial" w:hAnsi="Arial" w:eastAsia="Arial" w:cs="Arial"/>
          <w:i w:val="1"/>
        </w:rPr>
        <w:t xml:space="preserve">Birmingham:</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Impact</w:t>
      </w:r>
      <w:r>
        <w:rPr>
          <w:rFonts w:ascii="Arial" w:hAnsi="Arial" w:eastAsia="Arial" w:cs="Arial"/>
          <w:i w:val="1"/>
        </w:rPr>
        <w:t xml:space="preserve"> </w:t>
      </w:r>
      <w:r>
        <w:rPr>
          <w:rFonts w:ascii="Arial" w:hAnsi="Arial" w:eastAsia="Arial" w:cs="Arial"/>
          <w:i w:val="1"/>
        </w:rPr>
        <w:t xml:space="preserve">of</w:t>
      </w:r>
      <w:r>
        <w:rPr>
          <w:rFonts w:ascii="Arial" w:hAnsi="Arial" w:eastAsia="Arial" w:cs="Arial"/>
          <w:i w:val="1"/>
        </w:rPr>
        <w:t xml:space="preserve"> </w:t>
      </w:r>
      <w:r>
        <w:rPr>
          <w:rFonts w:ascii="Arial" w:hAnsi="Arial" w:eastAsia="Arial" w:cs="Arial"/>
          <w:i w:val="1"/>
        </w:rPr>
        <w:t xml:space="preserve">Low</w:t>
      </w:r>
      <w:r>
        <w:rPr>
          <w:rFonts w:ascii="Arial" w:hAnsi="Arial" w:eastAsia="Arial" w:cs="Arial"/>
          <w:i w:val="1"/>
        </w:rPr>
        <w:t xml:space="preserve"> </w:t>
      </w:r>
      <w:r>
        <w:rPr>
          <w:rFonts w:ascii="Arial" w:hAnsi="Arial" w:eastAsia="Arial" w:cs="Arial"/>
          <w:i w:val="1"/>
        </w:rPr>
        <w:t xml:space="preserve">Traffic</w:t>
      </w:r>
      <w:r>
        <w:rPr>
          <w:rFonts w:ascii="Arial" w:hAnsi="Arial" w:eastAsia="Arial" w:cs="Arial"/>
          <w:i w:val="1"/>
        </w:rPr>
        <w:t xml:space="preserve"> </w:t>
      </w:r>
      <w:r>
        <w:rPr>
          <w:rFonts w:ascii="Arial" w:hAnsi="Arial" w:eastAsia="Arial" w:cs="Arial"/>
          <w:i w:val="1"/>
        </w:rPr>
        <w:t xml:space="preserve">Neighbourhoods</w:t>
      </w:r>
      <w:r>
        <w:rPr>
          <w:rFonts w:ascii="Arial" w:hAnsi="Arial" w:eastAsia="Arial" w:cs="Arial"/>
          <w:i w:val="1"/>
        </w:rPr>
        <w:t xml:space="preserve"> </w:t>
      </w:r>
      <w:r>
        <w:rPr>
          <w:rFonts w:ascii="Arial" w:hAnsi="Arial" w:eastAsia="Arial" w:cs="Arial"/>
          <w:i w:val="1"/>
        </w:rPr>
        <w:t xml:space="preserve">on</w:t>
      </w:r>
      <w:r>
        <w:rPr>
          <w:rFonts w:ascii="Arial" w:hAnsi="Arial" w:eastAsia="Arial" w:cs="Arial"/>
          <w:i w:val="1"/>
        </w:rPr>
        <w:t xml:space="preserve"> </w:t>
      </w:r>
      <w:r>
        <w:rPr>
          <w:rFonts w:ascii="Arial" w:hAnsi="Arial" w:eastAsia="Arial" w:cs="Arial"/>
          <w:i w:val="1"/>
        </w:rPr>
        <w:t xml:space="preserve">Marginalised</w:t>
      </w:r>
      <w:r>
        <w:rPr>
          <w:rFonts w:ascii="Arial" w:hAnsi="Arial" w:eastAsia="Arial" w:cs="Arial"/>
          <w:i w:val="1"/>
        </w:rPr>
        <w:t xml:space="preserve"> </w:t>
      </w:r>
    </w:p>
    <w:p xmlns:wp14="http://schemas.microsoft.com/office/word/2010/wordml" w14:paraId="1EC79BCC" wp14:textId="77777777">
      <w:pPr>
        <w:pStyle w:val="normal"/>
        <w:tabs>
          <w:tab w:val="center" w:pos="1457"/>
          <w:tab w:val="center" w:pos="3747"/>
          <w:tab w:val="center" w:pos="5662"/>
          <w:tab w:val="center" w:pos="7390"/>
          <w:tab w:val="right" w:pos="9036"/>
        </w:tabs>
        <w:spacing w:before="0" w:after="119" w:line="259" w:lineRule="auto"/>
        <w:ind w:right="0" w:firstLine="0"/>
        <w:jc w:val="left"/>
      </w:pPr>
      <w:r>
        <w:rPr>
          <w:rFonts w:ascii="Calibri" w:hAnsi="Calibri" w:eastAsia="Calibri" w:cs="Calibri"/>
          <w:color w:val="000000"/>
          <w:sz w:val="22"/>
        </w:rPr>
        <w:t xml:space="preserve">	</w:t>
      </w:r>
      <w:r>
        <w:rPr>
          <w:rFonts w:ascii="Arial" w:hAnsi="Arial" w:eastAsia="Arial" w:cs="Arial"/>
          <w:i w:val="1"/>
        </w:rPr>
        <w:t xml:space="preserve">Communities</w:t>
      </w:r>
      <w:r>
        <w:rPr/>
        <w:t xml:space="preserve">. 	Birmingham: 	BVSC. 	Available 	at: </w:t>
      </w:r>
    </w:p>
    <w:p xmlns:wp14="http://schemas.microsoft.com/office/word/2010/wordml" w14:paraId="4CB46A56" wp14:textId="77777777">
      <w:pPr>
        <w:pStyle w:val="normal"/>
        <w:spacing w:before="0" w:after="117" w:line="259" w:lineRule="auto"/>
        <w:ind w:left="721" w:right="2" w:firstLine="0"/>
      </w:pPr>
      <w:r>
        <w:rPr/>
        <w:t xml:space="preserve">https://www.aston.ac.uk/sites/default/files/2024</w:t>
      </w:r>
      <w:r>
        <w:rPr/>
        <w:t xml:space="preserve">-</w:t>
      </w:r>
    </w:p>
    <w:p xmlns:wp14="http://schemas.microsoft.com/office/word/2010/wordml" w14:paraId="258D94EB" wp14:textId="77777777">
      <w:pPr>
        <w:pStyle w:val="normal"/>
        <w:spacing w:before="0" w:after="118" w:line="259" w:lineRule="auto"/>
        <w:ind w:left="721" w:right="2" w:firstLine="0"/>
      </w:pPr>
      <w:r>
        <w:rPr/>
        <w:t xml:space="preserve">01/Health%20inequalities%202023%20Report%20sp.pdf</w:t>
      </w:r>
      <w:r>
        <w:rPr/>
        <w:t xml:space="preserve"> </w:t>
      </w:r>
    </w:p>
    <w:p xmlns:wp14="http://schemas.microsoft.com/office/word/2010/wordml" w14:paraId="7A580863" wp14:textId="77777777">
      <w:pPr>
        <w:numPr>
          <w:ilvl w:val="0"/>
          <w:numId w:val="1"/>
        </w:numPr>
        <w:spacing w:before="0" w:after="3" w:line="359" w:lineRule="auto"/>
        <w:ind w:left="721" w:right="2" w:hanging="360"/>
      </w:pPr>
      <w:r>
        <w:rPr>
          <w:rFonts w:ascii="Arial" w:hAnsi="Arial" w:eastAsia="Arial" w:cs="Arial"/>
          <w:color w:val="222222"/>
        </w:rPr>
        <w:t xml:space="preserve">Bressane, A., da Cunha Pinto, J.P. and de Castro Medeiros, L.C., 2024. Urban green space disparities: Implications of environmental injustice for public health.</w:t>
      </w:r>
      <w:r>
        <w:rPr>
          <w:color w:val="222222"/>
        </w:rPr>
        <w:t xml:space="preserve"> </w:t>
      </w:r>
      <w:r>
        <w:rPr>
          <w:rFonts w:ascii="Arial" w:hAnsi="Arial" w:eastAsia="Arial" w:cs="Arial"/>
          <w:i w:val="1"/>
          <w:color w:val="222222"/>
        </w:rPr>
        <w:t xml:space="preserve">Urban Forestry &amp; Urban Greening</w:t>
      </w:r>
      <w:r>
        <w:rPr>
          <w:rFonts w:ascii="Arial" w:hAnsi="Arial" w:eastAsia="Arial" w:cs="Arial"/>
          <w:color w:val="222222"/>
        </w:rPr>
        <w:t xml:space="preserve">,</w:t>
      </w:r>
      <w:r>
        <w:rPr>
          <w:color w:val="222222"/>
        </w:rPr>
        <w:t xml:space="preserve"> </w:t>
      </w:r>
      <w:r>
        <w:rPr>
          <w:rFonts w:ascii="Arial" w:hAnsi="Arial" w:eastAsia="Arial" w:cs="Arial"/>
          <w:i w:val="1"/>
          <w:color w:val="222222"/>
        </w:rPr>
        <w:t xml:space="preserve">99</w:t>
      </w:r>
      <w:r>
        <w:rPr>
          <w:rFonts w:ascii="Arial" w:hAnsi="Arial" w:eastAsia="Arial" w:cs="Arial"/>
          <w:color w:val="222222"/>
        </w:rPr>
        <w:t xml:space="preserve">, p.128441.</w:t>
      </w:r>
      <w:r>
        <w:rPr/>
        <w:t xml:space="preserve"> </w:t>
      </w:r>
    </w:p>
    <w:p xmlns:wp14="http://schemas.microsoft.com/office/word/2010/wordml" w14:paraId="44B071AB" wp14:textId="77777777">
      <w:pPr>
        <w:pStyle w:val="normal"/>
        <w:numPr>
          <w:ilvl w:val="0"/>
          <w:numId w:val="1"/>
        </w:numPr>
        <w:spacing w:before="0" w:after="4" w:line="359" w:lineRule="auto"/>
        <w:ind w:left="721" w:right="2" w:hanging="360"/>
      </w:pPr>
      <w:r>
        <w:rPr/>
        <w:t xml:space="preserve">Buse, K. and Hawkes, S. (2015) 'Health in the post</w:t>
      </w:r>
      <w:r>
        <w:rPr/>
        <w:t xml:space="preserve">-</w:t>
      </w:r>
      <w:r>
        <w:rPr/>
        <w:t xml:space="preserve">2015 development agenda: integrating the social, economic and environmental dimensions', </w:t>
      </w:r>
      <w:r>
        <w:rPr>
          <w:rFonts w:ascii="Arial" w:hAnsi="Arial" w:eastAsia="Arial" w:cs="Arial"/>
          <w:i w:val="1"/>
        </w:rPr>
        <w:t xml:space="preserve">Globalisation</w:t>
      </w:r>
      <w:r>
        <w:rPr>
          <w:rFonts w:ascii="Arial" w:hAnsi="Arial" w:eastAsia="Arial" w:cs="Arial"/>
          <w:i w:val="1"/>
        </w:rPr>
        <w:t xml:space="preserve"> </w:t>
      </w:r>
      <w:r>
        <w:rPr>
          <w:rFonts w:ascii="Arial" w:hAnsi="Arial" w:eastAsia="Arial" w:cs="Arial"/>
          <w:i w:val="1"/>
        </w:rPr>
        <w:t xml:space="preserve">and</w:t>
      </w:r>
      <w:r>
        <w:rPr>
          <w:rFonts w:ascii="Arial" w:hAnsi="Arial" w:eastAsia="Arial" w:cs="Arial"/>
          <w:i w:val="1"/>
        </w:rPr>
        <w:t xml:space="preserve"> </w:t>
      </w:r>
      <w:r>
        <w:rPr>
          <w:rFonts w:ascii="Arial" w:hAnsi="Arial" w:eastAsia="Arial" w:cs="Arial"/>
          <w:i w:val="1"/>
        </w:rPr>
        <w:t xml:space="preserve">Health</w:t>
      </w:r>
      <w:r>
        <w:rPr/>
        <w:t xml:space="preserve">, 11(1), pp. 1</w:t>
      </w:r>
      <w:r>
        <w:rPr/>
        <w:t xml:space="preserve">-</w:t>
      </w:r>
      <w:r>
        <w:rPr/>
        <w:t xml:space="preserve">10.</w:t>
      </w:r>
      <w:r>
        <w:rPr/>
        <w:t xml:space="preserve"> </w:t>
      </w:r>
    </w:p>
    <w:p xmlns:wp14="http://schemas.microsoft.com/office/word/2010/wordml" w14:paraId="4C2D3B73" wp14:textId="77777777">
      <w:pPr>
        <w:pStyle w:val="normal"/>
        <w:numPr>
          <w:ilvl w:val="0"/>
          <w:numId w:val="1"/>
        </w:numPr>
        <w:spacing w:before="0" w:after="4" w:line="359" w:lineRule="auto"/>
        <w:ind w:left="721" w:right="2" w:hanging="360"/>
      </w:pPr>
      <w:r>
        <w:rPr/>
        <w:t xml:space="preserve">Cole, H.V., Lamarca, M., Connolly, J.J. and Anguelovski, I. (2021) 'Are green cities healthy and equitable? Unpacking the relationship between "green gentrification" and environmental justice', </w:t>
      </w:r>
      <w:r>
        <w:rPr>
          <w:rFonts w:ascii="Arial" w:hAnsi="Arial" w:eastAsia="Arial" w:cs="Arial"/>
          <w:i w:val="1"/>
        </w:rPr>
        <w:t xml:space="preserve">Journal</w:t>
      </w:r>
      <w:r>
        <w:rPr>
          <w:rFonts w:ascii="Arial" w:hAnsi="Arial" w:eastAsia="Arial" w:cs="Arial"/>
          <w:i w:val="1"/>
        </w:rPr>
        <w:t xml:space="preserve"> </w:t>
      </w:r>
      <w:r>
        <w:rPr>
          <w:rFonts w:ascii="Arial" w:hAnsi="Arial" w:eastAsia="Arial" w:cs="Arial"/>
          <w:i w:val="1"/>
        </w:rPr>
        <w:t xml:space="preserve">of</w:t>
      </w:r>
      <w:r>
        <w:rPr>
          <w:rFonts w:ascii="Arial" w:hAnsi="Arial" w:eastAsia="Arial" w:cs="Arial"/>
          <w:i w:val="1"/>
        </w:rPr>
        <w:t xml:space="preserve"> </w:t>
      </w:r>
      <w:r>
        <w:rPr>
          <w:rFonts w:ascii="Arial" w:hAnsi="Arial" w:eastAsia="Arial" w:cs="Arial"/>
          <w:i w:val="1"/>
        </w:rPr>
        <w:t xml:space="preserve">Epidemiology</w:t>
      </w:r>
      <w:r>
        <w:rPr>
          <w:rFonts w:ascii="Arial" w:hAnsi="Arial" w:eastAsia="Arial" w:cs="Arial"/>
          <w:i w:val="1"/>
        </w:rPr>
        <w:t xml:space="preserve"> </w:t>
      </w:r>
      <w:r>
        <w:rPr>
          <w:rFonts w:ascii="Arial" w:hAnsi="Arial" w:eastAsia="Arial" w:cs="Arial"/>
          <w:i w:val="1"/>
        </w:rPr>
        <w:t xml:space="preserve">and</w:t>
      </w:r>
      <w:r>
        <w:rPr>
          <w:rFonts w:ascii="Arial" w:hAnsi="Arial" w:eastAsia="Arial" w:cs="Arial"/>
          <w:i w:val="1"/>
        </w:rPr>
        <w:t xml:space="preserve"> </w:t>
      </w:r>
      <w:r>
        <w:rPr>
          <w:rFonts w:ascii="Arial" w:hAnsi="Arial" w:eastAsia="Arial" w:cs="Arial"/>
          <w:i w:val="1"/>
        </w:rPr>
        <w:t xml:space="preserve">Community</w:t>
      </w:r>
      <w:r>
        <w:rPr>
          <w:rFonts w:ascii="Arial" w:hAnsi="Arial" w:eastAsia="Arial" w:cs="Arial"/>
          <w:i w:val="1"/>
        </w:rPr>
        <w:t xml:space="preserve"> </w:t>
      </w:r>
      <w:r>
        <w:rPr>
          <w:rFonts w:ascii="Arial" w:hAnsi="Arial" w:eastAsia="Arial" w:cs="Arial"/>
          <w:i w:val="1"/>
        </w:rPr>
        <w:t xml:space="preserve">Health</w:t>
      </w:r>
      <w:r>
        <w:rPr/>
        <w:t xml:space="preserve">, 75(11), pp. 1104</w:t>
      </w:r>
      <w:r>
        <w:rPr/>
        <w:t xml:space="preserve">-</w:t>
      </w:r>
      <w:r>
        <w:rPr/>
        <w:t xml:space="preserve">1108.</w:t>
      </w:r>
      <w:r>
        <w:rPr/>
        <w:t xml:space="preserve"> </w:t>
      </w:r>
    </w:p>
    <w:p xmlns:wp14="http://schemas.microsoft.com/office/word/2010/wordml" w14:paraId="56EF3250" wp14:textId="77777777">
      <w:pPr>
        <w:pStyle w:val="normal"/>
        <w:numPr>
          <w:ilvl w:val="0"/>
          <w:numId w:val="1"/>
        </w:numPr>
        <w:spacing w:before="0" w:after="4" w:line="359" w:lineRule="auto"/>
        <w:ind w:left="721" w:right="2" w:hanging="360"/>
      </w:pPr>
      <w:r>
        <w:rPr/>
        <w:t xml:space="preserve">Dahlgren, G. and Whitehead, M. (1991) </w:t>
      </w:r>
      <w:r>
        <w:rPr>
          <w:rFonts w:ascii="Arial" w:hAnsi="Arial" w:eastAsia="Arial" w:cs="Arial"/>
          <w:i w:val="1"/>
        </w:rPr>
        <w:t xml:space="preserve">Policies</w:t>
      </w:r>
      <w:r>
        <w:rPr>
          <w:rFonts w:ascii="Arial" w:hAnsi="Arial" w:eastAsia="Arial" w:cs="Arial"/>
          <w:i w:val="1"/>
        </w:rPr>
        <w:t xml:space="preserve"> </w:t>
      </w:r>
      <w:r>
        <w:rPr>
          <w:rFonts w:ascii="Arial" w:hAnsi="Arial" w:eastAsia="Arial" w:cs="Arial"/>
          <w:i w:val="1"/>
        </w:rPr>
        <w:t xml:space="preserve">and</w:t>
      </w:r>
      <w:r>
        <w:rPr>
          <w:rFonts w:ascii="Arial" w:hAnsi="Arial" w:eastAsia="Arial" w:cs="Arial"/>
          <w:i w:val="1"/>
        </w:rPr>
        <w:t xml:space="preserve"> </w:t>
      </w:r>
      <w:r>
        <w:rPr>
          <w:rFonts w:ascii="Arial" w:hAnsi="Arial" w:eastAsia="Arial" w:cs="Arial"/>
          <w:i w:val="1"/>
        </w:rPr>
        <w:t xml:space="preserve">Strategies</w:t>
      </w:r>
      <w:r>
        <w:rPr>
          <w:rFonts w:ascii="Arial" w:hAnsi="Arial" w:eastAsia="Arial" w:cs="Arial"/>
          <w:i w:val="1"/>
        </w:rPr>
        <w:t xml:space="preserve"> </w:t>
      </w:r>
      <w:r>
        <w:rPr>
          <w:rFonts w:ascii="Arial" w:hAnsi="Arial" w:eastAsia="Arial" w:cs="Arial"/>
          <w:i w:val="1"/>
        </w:rPr>
        <w:t xml:space="preserve">to</w:t>
      </w:r>
      <w:r>
        <w:rPr>
          <w:rFonts w:ascii="Arial" w:hAnsi="Arial" w:eastAsia="Arial" w:cs="Arial"/>
          <w:i w:val="1"/>
        </w:rPr>
        <w:t xml:space="preserve"> </w:t>
      </w:r>
      <w:r>
        <w:rPr>
          <w:rFonts w:ascii="Arial" w:hAnsi="Arial" w:eastAsia="Arial" w:cs="Arial"/>
          <w:i w:val="1"/>
        </w:rPr>
        <w:t xml:space="preserve">Promote</w:t>
      </w:r>
      <w:r>
        <w:rPr>
          <w:rFonts w:ascii="Arial" w:hAnsi="Arial" w:eastAsia="Arial" w:cs="Arial"/>
          <w:i w:val="1"/>
        </w:rPr>
        <w:t xml:space="preserve"> </w:t>
      </w:r>
      <w:r>
        <w:rPr>
          <w:rFonts w:ascii="Arial" w:hAnsi="Arial" w:eastAsia="Arial" w:cs="Arial"/>
          <w:i w:val="1"/>
        </w:rPr>
        <w:t xml:space="preserve">Social</w:t>
      </w:r>
      <w:r>
        <w:rPr>
          <w:rFonts w:ascii="Arial" w:hAnsi="Arial" w:eastAsia="Arial" w:cs="Arial"/>
          <w:i w:val="1"/>
        </w:rPr>
        <w:t xml:space="preserve"> </w:t>
      </w:r>
      <w:r>
        <w:rPr>
          <w:rFonts w:ascii="Arial" w:hAnsi="Arial" w:eastAsia="Arial" w:cs="Arial"/>
          <w:i w:val="1"/>
        </w:rPr>
        <w:t xml:space="preserve">Equity</w:t>
      </w:r>
      <w:r>
        <w:rPr>
          <w:rFonts w:ascii="Arial" w:hAnsi="Arial" w:eastAsia="Arial" w:cs="Arial"/>
          <w:i w:val="1"/>
        </w:rPr>
        <w:t xml:space="preserve"> </w:t>
      </w:r>
      <w:r>
        <w:rPr>
          <w:rFonts w:ascii="Arial" w:hAnsi="Arial" w:eastAsia="Arial" w:cs="Arial"/>
          <w:i w:val="1"/>
        </w:rPr>
        <w:t xml:space="preserve">in</w:t>
      </w:r>
      <w:r>
        <w:rPr>
          <w:rFonts w:ascii="Arial" w:hAnsi="Arial" w:eastAsia="Arial" w:cs="Arial"/>
          <w:i w:val="1"/>
        </w:rPr>
        <w:t xml:space="preserve"> </w:t>
      </w:r>
      <w:r>
        <w:rPr>
          <w:rFonts w:ascii="Arial" w:hAnsi="Arial" w:eastAsia="Arial" w:cs="Arial"/>
          <w:i w:val="1"/>
        </w:rPr>
        <w:t xml:space="preserve">Health</w:t>
      </w:r>
      <w:r>
        <w:rPr/>
        <w:t xml:space="preserve">. Stockholm: Institute for Futures Studies.</w:t>
      </w:r>
      <w:r>
        <w:rPr/>
        <w:t xml:space="preserve"> </w:t>
      </w:r>
    </w:p>
    <w:p xmlns:wp14="http://schemas.microsoft.com/office/word/2010/wordml" w14:paraId="1CA2A9E0" wp14:textId="77777777">
      <w:pPr>
        <w:numPr>
          <w:ilvl w:val="0"/>
          <w:numId w:val="1"/>
        </w:numPr>
        <w:spacing w:before="0" w:after="3" w:line="359" w:lineRule="auto"/>
        <w:ind w:left="721" w:right="2" w:hanging="360"/>
      </w:pPr>
      <w:r>
        <w:rPr>
          <w:rFonts w:ascii="Arial" w:hAnsi="Arial" w:eastAsia="Arial" w:cs="Arial"/>
          <w:color w:val="222222"/>
        </w:rPr>
        <w:t xml:space="preserve">Franz, C. and Kickbusch, I., 2018. The capital</w:t>
      </w:r>
      <w:r>
        <w:rPr>
          <w:rFonts w:ascii="Arial" w:hAnsi="Arial" w:eastAsia="Arial" w:cs="Arial"/>
          <w:color w:val="222222"/>
        </w:rPr>
        <w:t xml:space="preserve">-</w:t>
      </w:r>
      <w:r>
        <w:rPr>
          <w:rFonts w:ascii="Arial" w:hAnsi="Arial" w:eastAsia="Arial" w:cs="Arial"/>
          <w:color w:val="222222"/>
        </w:rPr>
        <w:t xml:space="preserve">NCD</w:t>
      </w:r>
      <w:r>
        <w:rPr>
          <w:rFonts w:ascii="Arial" w:hAnsi="Arial" w:eastAsia="Arial" w:cs="Arial"/>
          <w:color w:val="222222"/>
        </w:rPr>
        <w:t xml:space="preserve">-</w:t>
      </w:r>
      <w:r>
        <w:rPr>
          <w:rFonts w:ascii="Arial" w:hAnsi="Arial" w:eastAsia="Arial" w:cs="Arial"/>
          <w:color w:val="222222"/>
        </w:rPr>
        <w:t xml:space="preserve">nexus: the commercial determinants of health and global capital flows.</w:t>
      </w:r>
      <w:r>
        <w:rPr>
          <w:color w:val="222222"/>
        </w:rPr>
        <w:t xml:space="preserve"> </w:t>
      </w:r>
      <w:r>
        <w:rPr>
          <w:rFonts w:ascii="Arial" w:hAnsi="Arial" w:eastAsia="Arial" w:cs="Arial"/>
          <w:i w:val="1"/>
          <w:color w:val="222222"/>
        </w:rPr>
        <w:t xml:space="preserve">Eurohealth</w:t>
      </w:r>
      <w:r>
        <w:rPr>
          <w:rFonts w:ascii="Arial" w:hAnsi="Arial" w:eastAsia="Arial" w:cs="Arial"/>
          <w:color w:val="222222"/>
        </w:rPr>
        <w:t xml:space="preserve">,</w:t>
      </w:r>
      <w:r>
        <w:rPr>
          <w:color w:val="222222"/>
        </w:rPr>
        <w:t xml:space="preserve"> </w:t>
      </w:r>
      <w:r>
        <w:rPr>
          <w:rFonts w:ascii="Arial" w:hAnsi="Arial" w:eastAsia="Arial" w:cs="Arial"/>
          <w:i w:val="1"/>
          <w:color w:val="222222"/>
        </w:rPr>
        <w:t xml:space="preserve">24</w:t>
      </w:r>
      <w:r>
        <w:rPr>
          <w:rFonts w:ascii="Arial" w:hAnsi="Arial" w:eastAsia="Arial" w:cs="Arial"/>
          <w:color w:val="222222"/>
        </w:rPr>
        <w:t xml:space="preserve">(3), pp.21</w:t>
      </w:r>
      <w:r>
        <w:rPr>
          <w:rFonts w:ascii="Arial" w:hAnsi="Arial" w:eastAsia="Arial" w:cs="Arial"/>
          <w:color w:val="222222"/>
        </w:rPr>
        <w:t xml:space="preserve">-</w:t>
      </w:r>
      <w:r>
        <w:rPr>
          <w:rFonts w:ascii="Arial" w:hAnsi="Arial" w:eastAsia="Arial" w:cs="Arial"/>
          <w:color w:val="222222"/>
        </w:rPr>
        <w:t xml:space="preserve">25.</w:t>
      </w:r>
      <w:r>
        <w:rPr/>
        <w:t xml:space="preserve"> </w:t>
      </w:r>
    </w:p>
    <w:p xmlns:wp14="http://schemas.microsoft.com/office/word/2010/wordml" w14:paraId="4B93D6E3" wp14:textId="77777777">
      <w:pPr>
        <w:pStyle w:val="normal"/>
        <w:numPr>
          <w:ilvl w:val="0"/>
          <w:numId w:val="1"/>
        </w:numPr>
        <w:spacing w:before="0" w:after="4" w:line="359" w:lineRule="auto"/>
        <w:ind w:left="721" w:right="2" w:hanging="360"/>
      </w:pPr>
      <w:r>
        <w:rPr/>
        <w:t xml:space="preserve">Giles</w:t>
      </w:r>
      <w:r>
        <w:rPr/>
        <w:t xml:space="preserve">-</w:t>
      </w:r>
      <w:r>
        <w:rPr/>
        <w:t xml:space="preserve">Corti, B., Vernez</w:t>
      </w:r>
      <w:r>
        <w:rPr/>
        <w:t xml:space="preserve">-</w:t>
      </w:r>
      <w:r>
        <w:rPr/>
        <w:t xml:space="preserve">Moudon, A., Reis, R., Turrell, G., Dannenberg, A.L., Badland, H., Foster, S., Lowe, M., Sallis, J.F., Stevenson, M. and Owen, N. (2016) 'City planning and active transport: health, evidence, and practice',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Lancet</w:t>
      </w:r>
      <w:r>
        <w:rPr/>
        <w:t xml:space="preserve">, 388(10059), pp. 2912</w:t>
      </w:r>
      <w:r>
        <w:rPr/>
        <w:t xml:space="preserve">-</w:t>
      </w:r>
      <w:r>
        <w:rPr/>
        <w:t xml:space="preserve">2924.</w:t>
      </w:r>
      <w:r>
        <w:rPr/>
        <w:t xml:space="preserve"> </w:t>
      </w:r>
    </w:p>
    <w:p xmlns:wp14="http://schemas.microsoft.com/office/word/2010/wordml" w14:paraId="30DDF033" wp14:textId="77777777">
      <w:pPr>
        <w:pStyle w:val="normal"/>
        <w:numPr>
          <w:ilvl w:val="0"/>
          <w:numId w:val="1"/>
        </w:numPr>
        <w:spacing w:before="0" w:after="4" w:line="359" w:lineRule="auto"/>
        <w:ind w:left="721" w:right="2" w:hanging="360"/>
      </w:pPr>
      <w:r>
        <w:rPr/>
        <w:t xml:space="preserve">Greater London Authority [GLA] (2019)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Ultra</w:t>
      </w:r>
      <w:r>
        <w:rPr>
          <w:rFonts w:ascii="Arial" w:hAnsi="Arial" w:eastAsia="Arial" w:cs="Arial"/>
          <w:i w:val="1"/>
        </w:rPr>
        <w:t xml:space="preserve"> </w:t>
      </w:r>
      <w:r>
        <w:rPr>
          <w:rFonts w:ascii="Arial" w:hAnsi="Arial" w:eastAsia="Arial" w:cs="Arial"/>
          <w:i w:val="1"/>
        </w:rPr>
        <w:t xml:space="preserve">Low</w:t>
      </w:r>
      <w:r>
        <w:rPr>
          <w:rFonts w:ascii="Arial" w:hAnsi="Arial" w:eastAsia="Arial" w:cs="Arial"/>
          <w:i w:val="1"/>
        </w:rPr>
        <w:t xml:space="preserve"> </w:t>
      </w:r>
      <w:r>
        <w:rPr>
          <w:rFonts w:ascii="Arial" w:hAnsi="Arial" w:eastAsia="Arial" w:cs="Arial"/>
          <w:i w:val="1"/>
        </w:rPr>
        <w:t xml:space="preserve">Emission</w:t>
      </w:r>
      <w:r>
        <w:rPr>
          <w:rFonts w:ascii="Arial" w:hAnsi="Arial" w:eastAsia="Arial" w:cs="Arial"/>
          <w:i w:val="1"/>
        </w:rPr>
        <w:t xml:space="preserve"> </w:t>
      </w:r>
      <w:r>
        <w:rPr>
          <w:rFonts w:ascii="Arial" w:hAnsi="Arial" w:eastAsia="Arial" w:cs="Arial"/>
          <w:i w:val="1"/>
        </w:rPr>
        <w:t xml:space="preserve">Zone</w:t>
      </w:r>
      <w:r>
        <w:rPr>
          <w:rFonts w:ascii="Arial" w:hAnsi="Arial" w:eastAsia="Arial" w:cs="Arial"/>
          <w:i w:val="1"/>
        </w:rPr>
        <w:t xml:space="preserve"> </w:t>
      </w:r>
      <w:r>
        <w:rPr>
          <w:rFonts w:ascii="Arial" w:hAnsi="Arial" w:eastAsia="Arial" w:cs="Arial"/>
          <w:i w:val="1"/>
        </w:rPr>
        <w:t xml:space="preserve">(ULEZ)</w:t>
      </w:r>
      <w:r>
        <w:rPr>
          <w:rFonts w:ascii="Arial" w:hAnsi="Arial" w:eastAsia="Arial" w:cs="Arial"/>
          <w:i w:val="1"/>
        </w:rPr>
        <w:t xml:space="preserve"> </w:t>
      </w:r>
      <w:r>
        <w:rPr>
          <w:rFonts w:ascii="Arial" w:hAnsi="Arial" w:eastAsia="Arial" w:cs="Arial"/>
          <w:i w:val="1"/>
        </w:rPr>
        <w:t xml:space="preserve">Report</w:t>
      </w:r>
      <w:r>
        <w:rPr/>
        <w:t xml:space="preserve">. London: Greater London Authority. Available at: </w:t>
      </w:r>
    </w:p>
    <w:p xmlns:wp14="http://schemas.microsoft.com/office/word/2010/wordml" w14:paraId="20B277C1" wp14:textId="77777777">
      <w:pPr>
        <w:pStyle w:val="normal"/>
        <w:spacing w:before="0" w:after="118" w:line="259" w:lineRule="auto"/>
        <w:ind w:left="721" w:right="2" w:firstLine="0"/>
      </w:pPr>
      <w:r>
        <w:rPr/>
        <w:t xml:space="preserve">https://data.london.gov.uk/dataset/ultra_low_emissions_zone/</w:t>
      </w:r>
      <w:r>
        <w:rPr/>
        <w:t xml:space="preserve"> </w:t>
      </w:r>
    </w:p>
    <w:p xmlns:wp14="http://schemas.microsoft.com/office/word/2010/wordml" w14:paraId="3CB47433" wp14:textId="77777777">
      <w:pPr>
        <w:pStyle w:val="normal"/>
        <w:numPr>
          <w:ilvl w:val="0"/>
          <w:numId w:val="1"/>
        </w:numPr>
        <w:spacing w:before="0" w:after="4" w:line="359" w:lineRule="auto"/>
        <w:ind w:left="721" w:right="2" w:hanging="360"/>
      </w:pPr>
      <w:r>
        <w:rPr/>
        <w:t xml:space="preserve">Greater London Authority [GLA] (2023) </w:t>
      </w:r>
      <w:r>
        <w:rPr>
          <w:rFonts w:ascii="Arial" w:hAnsi="Arial" w:eastAsia="Arial" w:cs="Arial"/>
          <w:i w:val="1"/>
        </w:rPr>
        <w:t xml:space="preserve">Inner</w:t>
      </w:r>
      <w:r>
        <w:rPr>
          <w:rFonts w:ascii="Arial" w:hAnsi="Arial" w:eastAsia="Arial" w:cs="Arial"/>
          <w:i w:val="1"/>
        </w:rPr>
        <w:t xml:space="preserve"> </w:t>
      </w:r>
      <w:r>
        <w:rPr>
          <w:rFonts w:ascii="Arial" w:hAnsi="Arial" w:eastAsia="Arial" w:cs="Arial"/>
          <w:i w:val="1"/>
        </w:rPr>
        <w:t xml:space="preserve">London</w:t>
      </w:r>
      <w:r>
        <w:rPr>
          <w:rFonts w:ascii="Arial" w:hAnsi="Arial" w:eastAsia="Arial" w:cs="Arial"/>
          <w:i w:val="1"/>
        </w:rPr>
        <w:t xml:space="preserve"> </w:t>
      </w:r>
      <w:r>
        <w:rPr>
          <w:rFonts w:ascii="Arial" w:hAnsi="Arial" w:eastAsia="Arial" w:cs="Arial"/>
          <w:i w:val="1"/>
        </w:rPr>
        <w:t xml:space="preserve">ULEZ</w:t>
      </w:r>
      <w:r>
        <w:rPr>
          <w:rFonts w:ascii="Arial" w:hAnsi="Arial" w:eastAsia="Arial" w:cs="Arial"/>
          <w:i w:val="1"/>
        </w:rPr>
        <w:t xml:space="preserve"> </w:t>
      </w:r>
      <w:r>
        <w:rPr>
          <w:rFonts w:ascii="Arial" w:hAnsi="Arial" w:eastAsia="Arial" w:cs="Arial"/>
          <w:i w:val="1"/>
        </w:rPr>
        <w:t xml:space="preserve">Expansion:</w:t>
      </w:r>
      <w:r>
        <w:rPr>
          <w:rFonts w:ascii="Arial" w:hAnsi="Arial" w:eastAsia="Arial" w:cs="Arial"/>
          <w:i w:val="1"/>
        </w:rPr>
        <w:t xml:space="preserve"> </w:t>
      </w:r>
      <w:r>
        <w:rPr>
          <w:rFonts w:ascii="Arial" w:hAnsi="Arial" w:eastAsia="Arial" w:cs="Arial"/>
          <w:i w:val="1"/>
        </w:rPr>
        <w:t xml:space="preserve">One</w:t>
      </w:r>
      <w:r>
        <w:rPr>
          <w:rFonts w:ascii="Arial" w:hAnsi="Arial" w:eastAsia="Arial" w:cs="Arial"/>
          <w:i w:val="1"/>
        </w:rPr>
        <w:t xml:space="preserve"> </w:t>
      </w:r>
      <w:r>
        <w:rPr>
          <w:rFonts w:ascii="Arial" w:hAnsi="Arial" w:eastAsia="Arial" w:cs="Arial"/>
          <w:i w:val="1"/>
        </w:rPr>
        <w:t xml:space="preserve">Year</w:t>
      </w:r>
      <w:r>
        <w:rPr>
          <w:rFonts w:ascii="Arial" w:hAnsi="Arial" w:eastAsia="Arial" w:cs="Arial"/>
          <w:i w:val="1"/>
        </w:rPr>
        <w:t xml:space="preserve"> </w:t>
      </w:r>
      <w:r>
        <w:rPr>
          <w:rFonts w:ascii="Arial" w:hAnsi="Arial" w:eastAsia="Arial" w:cs="Arial"/>
          <w:i w:val="1"/>
        </w:rPr>
        <w:t xml:space="preserve">Report</w:t>
      </w:r>
      <w:r>
        <w:rPr/>
        <w:t xml:space="preserve">. London: Greater London Authority. Available at: https://www.london.gov.uk/programmes</w:t>
      </w:r>
      <w:r>
        <w:rPr/>
        <w:t xml:space="preserve">-</w:t>
      </w:r>
      <w:r>
        <w:rPr/>
        <w:t xml:space="preserve">strategies/environment</w:t>
      </w:r>
      <w:r>
        <w:rPr/>
        <w:t xml:space="preserve">-</w:t>
      </w:r>
      <w:r>
        <w:rPr/>
        <w:t xml:space="preserve">and</w:t>
      </w:r>
      <w:r>
        <w:rPr/>
        <w:t xml:space="preserve">-</w:t>
      </w:r>
      <w:r>
        <w:rPr/>
        <w:t xml:space="preserve">climate</w:t>
      </w:r>
      <w:r>
        <w:rPr/>
      </w:r>
      <w:r>
        <w:rPr/>
        <w:t xml:space="preserve">change/environment</w:t>
      </w:r>
      <w:r>
        <w:rPr/>
        <w:t xml:space="preserve">-</w:t>
      </w:r>
      <w:r>
        <w:rPr/>
        <w:t xml:space="preserve">and</w:t>
      </w:r>
      <w:r>
        <w:rPr/>
        <w:t xml:space="preserve">-</w:t>
      </w:r>
      <w:r>
        <w:rPr/>
        <w:t xml:space="preserve">climate</w:t>
      </w:r>
      <w:r>
        <w:rPr/>
        <w:t xml:space="preserve">-</w:t>
      </w:r>
      <w:r>
        <w:rPr/>
        <w:t xml:space="preserve">change</w:t>
      </w:r>
      <w:r>
        <w:rPr/>
        <w:t xml:space="preserve">-</w:t>
      </w:r>
      <w:r>
        <w:rPr/>
        <w:t xml:space="preserve">publications/inner</w:t>
      </w:r>
      <w:r>
        <w:rPr/>
        <w:t xml:space="preserve">-</w:t>
      </w:r>
      <w:r>
        <w:rPr/>
        <w:t xml:space="preserve">london</w:t>
      </w:r>
      <w:r>
        <w:rPr/>
        <w:t xml:space="preserve">-</w:t>
      </w:r>
      <w:r>
        <w:rPr/>
        <w:t xml:space="preserve">ultra</w:t>
      </w:r>
      <w:r>
        <w:rPr/>
        <w:t xml:space="preserve">-</w:t>
      </w:r>
      <w:r>
        <w:rPr/>
        <w:t xml:space="preserve">low</w:t>
      </w:r>
      <w:r>
        <w:rPr/>
      </w:r>
      <w:r>
        <w:rPr/>
        <w:t xml:space="preserve">emission</w:t>
      </w:r>
      <w:r>
        <w:rPr/>
        <w:t xml:space="preserve">-</w:t>
      </w:r>
      <w:r>
        <w:rPr/>
        <w:t xml:space="preserve">zone</w:t>
      </w:r>
      <w:r>
        <w:rPr/>
        <w:t xml:space="preserve">-</w:t>
      </w:r>
      <w:r>
        <w:rPr/>
        <w:t xml:space="preserve">expansion</w:t>
      </w:r>
      <w:r>
        <w:rPr/>
        <w:t xml:space="preserve">-</w:t>
      </w:r>
      <w:r>
        <w:rPr/>
        <w:t xml:space="preserve">one</w:t>
      </w:r>
      <w:r>
        <w:rPr/>
        <w:t xml:space="preserve">-</w:t>
      </w:r>
      <w:r>
        <w:rPr/>
        <w:t xml:space="preserve">year</w:t>
      </w:r>
      <w:r>
        <w:rPr/>
        <w:t xml:space="preserve">-</w:t>
      </w:r>
      <w:r>
        <w:rPr/>
        <w:t xml:space="preserve">report</w:t>
      </w:r>
      <w:r>
        <w:rPr/>
        <w:t xml:space="preserve"> </w:t>
      </w:r>
    </w:p>
    <w:p xmlns:wp14="http://schemas.microsoft.com/office/word/2010/wordml" w14:paraId="5932C9CD" wp14:textId="77777777">
      <w:pPr>
        <w:numPr>
          <w:ilvl w:val="0"/>
          <w:numId w:val="1"/>
        </w:numPr>
        <w:spacing w:before="0" w:after="136" w:line="259" w:lineRule="auto"/>
        <w:ind w:left="721" w:right="2" w:hanging="360"/>
      </w:pPr>
      <w:r>
        <w:rPr/>
        <w:t xml:space="preserve">HM Treasury (2016) </w:t>
      </w:r>
      <w:r>
        <w:rPr>
          <w:rFonts w:ascii="Arial" w:hAnsi="Arial" w:eastAsia="Arial" w:cs="Arial"/>
          <w:i w:val="1"/>
        </w:rPr>
        <w:t xml:space="preserve">Soft</w:t>
      </w:r>
      <w:r>
        <w:rPr>
          <w:rFonts w:ascii="Arial" w:hAnsi="Arial" w:eastAsia="Arial" w:cs="Arial"/>
          <w:i w:val="1"/>
        </w:rPr>
        <w:t xml:space="preserve"> </w:t>
      </w:r>
      <w:r>
        <w:rPr>
          <w:rFonts w:ascii="Arial" w:hAnsi="Arial" w:eastAsia="Arial" w:cs="Arial"/>
          <w:i w:val="1"/>
        </w:rPr>
        <w:t xml:space="preserve">Drinks</w:t>
      </w:r>
      <w:r>
        <w:rPr>
          <w:rFonts w:ascii="Arial" w:hAnsi="Arial" w:eastAsia="Arial" w:cs="Arial"/>
          <w:i w:val="1"/>
        </w:rPr>
        <w:t xml:space="preserve"> </w:t>
      </w:r>
      <w:r>
        <w:rPr>
          <w:rFonts w:ascii="Arial" w:hAnsi="Arial" w:eastAsia="Arial" w:cs="Arial"/>
          <w:i w:val="1"/>
        </w:rPr>
        <w:t xml:space="preserve">Industry</w:t>
      </w:r>
      <w:r>
        <w:rPr>
          <w:rFonts w:ascii="Arial" w:hAnsi="Arial" w:eastAsia="Arial" w:cs="Arial"/>
          <w:i w:val="1"/>
        </w:rPr>
        <w:t xml:space="preserve"> </w:t>
      </w:r>
      <w:r>
        <w:rPr>
          <w:rFonts w:ascii="Arial" w:hAnsi="Arial" w:eastAsia="Arial" w:cs="Arial"/>
          <w:i w:val="1"/>
        </w:rPr>
        <w:t xml:space="preserve">Levy:</w:t>
      </w:r>
      <w:r>
        <w:rPr>
          <w:rFonts w:ascii="Arial" w:hAnsi="Arial" w:eastAsia="Arial" w:cs="Arial"/>
          <w:i w:val="1"/>
        </w:rPr>
        <w:t xml:space="preserve"> </w:t>
      </w:r>
      <w:r>
        <w:rPr>
          <w:rFonts w:ascii="Arial" w:hAnsi="Arial" w:eastAsia="Arial" w:cs="Arial"/>
          <w:i w:val="1"/>
        </w:rPr>
        <w:t xml:space="preserve">Policy</w:t>
      </w:r>
      <w:r>
        <w:rPr>
          <w:rFonts w:ascii="Arial" w:hAnsi="Arial" w:eastAsia="Arial" w:cs="Arial"/>
          <w:i w:val="1"/>
        </w:rPr>
        <w:t xml:space="preserve"> </w:t>
      </w:r>
      <w:r>
        <w:rPr>
          <w:rFonts w:ascii="Arial" w:hAnsi="Arial" w:eastAsia="Arial" w:cs="Arial"/>
          <w:i w:val="1"/>
        </w:rPr>
        <w:t xml:space="preserve">Paper</w:t>
      </w:r>
      <w:r>
        <w:rPr/>
        <w:t xml:space="preserve">. London: HM </w:t>
      </w:r>
    </w:p>
    <w:p xmlns:wp14="http://schemas.microsoft.com/office/word/2010/wordml" w14:paraId="1A55F61C" wp14:textId="77777777">
      <w:pPr>
        <w:tabs>
          <w:tab w:val="center" w:pos="1263"/>
          <w:tab w:val="center" w:pos="3911"/>
          <w:tab w:val="center" w:pos="6512"/>
          <w:tab w:val="right" w:pos="9036"/>
        </w:tabs>
        <w:spacing w:before="0" w:after="124" w:line="259" w:lineRule="auto"/>
        <w:ind w:right="0" w:firstLine="0"/>
        <w:jc w:val="left"/>
      </w:pPr>
      <w:r>
        <w:rPr>
          <w:rFonts w:ascii="Calibri" w:hAnsi="Calibri" w:eastAsia="Calibri" w:cs="Calibri"/>
          <w:color w:val="000000"/>
          <w:sz w:val="22"/>
        </w:rPr>
        <w:t xml:space="preserve">	</w:t>
      </w:r>
      <w:r>
        <w:rPr/>
        <w:t xml:space="preserve">Stationery 	Office. 	Available 	at: </w:t>
      </w:r>
    </w:p>
    <w:p xmlns:wp14="http://schemas.microsoft.com/office/word/2010/wordml" w14:paraId="65E6AB6D" wp14:textId="77777777">
      <w:pPr>
        <w:pStyle w:val="normal"/>
        <w:spacing w:before="0" w:after="4" w:line="359" w:lineRule="auto"/>
        <w:ind w:left="721" w:right="2" w:firstLine="0"/>
      </w:pPr>
      <w:r>
        <w:rPr/>
        <w:t xml:space="preserve">https://www.gov.uk/government/publications/soft</w:t>
      </w:r>
      <w:r>
        <w:rPr/>
        <w:t xml:space="preserve">-</w:t>
      </w:r>
      <w:r>
        <w:rPr/>
        <w:t xml:space="preserve">drinks</w:t>
      </w:r>
      <w:r>
        <w:rPr/>
        <w:t xml:space="preserve">-</w:t>
      </w:r>
      <w:r>
        <w:rPr/>
        <w:t xml:space="preserve">industry</w:t>
      </w:r>
      <w:r>
        <w:rPr/>
        <w:t xml:space="preserve">-</w:t>
      </w:r>
      <w:r>
        <w:rPr/>
        <w:t xml:space="preserve">levy/soft</w:t>
      </w:r>
      <w:r>
        <w:rPr/>
      </w:r>
      <w:r>
        <w:rPr/>
        <w:t xml:space="preserve">drinks</w:t>
      </w:r>
      <w:r>
        <w:rPr/>
        <w:t xml:space="preserve">-</w:t>
      </w:r>
      <w:r>
        <w:rPr/>
        <w:t xml:space="preserve">industry</w:t>
      </w:r>
      <w:r>
        <w:rPr/>
        <w:t xml:space="preserve">-</w:t>
      </w:r>
      <w:r>
        <w:rPr/>
        <w:t xml:space="preserve">levy</w:t>
      </w:r>
      <w:r>
        <w:rPr/>
        <w:t xml:space="preserve"> </w:t>
      </w:r>
    </w:p>
    <w:p xmlns:wp14="http://schemas.microsoft.com/office/word/2010/wordml" w14:paraId="04D04788" wp14:textId="77777777">
      <w:pPr>
        <w:pStyle w:val="normal"/>
        <w:numPr>
          <w:ilvl w:val="0"/>
          <w:numId w:val="1"/>
        </w:numPr>
        <w:spacing w:before="0" w:after="4" w:line="359" w:lineRule="auto"/>
        <w:ind w:left="721" w:right="2" w:hanging="360"/>
      </w:pPr>
      <w:r>
        <w:rPr/>
        <w:t xml:space="preserve">Jimenez, M.P., DeVille, N.V., Elliott, E.G., Schiff, J.E., Wilt, G.E., Hart, J.E. and James, P., 2021. Associations between nature exposure and health: a review of the evidence. International journal of environmental research and public health, 18(9), p.47</w:t>
      </w:r>
      <w:r>
        <w:rPr/>
        <w:t xml:space="preserve">90.</w:t>
      </w:r>
      <w:r>
        <w:rPr/>
        <w:t xml:space="preserve"> </w:t>
      </w:r>
    </w:p>
    <w:p xmlns:wp14="http://schemas.microsoft.com/office/word/2010/wordml" w14:paraId="5C581F40" wp14:textId="77777777">
      <w:pPr>
        <w:pStyle w:val="normal"/>
        <w:numPr>
          <w:ilvl w:val="0"/>
          <w:numId w:val="1"/>
        </w:numPr>
        <w:spacing w:before="0" w:after="4" w:line="359" w:lineRule="auto"/>
        <w:ind w:left="721" w:right="2" w:hanging="360"/>
      </w:pPr>
      <w:r>
        <w:rPr/>
        <w:t xml:space="preserve">Marmot, M. (2020) 'Health equity in England: The Marmot Review 10 Years On', </w:t>
      </w:r>
      <w:r>
        <w:rPr>
          <w:rFonts w:ascii="Arial" w:hAnsi="Arial" w:eastAsia="Arial" w:cs="Arial"/>
          <w:i w:val="1"/>
        </w:rPr>
        <w:t xml:space="preserve">BMJ</w:t>
      </w:r>
      <w:r>
        <w:rPr/>
        <w:t xml:space="preserve">, 368(m693), pp. 1</w:t>
      </w:r>
      <w:r>
        <w:rPr/>
        <w:t xml:space="preserve">-</w:t>
      </w:r>
      <w:r>
        <w:rPr/>
        <w:t xml:space="preserve">3.</w:t>
      </w:r>
      <w:r>
        <w:rPr/>
        <w:t xml:space="preserve"> </w:t>
      </w:r>
    </w:p>
    <w:p xmlns:wp14="http://schemas.microsoft.com/office/word/2010/wordml" w14:paraId="2245DB08" wp14:textId="77777777">
      <w:pPr>
        <w:pStyle w:val="normal"/>
        <w:numPr>
          <w:ilvl w:val="0"/>
          <w:numId w:val="1"/>
        </w:numPr>
        <w:spacing w:before="0" w:after="4" w:line="359" w:lineRule="auto"/>
        <w:ind w:left="721" w:right="2" w:hanging="360"/>
      </w:pPr>
      <w:r>
        <w:rPr/>
        <w:t xml:space="preserve">Marmot, M., Allen, J., Boyce, T., Goldblatt, P. and Morrison, J. (2020) </w:t>
      </w:r>
      <w:r>
        <w:rPr>
          <w:rFonts w:ascii="Arial" w:hAnsi="Arial" w:eastAsia="Arial" w:cs="Arial"/>
          <w:i w:val="1"/>
        </w:rPr>
        <w:t xml:space="preserve">Health</w:t>
      </w:r>
      <w:r>
        <w:rPr>
          <w:rFonts w:ascii="Arial" w:hAnsi="Arial" w:eastAsia="Arial" w:cs="Arial"/>
          <w:i w:val="1"/>
        </w:rPr>
        <w:t xml:space="preserve"> </w:t>
      </w:r>
      <w:r>
        <w:rPr>
          <w:rFonts w:ascii="Arial" w:hAnsi="Arial" w:eastAsia="Arial" w:cs="Arial"/>
          <w:i w:val="1"/>
        </w:rPr>
        <w:t xml:space="preserve">Equity</w:t>
      </w:r>
      <w:r>
        <w:rPr>
          <w:rFonts w:ascii="Arial" w:hAnsi="Arial" w:eastAsia="Arial" w:cs="Arial"/>
          <w:i w:val="1"/>
        </w:rPr>
        <w:t xml:space="preserve"> </w:t>
      </w:r>
      <w:r>
        <w:rPr>
          <w:rFonts w:ascii="Arial" w:hAnsi="Arial" w:eastAsia="Arial" w:cs="Arial"/>
          <w:i w:val="1"/>
        </w:rPr>
        <w:t xml:space="preserve">in</w:t>
      </w:r>
      <w:r>
        <w:rPr>
          <w:rFonts w:ascii="Arial" w:hAnsi="Arial" w:eastAsia="Arial" w:cs="Arial"/>
          <w:i w:val="1"/>
        </w:rPr>
        <w:t xml:space="preserve"> </w:t>
      </w:r>
      <w:r>
        <w:rPr>
          <w:rFonts w:ascii="Arial" w:hAnsi="Arial" w:eastAsia="Arial" w:cs="Arial"/>
          <w:i w:val="1"/>
        </w:rPr>
        <w:t xml:space="preserve">England:</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Marmot</w:t>
      </w:r>
      <w:r>
        <w:rPr>
          <w:rFonts w:ascii="Arial" w:hAnsi="Arial" w:eastAsia="Arial" w:cs="Arial"/>
          <w:i w:val="1"/>
        </w:rPr>
        <w:t xml:space="preserve"> </w:t>
      </w:r>
      <w:r>
        <w:rPr>
          <w:rFonts w:ascii="Arial" w:hAnsi="Arial" w:eastAsia="Arial" w:cs="Arial"/>
          <w:i w:val="1"/>
        </w:rPr>
        <w:t xml:space="preserve">Review</w:t>
      </w:r>
      <w:r>
        <w:rPr>
          <w:rFonts w:ascii="Arial" w:hAnsi="Arial" w:eastAsia="Arial" w:cs="Arial"/>
          <w:i w:val="1"/>
        </w:rPr>
        <w:t xml:space="preserve"> </w:t>
      </w:r>
      <w:r>
        <w:rPr>
          <w:rFonts w:ascii="Arial" w:hAnsi="Arial" w:eastAsia="Arial" w:cs="Arial"/>
          <w:i w:val="1"/>
        </w:rPr>
        <w:t xml:space="preserve">10</w:t>
      </w:r>
      <w:r>
        <w:rPr>
          <w:rFonts w:ascii="Arial" w:hAnsi="Arial" w:eastAsia="Arial" w:cs="Arial"/>
          <w:i w:val="1"/>
        </w:rPr>
        <w:t xml:space="preserve"> </w:t>
      </w:r>
      <w:r>
        <w:rPr>
          <w:rFonts w:ascii="Arial" w:hAnsi="Arial" w:eastAsia="Arial" w:cs="Arial"/>
          <w:i w:val="1"/>
        </w:rPr>
        <w:t xml:space="preserve">Years</w:t>
      </w:r>
      <w:r>
        <w:rPr>
          <w:rFonts w:ascii="Arial" w:hAnsi="Arial" w:eastAsia="Arial" w:cs="Arial"/>
          <w:i w:val="1"/>
        </w:rPr>
        <w:t xml:space="preserve"> </w:t>
      </w:r>
      <w:r>
        <w:rPr>
          <w:rFonts w:ascii="Arial" w:hAnsi="Arial" w:eastAsia="Arial" w:cs="Arial"/>
          <w:i w:val="1"/>
        </w:rPr>
        <w:t xml:space="preserve">On</w:t>
      </w:r>
      <w:r>
        <w:rPr/>
        <w:t xml:space="preserve">. London: Institute of Health Equity.</w:t>
      </w:r>
      <w:r>
        <w:rPr/>
        <w:t xml:space="preserve"> </w:t>
      </w:r>
    </w:p>
    <w:p xmlns:wp14="http://schemas.microsoft.com/office/word/2010/wordml" w14:paraId="2978A2EE" wp14:textId="77777777">
      <w:pPr>
        <w:numPr>
          <w:ilvl w:val="0"/>
          <w:numId w:val="1"/>
        </w:numPr>
        <w:spacing w:before="0" w:after="3" w:line="359" w:lineRule="auto"/>
        <w:ind w:left="721" w:right="2" w:hanging="360"/>
      </w:pPr>
      <w:r>
        <w:rPr>
          <w:rFonts w:ascii="Arial" w:hAnsi="Arial" w:eastAsia="Arial" w:cs="Arial"/>
          <w:color w:val="222222"/>
        </w:rPr>
        <w:t xml:space="preserve">Martens, K., 2020. A justice perspective on transport and health. In</w:t>
      </w:r>
      <w:r>
        <w:rPr>
          <w:color w:val="222222"/>
        </w:rPr>
        <w:t xml:space="preserve"> </w:t>
      </w:r>
      <w:r>
        <w:rPr>
          <w:rFonts w:ascii="Arial" w:hAnsi="Arial" w:eastAsia="Arial" w:cs="Arial"/>
          <w:i w:val="1"/>
          <w:color w:val="222222"/>
        </w:rPr>
        <w:t xml:space="preserve">Advances in transportation and health</w:t>
      </w:r>
      <w:r>
        <w:rPr>
          <w:color w:val="222222"/>
        </w:rPr>
        <w:t xml:space="preserve"> </w:t>
      </w:r>
      <w:r>
        <w:rPr>
          <w:rFonts w:ascii="Arial" w:hAnsi="Arial" w:eastAsia="Arial" w:cs="Arial"/>
          <w:color w:val="222222"/>
        </w:rPr>
        <w:t xml:space="preserve">(pp. 197</w:t>
      </w:r>
      <w:r>
        <w:rPr>
          <w:rFonts w:ascii="Arial" w:hAnsi="Arial" w:eastAsia="Arial" w:cs="Arial"/>
          <w:color w:val="222222"/>
        </w:rPr>
        <w:t xml:space="preserve">-</w:t>
      </w:r>
      <w:r>
        <w:rPr>
          <w:rFonts w:ascii="Arial" w:hAnsi="Arial" w:eastAsia="Arial" w:cs="Arial"/>
          <w:color w:val="222222"/>
        </w:rPr>
        <w:t xml:space="preserve">221). Elsevier.</w:t>
      </w:r>
      <w:r>
        <w:rPr/>
        <w:t xml:space="preserve"> </w:t>
      </w:r>
    </w:p>
    <w:p xmlns:wp14="http://schemas.microsoft.com/office/word/2010/wordml" w14:paraId="3DE274F0" wp14:textId="77777777">
      <w:pPr>
        <w:pStyle w:val="normal"/>
        <w:numPr>
          <w:ilvl w:val="0"/>
          <w:numId w:val="1"/>
        </w:numPr>
        <w:spacing w:before="0" w:after="4" w:line="359" w:lineRule="auto"/>
        <w:ind w:left="721" w:right="2" w:hanging="360"/>
      </w:pPr>
      <w:r>
        <w:rPr/>
        <w:t xml:space="preserve">Mudway, I.S., Dundas, I., Wood, H.E., Marlin, N., Gill, J.N., Sheehan, P., Host, S., Badyal, A., Grieve, A. and Kelly, F.J. (2019) 'Impact of London's low emission zone on children's lung function and respiratory health: a sequential cross</w:t>
      </w:r>
      <w:r>
        <w:rPr/>
        <w:t xml:space="preserve">-</w:t>
      </w:r>
      <w:r>
        <w:rPr/>
        <w:t xml:space="preserve">sectional study'</w:t>
      </w:r>
      <w:r>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Lancet</w:t>
      </w:r>
      <w:r>
        <w:rPr>
          <w:rFonts w:ascii="Arial" w:hAnsi="Arial" w:eastAsia="Arial" w:cs="Arial"/>
          <w:i w:val="1"/>
        </w:rPr>
        <w:t xml:space="preserve"> </w:t>
      </w:r>
      <w:r>
        <w:rPr>
          <w:rFonts w:ascii="Arial" w:hAnsi="Arial" w:eastAsia="Arial" w:cs="Arial"/>
          <w:i w:val="1"/>
        </w:rPr>
        <w:t xml:space="preserve">Public</w:t>
      </w:r>
      <w:r>
        <w:rPr>
          <w:rFonts w:ascii="Arial" w:hAnsi="Arial" w:eastAsia="Arial" w:cs="Arial"/>
          <w:i w:val="1"/>
        </w:rPr>
        <w:t xml:space="preserve"> </w:t>
      </w:r>
      <w:r>
        <w:rPr>
          <w:rFonts w:ascii="Arial" w:hAnsi="Arial" w:eastAsia="Arial" w:cs="Arial"/>
          <w:i w:val="1"/>
        </w:rPr>
        <w:t xml:space="preserve">Health</w:t>
      </w:r>
      <w:r>
        <w:rPr/>
        <w:t xml:space="preserve">, 4(1), pp. e28</w:t>
      </w:r>
      <w:r>
        <w:rPr/>
        <w:t xml:space="preserve">-</w:t>
      </w:r>
      <w:r>
        <w:rPr/>
        <w:t xml:space="preserve">e40.</w:t>
      </w:r>
      <w:r>
        <w:rPr/>
        <w:t xml:space="preserve"> </w:t>
      </w:r>
    </w:p>
    <w:p xmlns:wp14="http://schemas.microsoft.com/office/word/2010/wordml" w14:paraId="14D5A57B" wp14:textId="77777777">
      <w:pPr>
        <w:numPr>
          <w:ilvl w:val="0"/>
          <w:numId w:val="1"/>
        </w:numPr>
        <w:spacing w:before="0" w:after="3" w:line="359" w:lineRule="auto"/>
        <w:ind w:left="721" w:right="2" w:hanging="360"/>
      </w:pPr>
      <w:r>
        <w:rPr>
          <w:rFonts w:ascii="Arial" w:hAnsi="Arial" w:eastAsia="Arial" w:cs="Arial"/>
          <w:color w:val="222222"/>
        </w:rPr>
        <w:t xml:space="preserve">Rogers, N.T., Cummins, S., Forde, H., Jones, C.P., Mytton, O., Rutter, H., Sharp, S.J., Theis, D., White, M. and Adams, J., 2023. Associations between trajectories of obesity prevalence in English primary school children and the UK </w:t>
      </w:r>
      <w:r>
        <w:rPr>
          <w:rFonts w:ascii="Arial" w:hAnsi="Arial" w:eastAsia="Arial" w:cs="Arial"/>
          <w:color w:val="222222"/>
        </w:rPr>
        <w:t xml:space="preserve">soft drinks industry levy: An interrupted time series analysis of surveillance data.</w:t>
      </w:r>
      <w:r>
        <w:rPr>
          <w:color w:val="222222"/>
        </w:rPr>
        <w:t xml:space="preserve"> </w:t>
      </w:r>
      <w:r>
        <w:rPr>
          <w:rFonts w:ascii="Arial" w:hAnsi="Arial" w:eastAsia="Arial" w:cs="Arial"/>
          <w:i w:val="1"/>
          <w:color w:val="222222"/>
        </w:rPr>
        <w:t xml:space="preserve">PLoS medicine</w:t>
      </w:r>
      <w:r>
        <w:rPr>
          <w:rFonts w:ascii="Arial" w:hAnsi="Arial" w:eastAsia="Arial" w:cs="Arial"/>
          <w:color w:val="222222"/>
        </w:rPr>
        <w:t xml:space="preserve">,</w:t>
      </w:r>
      <w:r>
        <w:rPr>
          <w:color w:val="222222"/>
        </w:rPr>
        <w:t xml:space="preserve"> </w:t>
      </w:r>
      <w:r>
        <w:rPr>
          <w:rFonts w:ascii="Arial" w:hAnsi="Arial" w:eastAsia="Arial" w:cs="Arial"/>
          <w:i w:val="1"/>
          <w:color w:val="222222"/>
        </w:rPr>
        <w:t xml:space="preserve">20</w:t>
      </w:r>
      <w:r>
        <w:rPr>
          <w:rFonts w:ascii="Arial" w:hAnsi="Arial" w:eastAsia="Arial" w:cs="Arial"/>
          <w:color w:val="222222"/>
        </w:rPr>
        <w:t xml:space="preserve">(1), p.e1004160.</w:t>
      </w:r>
      <w:r>
        <w:rPr/>
        <w:t xml:space="preserve"> </w:t>
      </w:r>
    </w:p>
    <w:p xmlns:wp14="http://schemas.microsoft.com/office/word/2010/wordml" w14:paraId="256CCCF0" wp14:textId="77777777">
      <w:pPr>
        <w:numPr>
          <w:ilvl w:val="0"/>
          <w:numId w:val="1"/>
        </w:numPr>
        <w:spacing w:before="0" w:after="3" w:line="359" w:lineRule="auto"/>
        <w:ind w:left="721" w:right="2" w:hanging="360"/>
      </w:pPr>
      <w:r>
        <w:rPr>
          <w:rFonts w:ascii="Arial" w:hAnsi="Arial" w:eastAsia="Arial" w:cs="Arial"/>
          <w:color w:val="222222"/>
        </w:rPr>
        <w:t xml:space="preserve">Sengupta, P., 2025. Introducing polysectionality: an innovative multidimensional policy framework towards decolonising global health.</w:t>
      </w:r>
      <w:r>
        <w:rPr>
          <w:color w:val="222222"/>
        </w:rPr>
        <w:t xml:space="preserve"> </w:t>
      </w:r>
      <w:r>
        <w:rPr>
          <w:rFonts w:ascii="Arial" w:hAnsi="Arial" w:eastAsia="Arial" w:cs="Arial"/>
          <w:i w:val="1"/>
          <w:color w:val="222222"/>
        </w:rPr>
        <w:t xml:space="preserve">Global Health Promotion</w:t>
      </w:r>
      <w:r>
        <w:rPr>
          <w:rFonts w:ascii="Arial" w:hAnsi="Arial" w:eastAsia="Arial" w:cs="Arial"/>
          <w:color w:val="222222"/>
        </w:rPr>
        <w:t xml:space="preserve">, p.17579759261446310.</w:t>
      </w:r>
      <w:r>
        <w:rPr/>
        <w:t xml:space="preserve"> </w:t>
      </w:r>
    </w:p>
    <w:p xmlns:wp14="http://schemas.microsoft.com/office/word/2010/wordml" w14:paraId="00BDC90F" wp14:textId="77777777">
      <w:pPr>
        <w:pStyle w:val="normal"/>
        <w:numPr>
          <w:ilvl w:val="0"/>
          <w:numId w:val="1"/>
        </w:numPr>
        <w:spacing w:before="0" w:after="4" w:line="359" w:lineRule="auto"/>
        <w:ind w:left="721" w:right="2" w:hanging="360"/>
      </w:pPr>
      <w:r>
        <w:rPr/>
        <w:t xml:space="preserve">United Nations [UN] (2015) </w:t>
      </w:r>
      <w:r>
        <w:rPr>
          <w:rFonts w:ascii="Arial" w:hAnsi="Arial" w:eastAsia="Arial" w:cs="Arial"/>
          <w:i w:val="1"/>
        </w:rPr>
        <w:t xml:space="preserve">Transforming</w:t>
      </w:r>
      <w:r>
        <w:rPr>
          <w:rFonts w:ascii="Arial" w:hAnsi="Arial" w:eastAsia="Arial" w:cs="Arial"/>
          <w:i w:val="1"/>
        </w:rPr>
        <w:t xml:space="preserve"> </w:t>
      </w:r>
      <w:r>
        <w:rPr>
          <w:rFonts w:ascii="Arial" w:hAnsi="Arial" w:eastAsia="Arial" w:cs="Arial"/>
          <w:i w:val="1"/>
        </w:rPr>
        <w:t xml:space="preserve">Our</w:t>
      </w:r>
      <w:r>
        <w:rPr>
          <w:rFonts w:ascii="Arial" w:hAnsi="Arial" w:eastAsia="Arial" w:cs="Arial"/>
          <w:i w:val="1"/>
        </w:rPr>
        <w:t xml:space="preserve"> </w:t>
      </w:r>
      <w:r>
        <w:rPr>
          <w:rFonts w:ascii="Arial" w:hAnsi="Arial" w:eastAsia="Arial" w:cs="Arial"/>
          <w:i w:val="1"/>
        </w:rPr>
        <w:t xml:space="preserve">World:</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2030</w:t>
      </w:r>
      <w:r>
        <w:rPr>
          <w:rFonts w:ascii="Arial" w:hAnsi="Arial" w:eastAsia="Arial" w:cs="Arial"/>
          <w:i w:val="1"/>
        </w:rPr>
        <w:t xml:space="preserve"> </w:t>
      </w:r>
      <w:r>
        <w:rPr>
          <w:rFonts w:ascii="Arial" w:hAnsi="Arial" w:eastAsia="Arial" w:cs="Arial"/>
          <w:i w:val="1"/>
        </w:rPr>
        <w:t xml:space="preserve">Agenda</w:t>
      </w:r>
      <w:r>
        <w:rPr>
          <w:rFonts w:ascii="Arial" w:hAnsi="Arial" w:eastAsia="Arial" w:cs="Arial"/>
          <w:i w:val="1"/>
        </w:rPr>
        <w:t xml:space="preserve"> </w:t>
      </w:r>
      <w:r>
        <w:rPr>
          <w:rFonts w:ascii="Arial" w:hAnsi="Arial" w:eastAsia="Arial" w:cs="Arial"/>
          <w:i w:val="1"/>
        </w:rPr>
        <w:t xml:space="preserve">for</w:t>
      </w:r>
      <w:r>
        <w:rPr>
          <w:rFonts w:ascii="Arial" w:hAnsi="Arial" w:eastAsia="Arial" w:cs="Arial"/>
          <w:i w:val="1"/>
        </w:rPr>
        <w:t xml:space="preserve"> </w:t>
      </w:r>
      <w:r>
        <w:rPr>
          <w:rFonts w:ascii="Arial" w:hAnsi="Arial" w:eastAsia="Arial" w:cs="Arial"/>
          <w:i w:val="1"/>
        </w:rPr>
        <w:t xml:space="preserve">Sustainable</w:t>
      </w:r>
      <w:r>
        <w:rPr>
          <w:rFonts w:ascii="Arial" w:hAnsi="Arial" w:eastAsia="Arial" w:cs="Arial"/>
          <w:i w:val="1"/>
        </w:rPr>
        <w:t xml:space="preserve"> </w:t>
      </w:r>
      <w:r>
        <w:rPr>
          <w:rFonts w:ascii="Arial" w:hAnsi="Arial" w:eastAsia="Arial" w:cs="Arial"/>
          <w:i w:val="1"/>
        </w:rPr>
        <w:t xml:space="preserve">Development</w:t>
      </w:r>
      <w:r>
        <w:rPr/>
        <w:t xml:space="preserve">. New York: United Nations. Available at: https://digitallibrary.un.org/record/3923923</w:t>
      </w:r>
      <w:r>
        <w:rPr/>
        <w:t xml:space="preserve"> </w:t>
      </w:r>
    </w:p>
    <w:p xmlns:wp14="http://schemas.microsoft.com/office/word/2010/wordml" w14:paraId="754EC3A4" wp14:textId="77777777">
      <w:pPr>
        <w:pStyle w:val="normal"/>
        <w:numPr>
          <w:ilvl w:val="0"/>
          <w:numId w:val="1"/>
        </w:numPr>
        <w:spacing w:before="0" w:after="4" w:line="359" w:lineRule="auto"/>
        <w:ind w:left="721" w:right="2" w:hanging="360"/>
      </w:pPr>
      <w:r>
        <w:rPr/>
        <w:t xml:space="preserve">United Nations Department of Economic and Social Affairs [UN DESA] (2018) </w:t>
      </w:r>
      <w:r>
        <w:rPr>
          <w:rFonts w:ascii="Arial" w:hAnsi="Arial" w:eastAsia="Arial" w:cs="Arial"/>
          <w:i w:val="1"/>
        </w:rPr>
        <w:t xml:space="preserve">World</w:t>
      </w:r>
      <w:r>
        <w:rPr>
          <w:rFonts w:ascii="Arial" w:hAnsi="Arial" w:eastAsia="Arial" w:cs="Arial"/>
          <w:i w:val="1"/>
        </w:rPr>
        <w:t xml:space="preserve"> </w:t>
      </w:r>
      <w:r>
        <w:rPr>
          <w:rFonts w:ascii="Arial" w:hAnsi="Arial" w:eastAsia="Arial" w:cs="Arial"/>
          <w:i w:val="1"/>
        </w:rPr>
        <w:t xml:space="preserve">Urbanisation</w:t>
      </w:r>
      <w:r>
        <w:rPr>
          <w:rFonts w:ascii="Arial" w:hAnsi="Arial" w:eastAsia="Arial" w:cs="Arial"/>
          <w:i w:val="1"/>
        </w:rPr>
        <w:t xml:space="preserve"> </w:t>
      </w:r>
      <w:r>
        <w:rPr>
          <w:rFonts w:ascii="Arial" w:hAnsi="Arial" w:eastAsia="Arial" w:cs="Arial"/>
          <w:i w:val="1"/>
        </w:rPr>
        <w:t xml:space="preserve">Prospects:</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2018</w:t>
      </w:r>
      <w:r>
        <w:rPr>
          <w:rFonts w:ascii="Arial" w:hAnsi="Arial" w:eastAsia="Arial" w:cs="Arial"/>
          <w:i w:val="1"/>
        </w:rPr>
        <w:t xml:space="preserve"> </w:t>
      </w:r>
      <w:r>
        <w:rPr>
          <w:rFonts w:ascii="Arial" w:hAnsi="Arial" w:eastAsia="Arial" w:cs="Arial"/>
          <w:i w:val="1"/>
        </w:rPr>
        <w:t xml:space="preserve">Revision</w:t>
      </w:r>
      <w:r>
        <w:rPr/>
        <w:t xml:space="preserve">. New York: United Nations. Available at: https://population.un.org/wup/assets/WUP2018</w:t>
      </w:r>
      <w:r>
        <w:rPr/>
        <w:t xml:space="preserve">-</w:t>
      </w:r>
      <w:r>
        <w:rPr/>
        <w:t xml:space="preserve">Report.pdf</w:t>
      </w:r>
      <w:r>
        <w:rPr/>
        <w:t xml:space="preserve"> </w:t>
      </w:r>
    </w:p>
    <w:p xmlns:wp14="http://schemas.microsoft.com/office/word/2010/wordml" w14:paraId="2E7F4806" wp14:textId="77777777">
      <w:pPr>
        <w:pStyle w:val="normal"/>
        <w:numPr>
          <w:ilvl w:val="0"/>
          <w:numId w:val="1"/>
        </w:numPr>
        <w:spacing w:before="0" w:after="4" w:line="359" w:lineRule="auto"/>
        <w:ind w:left="721" w:right="2" w:hanging="360"/>
      </w:pPr>
      <w:r>
        <w:rPr/>
        <w:t xml:space="preserve">Wallace, J. (2021) </w:t>
      </w:r>
      <w:r>
        <w:rPr>
          <w:rFonts w:ascii="Arial" w:hAnsi="Arial" w:eastAsia="Arial" w:cs="Arial"/>
          <w:i w:val="1"/>
        </w:rPr>
        <w:t xml:space="preserve">Wellbeing</w:t>
      </w:r>
      <w:r>
        <w:rPr>
          <w:rFonts w:ascii="Arial" w:hAnsi="Arial" w:eastAsia="Arial" w:cs="Arial"/>
          <w:i w:val="1"/>
        </w:rPr>
        <w:t xml:space="preserve"> </w:t>
      </w:r>
      <w:r>
        <w:rPr>
          <w:rFonts w:ascii="Arial" w:hAnsi="Arial" w:eastAsia="Arial" w:cs="Arial"/>
          <w:i w:val="1"/>
        </w:rPr>
        <w:t xml:space="preserve">and</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Future</w:t>
      </w:r>
      <w:r>
        <w:rPr>
          <w:rFonts w:ascii="Arial" w:hAnsi="Arial" w:eastAsia="Arial" w:cs="Arial"/>
          <w:i w:val="1"/>
        </w:rPr>
        <w:t xml:space="preserve"> </w:t>
      </w:r>
      <w:r>
        <w:rPr>
          <w:rFonts w:ascii="Arial" w:hAnsi="Arial" w:eastAsia="Arial" w:cs="Arial"/>
          <w:i w:val="1"/>
        </w:rPr>
        <w:t xml:space="preserve">Generation:</w:t>
      </w:r>
      <w:r>
        <w:rPr>
          <w:rFonts w:ascii="Arial" w:hAnsi="Arial" w:eastAsia="Arial" w:cs="Arial"/>
          <w:i w:val="1"/>
        </w:rPr>
        <w:t xml:space="preserve"> </w:t>
      </w:r>
      <w:r>
        <w:rPr>
          <w:rFonts w:ascii="Arial" w:hAnsi="Arial" w:eastAsia="Arial" w:cs="Arial"/>
          <w:i w:val="1"/>
        </w:rPr>
        <w:t xml:space="preserve">Implementing</w:t>
      </w:r>
      <w:r>
        <w:rPr>
          <w:rFonts w:ascii="Arial" w:hAnsi="Arial" w:eastAsia="Arial" w:cs="Arial"/>
          <w:i w:val="1"/>
        </w:rPr>
        <w:t xml:space="preserve"> </w:t>
      </w:r>
      <w:r>
        <w:rPr>
          <w:rFonts w:ascii="Arial" w:hAnsi="Arial" w:eastAsia="Arial" w:cs="Arial"/>
          <w:i w:val="1"/>
        </w:rPr>
        <w:t xml:space="preserve">Legislative</w:t>
      </w:r>
      <w:r>
        <w:rPr>
          <w:rFonts w:ascii="Arial" w:hAnsi="Arial" w:eastAsia="Arial" w:cs="Arial"/>
          <w:i w:val="1"/>
        </w:rPr>
        <w:t xml:space="preserve"> </w:t>
      </w:r>
      <w:r>
        <w:rPr>
          <w:rFonts w:ascii="Arial" w:hAnsi="Arial" w:eastAsia="Arial" w:cs="Arial"/>
          <w:i w:val="1"/>
        </w:rPr>
        <w:t xml:space="preserve">Change</w:t>
      </w:r>
      <w:r>
        <w:rPr>
          <w:rFonts w:ascii="Arial" w:hAnsi="Arial" w:eastAsia="Arial" w:cs="Arial"/>
          <w:i w:val="1"/>
        </w:rPr>
        <w:t xml:space="preserve"> </w:t>
      </w:r>
      <w:r>
        <w:rPr>
          <w:rFonts w:ascii="Arial" w:hAnsi="Arial" w:eastAsia="Arial" w:cs="Arial"/>
          <w:i w:val="1"/>
        </w:rPr>
        <w:t xml:space="preserve">in</w:t>
      </w:r>
      <w:r>
        <w:rPr>
          <w:rFonts w:ascii="Arial" w:hAnsi="Arial" w:eastAsia="Arial" w:cs="Arial"/>
          <w:i w:val="1"/>
        </w:rPr>
        <w:t xml:space="preserve"> </w:t>
      </w:r>
      <w:r>
        <w:rPr>
          <w:rFonts w:ascii="Arial" w:hAnsi="Arial" w:eastAsia="Arial" w:cs="Arial"/>
          <w:i w:val="1"/>
        </w:rPr>
        <w:t xml:space="preserve">Wales</w:t>
      </w:r>
      <w:r>
        <w:rPr/>
        <w:t xml:space="preserve">. Cardiff: Wales Governance Centre. Available at: </w:t>
      </w:r>
    </w:p>
    <w:p xmlns:wp14="http://schemas.microsoft.com/office/word/2010/wordml" w14:paraId="66162288" wp14:textId="77777777">
      <w:pPr>
        <w:pStyle w:val="normal"/>
        <w:spacing w:before="0" w:after="118" w:line="259" w:lineRule="auto"/>
        <w:ind w:left="721" w:right="2" w:firstLine="0"/>
      </w:pPr>
      <w:r>
        <w:rPr/>
        <w:t xml:space="preserve">https://www.gov.wales/well</w:t>
      </w:r>
      <w:r>
        <w:rPr/>
        <w:t xml:space="preserve">-</w:t>
      </w:r>
      <w:r>
        <w:rPr/>
        <w:t xml:space="preserve">being</w:t>
      </w:r>
      <w:r>
        <w:rPr/>
        <w:t xml:space="preserve">-</w:t>
      </w:r>
      <w:r>
        <w:rPr/>
        <w:t xml:space="preserve">future</w:t>
      </w:r>
      <w:r>
        <w:rPr/>
        <w:t xml:space="preserve">-</w:t>
      </w:r>
      <w:r>
        <w:rPr/>
        <w:t xml:space="preserve">generations</w:t>
      </w:r>
      <w:r>
        <w:rPr/>
        <w:t xml:space="preserve">-</w:t>
      </w:r>
      <w:r>
        <w:rPr/>
        <w:t xml:space="preserve">act</w:t>
      </w:r>
      <w:r>
        <w:rPr/>
        <w:t xml:space="preserve">-</w:t>
      </w:r>
      <w:r>
        <w:rPr/>
        <w:t xml:space="preserve">essentials</w:t>
      </w:r>
      <w:r>
        <w:rPr/>
        <w:t xml:space="preserve">-</w:t>
      </w:r>
      <w:r>
        <w:rPr/>
        <w:t xml:space="preserve">html</w:t>
      </w:r>
      <w:r>
        <w:rPr/>
        <w:t xml:space="preserve"> </w:t>
      </w:r>
    </w:p>
    <w:p xmlns:wp14="http://schemas.microsoft.com/office/word/2010/wordml" w14:paraId="1477C3A2" wp14:textId="77777777">
      <w:pPr>
        <w:pStyle w:val="normal"/>
        <w:numPr>
          <w:ilvl w:val="0"/>
          <w:numId w:val="1"/>
        </w:numPr>
        <w:spacing w:before="0" w:after="4" w:line="359" w:lineRule="auto"/>
        <w:ind w:left="721" w:right="2" w:hanging="360"/>
      </w:pPr>
      <w:r>
        <w:rPr/>
        <w:t xml:space="preserve">Welsh Government (2015) </w:t>
      </w:r>
      <w:r>
        <w:rPr>
          <w:rFonts w:ascii="Arial" w:hAnsi="Arial" w:eastAsia="Arial" w:cs="Arial"/>
          <w:i w:val="1"/>
        </w:rPr>
        <w:t xml:space="preserve">Well</w:t>
      </w:r>
      <w:r>
        <w:rPr>
          <w:rFonts w:ascii="Arial" w:hAnsi="Arial" w:eastAsia="Arial" w:cs="Arial"/>
          <w:i w:val="1"/>
        </w:rPr>
        <w:t xml:space="preserve">-</w:t>
      </w:r>
      <w:r>
        <w:rPr>
          <w:rFonts w:ascii="Arial" w:hAnsi="Arial" w:eastAsia="Arial" w:cs="Arial"/>
          <w:i w:val="1"/>
        </w:rPr>
        <w:t xml:space="preserve">being</w:t>
      </w:r>
      <w:r>
        <w:rPr>
          <w:rFonts w:ascii="Arial" w:hAnsi="Arial" w:eastAsia="Arial" w:cs="Arial"/>
          <w:i w:val="1"/>
        </w:rPr>
        <w:t xml:space="preserve"> </w:t>
      </w:r>
      <w:r>
        <w:rPr>
          <w:rFonts w:ascii="Arial" w:hAnsi="Arial" w:eastAsia="Arial" w:cs="Arial"/>
          <w:i w:val="1"/>
        </w:rPr>
        <w:t xml:space="preserve">of</w:t>
      </w:r>
      <w:r>
        <w:rPr>
          <w:rFonts w:ascii="Arial" w:hAnsi="Arial" w:eastAsia="Arial" w:cs="Arial"/>
          <w:i w:val="1"/>
        </w:rPr>
        <w:t xml:space="preserve"> </w:t>
      </w:r>
      <w:r>
        <w:rPr>
          <w:rFonts w:ascii="Arial" w:hAnsi="Arial" w:eastAsia="Arial" w:cs="Arial"/>
          <w:i w:val="1"/>
        </w:rPr>
        <w:t xml:space="preserve">Future</w:t>
      </w:r>
      <w:r>
        <w:rPr>
          <w:rFonts w:ascii="Arial" w:hAnsi="Arial" w:eastAsia="Arial" w:cs="Arial"/>
          <w:i w:val="1"/>
        </w:rPr>
        <w:t xml:space="preserve"> </w:t>
      </w:r>
      <w:r>
        <w:rPr>
          <w:rFonts w:ascii="Arial" w:hAnsi="Arial" w:eastAsia="Arial" w:cs="Arial"/>
          <w:i w:val="1"/>
        </w:rPr>
        <w:t xml:space="preserve">Generations</w:t>
      </w:r>
      <w:r>
        <w:rPr>
          <w:rFonts w:ascii="Arial" w:hAnsi="Arial" w:eastAsia="Arial" w:cs="Arial"/>
          <w:i w:val="1"/>
        </w:rPr>
        <w:t xml:space="preserve"> </w:t>
      </w:r>
      <w:r>
        <w:rPr>
          <w:rFonts w:ascii="Arial" w:hAnsi="Arial" w:eastAsia="Arial" w:cs="Arial"/>
          <w:i w:val="1"/>
        </w:rPr>
        <w:t xml:space="preserve">(Wales)</w:t>
      </w:r>
      <w:r>
        <w:rPr>
          <w:rFonts w:ascii="Arial" w:hAnsi="Arial" w:eastAsia="Arial" w:cs="Arial"/>
          <w:i w:val="1"/>
        </w:rPr>
        <w:t xml:space="preserve"> </w:t>
      </w:r>
      <w:r>
        <w:rPr>
          <w:rFonts w:ascii="Arial" w:hAnsi="Arial" w:eastAsia="Arial" w:cs="Arial"/>
          <w:i w:val="1"/>
        </w:rPr>
        <w:t xml:space="preserve">Act</w:t>
      </w:r>
      <w:r>
        <w:rPr>
          <w:rFonts w:ascii="Arial" w:hAnsi="Arial" w:eastAsia="Arial" w:cs="Arial"/>
          <w:i w:val="1"/>
        </w:rPr>
        <w:t xml:space="preserve"> </w:t>
      </w:r>
      <w:r>
        <w:rPr>
          <w:rFonts w:ascii="Arial" w:hAnsi="Arial" w:eastAsia="Arial" w:cs="Arial"/>
          <w:i w:val="1"/>
        </w:rPr>
        <w:t xml:space="preserve">2015:</w:t>
      </w:r>
      <w:r>
        <w:rPr>
          <w:rFonts w:ascii="Arial" w:hAnsi="Arial" w:eastAsia="Arial" w:cs="Arial"/>
          <w:i w:val="1"/>
        </w:rPr>
        <w:t xml:space="preserve"> </w:t>
      </w:r>
      <w:r>
        <w:rPr>
          <w:rFonts w:ascii="Arial" w:hAnsi="Arial" w:eastAsia="Arial" w:cs="Arial"/>
          <w:i w:val="1"/>
        </w:rPr>
        <w:t xml:space="preserve">Essentials</w:t>
      </w:r>
      <w:r>
        <w:rPr>
          <w:rFonts w:ascii="Arial" w:hAnsi="Arial" w:eastAsia="Arial" w:cs="Arial"/>
          <w:i w:val="1"/>
        </w:rPr>
        <w:t xml:space="preserve"> </w:t>
      </w:r>
      <w:r>
        <w:rPr>
          <w:rFonts w:ascii="Arial" w:hAnsi="Arial" w:eastAsia="Arial" w:cs="Arial"/>
          <w:i w:val="1"/>
        </w:rPr>
        <w:t xml:space="preserve">Guide</w:t>
      </w:r>
      <w:r>
        <w:rPr/>
        <w:t xml:space="preserve">. Cardiff: Welsh Government. Available at: </w:t>
      </w:r>
    </w:p>
    <w:p xmlns:wp14="http://schemas.microsoft.com/office/word/2010/wordml" w14:paraId="0937C313" wp14:textId="77777777">
      <w:pPr>
        <w:pStyle w:val="normal"/>
        <w:spacing w:before="0" w:after="113" w:line="259" w:lineRule="auto"/>
        <w:ind w:left="721" w:right="2" w:firstLine="0"/>
      </w:pPr>
      <w:r>
        <w:rPr/>
        <w:t xml:space="preserve">https://www.gov.wales/well</w:t>
      </w:r>
      <w:r>
        <w:rPr/>
        <w:t xml:space="preserve">-</w:t>
      </w:r>
      <w:r>
        <w:rPr/>
        <w:t xml:space="preserve">being</w:t>
      </w:r>
      <w:r>
        <w:rPr/>
        <w:t xml:space="preserve">-</w:t>
      </w:r>
      <w:r>
        <w:rPr/>
        <w:t xml:space="preserve">future</w:t>
      </w:r>
      <w:r>
        <w:rPr/>
        <w:t xml:space="preserve">-</w:t>
      </w:r>
      <w:r>
        <w:rPr/>
        <w:t xml:space="preserve">generations</w:t>
      </w:r>
      <w:r>
        <w:rPr/>
        <w:t xml:space="preserve">-</w:t>
      </w:r>
      <w:r>
        <w:rPr/>
        <w:t xml:space="preserve">act</w:t>
      </w:r>
      <w:r>
        <w:rPr/>
        <w:t xml:space="preserve">-</w:t>
      </w:r>
      <w:r>
        <w:rPr/>
        <w:t xml:space="preserve">essentials</w:t>
      </w:r>
      <w:r>
        <w:rPr/>
        <w:t xml:space="preserve">-</w:t>
      </w:r>
      <w:r>
        <w:rPr/>
        <w:t xml:space="preserve">html</w:t>
      </w:r>
      <w:r>
        <w:rPr/>
        <w:t xml:space="preserve"> </w:t>
      </w:r>
    </w:p>
    <w:p xmlns:wp14="http://schemas.microsoft.com/office/word/2010/wordml" w14:paraId="45B177AE" wp14:textId="77777777">
      <w:pPr>
        <w:pStyle w:val="normal"/>
        <w:numPr>
          <w:ilvl w:val="0"/>
          <w:numId w:val="1"/>
        </w:numPr>
        <w:spacing w:before="0" w:after="138" w:line="259" w:lineRule="auto"/>
        <w:ind w:left="721" w:right="2" w:hanging="360"/>
      </w:pPr>
      <w:r>
        <w:rPr/>
        <w:t xml:space="preserve">World Health Organisation [WHO] (2021) </w:t>
      </w:r>
      <w:r>
        <w:rPr>
          <w:rFonts w:ascii="Arial" w:hAnsi="Arial" w:eastAsia="Arial" w:cs="Arial"/>
          <w:i w:val="1"/>
        </w:rPr>
        <w:t xml:space="preserve">WHO</w:t>
      </w:r>
      <w:r>
        <w:rPr>
          <w:rFonts w:ascii="Arial" w:hAnsi="Arial" w:eastAsia="Arial" w:cs="Arial"/>
          <w:i w:val="1"/>
        </w:rPr>
        <w:t xml:space="preserve"> </w:t>
      </w:r>
      <w:r>
        <w:rPr>
          <w:rFonts w:ascii="Arial" w:hAnsi="Arial" w:eastAsia="Arial" w:cs="Arial"/>
          <w:i w:val="1"/>
        </w:rPr>
        <w:t xml:space="preserve">Global</w:t>
      </w:r>
      <w:r>
        <w:rPr>
          <w:rFonts w:ascii="Arial" w:hAnsi="Arial" w:eastAsia="Arial" w:cs="Arial"/>
          <w:i w:val="1"/>
        </w:rPr>
        <w:t xml:space="preserve"> </w:t>
      </w:r>
      <w:r>
        <w:rPr>
          <w:rFonts w:ascii="Arial" w:hAnsi="Arial" w:eastAsia="Arial" w:cs="Arial"/>
          <w:i w:val="1"/>
        </w:rPr>
        <w:t xml:space="preserve">Air</w:t>
      </w:r>
      <w:r>
        <w:rPr>
          <w:rFonts w:ascii="Arial" w:hAnsi="Arial" w:eastAsia="Arial" w:cs="Arial"/>
          <w:i w:val="1"/>
        </w:rPr>
        <w:t xml:space="preserve"> </w:t>
      </w:r>
      <w:r>
        <w:rPr>
          <w:rFonts w:ascii="Arial" w:hAnsi="Arial" w:eastAsia="Arial" w:cs="Arial"/>
          <w:i w:val="1"/>
        </w:rPr>
        <w:t xml:space="preserve">Quality</w:t>
      </w:r>
      <w:r>
        <w:rPr>
          <w:rFonts w:ascii="Arial" w:hAnsi="Arial" w:eastAsia="Arial" w:cs="Arial"/>
          <w:i w:val="1"/>
        </w:rPr>
        <w:t xml:space="preserve"> </w:t>
      </w:r>
      <w:r>
        <w:rPr>
          <w:rFonts w:ascii="Arial" w:hAnsi="Arial" w:eastAsia="Arial" w:cs="Arial"/>
          <w:i w:val="1"/>
        </w:rPr>
        <w:t xml:space="preserve">Guidelines</w:t>
      </w:r>
      <w:r>
        <w:rPr/>
        <w:t xml:space="preserve">. </w:t>
      </w:r>
    </w:p>
    <w:p xmlns:wp14="http://schemas.microsoft.com/office/word/2010/wordml" w14:paraId="420B8A39" wp14:textId="77777777">
      <w:pPr>
        <w:pStyle w:val="normal"/>
        <w:tabs>
          <w:tab w:val="center" w:pos="1176"/>
          <w:tab w:val="center" w:pos="2624"/>
          <w:tab w:val="center" w:pos="3966"/>
          <w:tab w:val="center" w:pos="5711"/>
          <w:tab w:val="center" w:pos="7596"/>
          <w:tab w:val="right" w:pos="9036"/>
        </w:tabs>
        <w:spacing w:before="0" w:after="125" w:line="259" w:lineRule="auto"/>
        <w:ind w:right="0" w:firstLine="0"/>
        <w:jc w:val="left"/>
      </w:pPr>
      <w:r>
        <w:rPr>
          <w:rFonts w:ascii="Calibri" w:hAnsi="Calibri" w:eastAsia="Calibri" w:cs="Calibri"/>
          <w:color w:val="000000"/>
          <w:sz w:val="22"/>
        </w:rPr>
        <w:t xml:space="preserve">	</w:t>
      </w:r>
      <w:r>
        <w:rPr/>
        <w:t xml:space="preserve">Geneva: 	World 	Health 	Organisation. 	Available 	at: </w:t>
      </w:r>
    </w:p>
    <w:p xmlns:wp14="http://schemas.microsoft.com/office/word/2010/wordml" w14:paraId="78E2EC11" wp14:textId="77777777">
      <w:pPr>
        <w:pStyle w:val="normal"/>
        <w:spacing w:before="0" w:after="118" w:line="259" w:lineRule="auto"/>
        <w:ind w:left="721" w:right="2" w:firstLine="0"/>
      </w:pPr>
      <w:r>
        <w:rPr/>
        <w:t xml:space="preserve">https://www.who.int/publications/i/item/9789240034228/</w:t>
      </w:r>
      <w:r>
        <w:rPr/>
        <w:t xml:space="preserve"> </w:t>
      </w:r>
    </w:p>
    <w:p xmlns:wp14="http://schemas.microsoft.com/office/word/2010/wordml" w14:paraId="450C5C6F" wp14:textId="77777777">
      <w:pPr>
        <w:pStyle w:val="normal"/>
        <w:numPr>
          <w:ilvl w:val="0"/>
          <w:numId w:val="1"/>
        </w:numPr>
        <w:spacing w:before="0" w:after="4" w:line="359" w:lineRule="auto"/>
        <w:ind w:left="721" w:right="2" w:hanging="360"/>
      </w:pPr>
      <w:r>
        <w:rPr/>
        <w:t xml:space="preserve">World Health Organisation [WHO] (2023) </w:t>
      </w:r>
      <w:r>
        <w:rPr>
          <w:rFonts w:ascii="Arial" w:hAnsi="Arial" w:eastAsia="Arial" w:cs="Arial"/>
          <w:i w:val="1"/>
        </w:rPr>
        <w:t xml:space="preserve">World</w:t>
      </w:r>
      <w:r>
        <w:rPr>
          <w:rFonts w:ascii="Arial" w:hAnsi="Arial" w:eastAsia="Arial" w:cs="Arial"/>
          <w:i w:val="1"/>
        </w:rPr>
        <w:t xml:space="preserve"> </w:t>
      </w:r>
      <w:r>
        <w:rPr>
          <w:rFonts w:ascii="Arial" w:hAnsi="Arial" w:eastAsia="Arial" w:cs="Arial"/>
          <w:i w:val="1"/>
        </w:rPr>
        <w:t xml:space="preserve">Health</w:t>
      </w:r>
      <w:r>
        <w:rPr>
          <w:rFonts w:ascii="Arial" w:hAnsi="Arial" w:eastAsia="Arial" w:cs="Arial"/>
          <w:i w:val="1"/>
        </w:rPr>
        <w:t xml:space="preserve"> </w:t>
      </w:r>
      <w:r>
        <w:rPr>
          <w:rFonts w:ascii="Arial" w:hAnsi="Arial" w:eastAsia="Arial" w:cs="Arial"/>
          <w:i w:val="1"/>
        </w:rPr>
        <w:t xml:space="preserve">Statistics</w:t>
      </w:r>
      <w:r>
        <w:rPr>
          <w:rFonts w:ascii="Arial" w:hAnsi="Arial" w:eastAsia="Arial" w:cs="Arial"/>
          <w:i w:val="1"/>
        </w:rPr>
        <w:t xml:space="preserve"> </w:t>
      </w:r>
      <w:r>
        <w:rPr>
          <w:rFonts w:ascii="Arial" w:hAnsi="Arial" w:eastAsia="Arial" w:cs="Arial"/>
          <w:i w:val="1"/>
        </w:rPr>
        <w:t xml:space="preserve">2023:</w:t>
      </w:r>
      <w:r>
        <w:rPr>
          <w:rFonts w:ascii="Arial" w:hAnsi="Arial" w:eastAsia="Arial" w:cs="Arial"/>
          <w:i w:val="1"/>
        </w:rPr>
        <w:t xml:space="preserve"> </w:t>
      </w:r>
      <w:r>
        <w:rPr>
          <w:rFonts w:ascii="Arial" w:hAnsi="Arial" w:eastAsia="Arial" w:cs="Arial"/>
          <w:i w:val="1"/>
        </w:rPr>
        <w:t xml:space="preserve">Monitoring</w:t>
      </w:r>
      <w:r>
        <w:rPr>
          <w:rFonts w:ascii="Arial" w:hAnsi="Arial" w:eastAsia="Arial" w:cs="Arial"/>
          <w:i w:val="1"/>
        </w:rPr>
        <w:t xml:space="preserve"> </w:t>
      </w:r>
      <w:r>
        <w:rPr>
          <w:rFonts w:ascii="Arial" w:hAnsi="Arial" w:eastAsia="Arial" w:cs="Arial"/>
          <w:i w:val="1"/>
        </w:rPr>
        <w:t xml:space="preserve">Health</w:t>
      </w:r>
      <w:r>
        <w:rPr>
          <w:rFonts w:ascii="Arial" w:hAnsi="Arial" w:eastAsia="Arial" w:cs="Arial"/>
          <w:i w:val="1"/>
        </w:rPr>
        <w:t xml:space="preserve"> </w:t>
      </w:r>
      <w:r>
        <w:rPr>
          <w:rFonts w:ascii="Arial" w:hAnsi="Arial" w:eastAsia="Arial" w:cs="Arial"/>
          <w:i w:val="1"/>
        </w:rPr>
        <w:t xml:space="preserve">for</w:t>
      </w:r>
      <w:r>
        <w:rPr>
          <w:rFonts w:ascii="Arial" w:hAnsi="Arial" w:eastAsia="Arial" w:cs="Arial"/>
          <w:i w:val="1"/>
        </w:rPr>
        <w:t xml:space="preserve"> </w:t>
      </w:r>
      <w:r>
        <w:rPr>
          <w:rFonts w:ascii="Arial" w:hAnsi="Arial" w:eastAsia="Arial" w:cs="Arial"/>
          <w:i w:val="1"/>
        </w:rPr>
        <w:t xml:space="preserve">the</w:t>
      </w:r>
      <w:r>
        <w:rPr>
          <w:rFonts w:ascii="Arial" w:hAnsi="Arial" w:eastAsia="Arial" w:cs="Arial"/>
          <w:i w:val="1"/>
        </w:rPr>
        <w:t xml:space="preserve"> </w:t>
      </w:r>
      <w:r>
        <w:rPr>
          <w:rFonts w:ascii="Arial" w:hAnsi="Arial" w:eastAsia="Arial" w:cs="Arial"/>
          <w:i w:val="1"/>
        </w:rPr>
        <w:t xml:space="preserve">SDGs</w:t>
      </w:r>
      <w:r>
        <w:rPr/>
        <w:t xml:space="preserve">. Geneva: World Health Organisation. Available at: https://www.who.int/publications/i/item/9789240074323</w:t>
      </w:r>
      <w:r>
        <w:rPr/>
        <w:t xml:space="preserve"> </w:t>
      </w:r>
    </w:p>
    <w:sectPr>
      <w:headerReference w:type="even" r:id="rId3"/>
      <w:headerReference w:type="default" r:id="rId2"/>
      <w:headerReference w:type="first" r:id="rId1"/>
      <w:pgSz w:w="11905" w:h="16840" w:orient="portrait"/>
      <w:pgMar w:top="1440" w:right="1429" w:bottom="1455" w:left="1441"/>
      <w:pgNumType w:fmt="decimal"/>
      <w:cols/>
      <w:titlePg/>
    </w:sectPr>
  </w:body>
</w:document>
</file>

<file path=word/header1.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6A05A809" wp14:textId="77777777">
    <w:pPr>
      <w:bidi w:val="0"/>
      <w:spacing w:before="0" w:after="160" w:line="259" w:lineRule="auto"/>
      <w:ind w:left="0" w:right="0" w:firstLine="0"/>
      <w:jc w:val="left"/>
    </w:pPr>
  </w:p>
</w:hdr>
</file>

<file path=word/header2.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5824BEF3" wp14:textId="77777777">
    <w:pPr>
      <w:spacing w:before="0" w:after="0" w:line="259" w:lineRule="auto"/>
      <w:ind w:right="5" w:firstLine="0"/>
      <w:jc w:val="right"/>
    </w:pPr>
    <w:r>
      <w:fldChar w:fldCharType="begin"/>
    </w:r>
    <w:r>
      <w:instrText> PAGE   \* MERGEFORMAT </w:instrText>
    </w:r>
    <w:r>
      <w:fldChar w:fldCharType="separate"/>
    </w:r>
    <w:r>
      <w:rPr>
        <w:rFonts w:ascii="Calibri" w:hAnsi="Calibri" w:eastAsia="Calibri" w:cs="Calibri"/>
        <w:color w:val="000000"/>
      </w:rPr>
      <w:t xml:space="preserve">2</w:t>
    </w:r>
    <w:r>
      <w:fldChar w:fldCharType="end"/>
    </w:r>
    <w:r>
      <w:rPr>
        <w:rFonts w:ascii="Calibri" w:hAnsi="Calibri" w:eastAsia="Calibri" w:cs="Calibri"/>
        <w:color w:val="000000"/>
      </w:rPr>
      <w:t xml:space="preserve"> </w:t>
    </w:r>
  </w:p>
  <w:p xmlns:wp14="http://schemas.microsoft.com/office/word/2010/wordml" w14:paraId="455E230F" wp14:textId="77777777">
    <w:pPr>
      <w:spacing w:before="0" w:after="0" w:line="259" w:lineRule="auto"/>
      <w:ind w:right="0" w:firstLine="0"/>
      <w:jc w:val="left"/>
    </w:pPr>
    <w:r>
      <w:rPr>
        <w:rFonts w:ascii="Calibri" w:hAnsi="Calibri" w:eastAsia="Calibri" w:cs="Calibri"/>
        <w:color w:val="000000"/>
      </w:rPr>
      <w:t xml:space="preserve"> </w:t>
    </w:r>
  </w:p>
</w:hdr>
</file>

<file path=word/header3.xml><?xml version="1.0" encoding="utf-8"?>
<w:hdr xmlns:w14="http://schemas.microsoft.com/office/word/2010/wordml" xmlns:wp14="http://schemas.microsoft.com/office/word/2010/wordprocessingDrawing" xmlns:wp="http://schemas.openxmlformats.org/drawingml/2006/wordprocessingDrawing" xmlns:r="http://schemas.openxmlformats.org/officeDocument/2006/relationships" xmlns:a="http://schemas.openxmlformats.org/drawingml/2006/main" xmlns:wps="http://schemas.microsoft.com/office/word/2010/wordprocessingShape" xmlns:mc="http://schemas.openxmlformats.org/markup-compatibility/2006" xmlns:v="urn:schemas-microsoft-com:vml" xmlns:w10="urn:schemas-microsoft-com:office:word" xmlns:wpg="http://schemas.microsoft.com/office/word/2010/wordprocessingGroup" xmlns:w="http://schemas.openxmlformats.org/wordprocessingml/2006/main" mc:Ignorable="w14 wp14">
  <w:p xmlns:wp14="http://schemas.microsoft.com/office/word/2010/wordml" w14:paraId="6AE6752F" wp14:textId="77777777">
    <w:pPr>
      <w:spacing w:before="0" w:after="0" w:line="259" w:lineRule="auto"/>
      <w:ind w:right="5" w:firstLine="0"/>
      <w:jc w:val="right"/>
    </w:pPr>
    <w:r>
      <w:fldChar w:fldCharType="begin"/>
    </w:r>
    <w:r>
      <w:instrText> PAGE   \* MERGEFORMAT </w:instrText>
    </w:r>
    <w:r>
      <w:fldChar w:fldCharType="separate"/>
    </w:r>
    <w:r>
      <w:rPr>
        <w:rFonts w:ascii="Calibri" w:hAnsi="Calibri" w:eastAsia="Calibri" w:cs="Calibri"/>
        <w:color w:val="000000"/>
      </w:rPr>
      <w:t xml:space="preserve">2</w:t>
    </w:r>
    <w:r>
      <w:fldChar w:fldCharType="end"/>
    </w:r>
    <w:r>
      <w:rPr>
        <w:rFonts w:ascii="Calibri" w:hAnsi="Calibri" w:eastAsia="Calibri" w:cs="Calibri"/>
        <w:color w:val="000000"/>
      </w:rPr>
      <w:t xml:space="preserve"> </w:t>
    </w:r>
  </w:p>
  <w:p xmlns:wp14="http://schemas.microsoft.com/office/word/2010/wordml" w14:paraId="131F8F3A" wp14:textId="77777777">
    <w:pPr>
      <w:spacing w:before="0" w:after="0" w:line="259" w:lineRule="auto"/>
      <w:ind w:right="0" w:firstLine="0"/>
      <w:jc w:val="left"/>
    </w:pPr>
    <w:r>
      <w:rPr>
        <w:rFonts w:ascii="Calibri" w:hAnsi="Calibri" w:eastAsia="Calibri" w:cs="Calibri"/>
        <w:color w:val="000000"/>
      </w:rPr>
      <w:t xml:space="preserve"> </w:t>
    </w:r>
  </w:p>
</w:hdr>
</file>

<file path=word/numbering.xml><?xml version="1.0" encoding="utf-8"?>
<w:numbering xmlns:mc="http://schemas.openxmlformats.org/markup-compatibility/2006" xmlns:w14="http://schemas.microsoft.com/office/word/2010/wordml" xmlns:wp14="http://schemas.microsoft.com/office/word/2010/wordml" xmlns:wp="http://schemas.openxmlformats.org/drawingml/2006/wordprocessingDrawing" xmlns:v="urn:schemas-microsoft-com:vml" xmlns:o="urn:schemas-microsoft-com:office:office" xmlns:r="http://schemas.openxmlformats.org/officeDocument/2006/relationships" xmlns:w="http://schemas.openxmlformats.org/wordprocessingml/2006/main" mc:Ignorable="w14 wp14">
  <w:abstractNum w:abstractNumId="0">
    <w:nsid w:val="11863784"/>
    <w:multiLevelType w:val="hybridMultilevel"/>
    <w:lvl w:ilvl="0">
      <w:start w:val="1"/>
      <w:numFmt w:val="bullet"/>
      <w:lvlText w:val="•"/>
      <w:pPr>
        <w:ind w:left="721"/>
      </w:pPr>
      <w:rPr>
        <w:rFonts w:ascii="Arial" w:hAnsi="Arial" w:eastAsia="Arial" w:cs="Arial"/>
        <w:b w:val="0"/>
        <w:i w:val="0"/>
        <w:strike w:val="0"/>
        <w:dstrike w:val="0"/>
        <w:color w:val="1f1f1f"/>
        <w:sz w:val="20"/>
        <w:szCs w:val="20"/>
        <w:u w:val="none" w:color="000000"/>
        <w:bdr w:val="none"/>
        <w:shd w:val="clear"/>
        <w:vertAlign w:val="baseline"/>
      </w:rPr>
    </w:lvl>
    <w:lvl w:ilvl="1">
      <w:start w:val="1"/>
      <w:numFmt w:val="bullet"/>
      <w:lvlText w:val="o"/>
      <w:pPr>
        <w:ind w:left="121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lvl w:ilvl="2">
      <w:start w:val="1"/>
      <w:numFmt w:val="bullet"/>
      <w:lvlText w:val="▪"/>
      <w:pPr>
        <w:ind w:left="193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lvl w:ilvl="3">
      <w:start w:val="1"/>
      <w:numFmt w:val="bullet"/>
      <w:lvlText w:val="•"/>
      <w:pPr>
        <w:ind w:left="2654"/>
      </w:pPr>
      <w:rPr>
        <w:rFonts w:ascii="Arial" w:hAnsi="Arial" w:eastAsia="Arial" w:cs="Arial"/>
        <w:b w:val="0"/>
        <w:i w:val="0"/>
        <w:strike w:val="0"/>
        <w:dstrike w:val="0"/>
        <w:color w:val="1f1f1f"/>
        <w:sz w:val="20"/>
        <w:szCs w:val="20"/>
        <w:u w:val="none" w:color="000000"/>
        <w:bdr w:val="none"/>
        <w:shd w:val="clear"/>
        <w:vertAlign w:val="baseline"/>
      </w:rPr>
    </w:lvl>
    <w:lvl w:ilvl="4">
      <w:start w:val="1"/>
      <w:numFmt w:val="bullet"/>
      <w:lvlText w:val="o"/>
      <w:pPr>
        <w:ind w:left="337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lvl w:ilvl="5">
      <w:start w:val="1"/>
      <w:numFmt w:val="bullet"/>
      <w:lvlText w:val="▪"/>
      <w:pPr>
        <w:ind w:left="409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lvl w:ilvl="6">
      <w:start w:val="1"/>
      <w:numFmt w:val="bullet"/>
      <w:lvlText w:val="•"/>
      <w:pPr>
        <w:ind w:left="4814"/>
      </w:pPr>
      <w:rPr>
        <w:rFonts w:ascii="Arial" w:hAnsi="Arial" w:eastAsia="Arial" w:cs="Arial"/>
        <w:b w:val="0"/>
        <w:i w:val="0"/>
        <w:strike w:val="0"/>
        <w:dstrike w:val="0"/>
        <w:color w:val="1f1f1f"/>
        <w:sz w:val="20"/>
        <w:szCs w:val="20"/>
        <w:u w:val="none" w:color="000000"/>
        <w:bdr w:val="none"/>
        <w:shd w:val="clear"/>
        <w:vertAlign w:val="baseline"/>
      </w:rPr>
    </w:lvl>
    <w:lvl w:ilvl="7">
      <w:start w:val="1"/>
      <w:numFmt w:val="bullet"/>
      <w:lvlText w:val="o"/>
      <w:pPr>
        <w:ind w:left="553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lvl w:ilvl="8">
      <w:start w:val="1"/>
      <w:numFmt w:val="bullet"/>
      <w:lvlText w:val="▪"/>
      <w:pPr>
        <w:ind w:left="6254"/>
      </w:pPr>
      <w:rPr>
        <w:rFonts w:ascii="Segoe UI Symbol" w:hAnsi="Segoe UI Symbol" w:eastAsia="Segoe UI Symbol" w:cs="Segoe UI Symbol"/>
        <w:b w:val="0"/>
        <w:i w:val="0"/>
        <w:strike w:val="0"/>
        <w:dstrike w:val="0"/>
        <w:color w:val="1f1f1f"/>
        <w:sz w:val="20"/>
        <w:szCs w:val="20"/>
        <w:u w:val="none" w:color="000000"/>
        <w:bdr w:val="none"/>
        <w:shd w:val="clear"/>
        <w:vertAlign w:val="baseline"/>
      </w:rPr>
    </w:lvl>
  </w:abstractNum>
  <w:abstractNum w:abstractNumId="1">
    <w:nsid w:val="5678668f"/>
    <w:multiLevelType w:val="multilevel"/>
    <w:lvl w:ilvl="0">
      <w:start w:val="1"/>
      <w:numFmt w:val="decimal"/>
      <w:pStyle w:val="heading1"/>
      <w:lvlText w:val="%1."/>
      <w:pPr>
        <w:ind w:left="0"/>
      </w:pPr>
      <w:rPr>
        <w:rFonts w:ascii="Arial" w:hAnsi="Arial" w:eastAsia="Arial" w:cs="Arial"/>
        <w:b w:val="1"/>
        <w:bCs/>
        <w:i w:val="0"/>
        <w:strike w:val="0"/>
        <w:dstrike w:val="0"/>
        <w:color w:val="1f1f1f"/>
        <w:sz w:val="24"/>
        <w:szCs w:val="24"/>
        <w:u w:val="none" w:color="000000"/>
        <w:bdr w:val="none"/>
        <w:shd w:val="clear"/>
        <w:vertAlign w:val="baseline"/>
      </w:rPr>
    </w:lvl>
    <w:lvl w:ilvl="1">
      <w:start w:val="1"/>
      <w:numFmt w:val="decimal"/>
      <w:pStyle w:val="heading2"/>
      <w:lvlText w:val="%1.%2"/>
      <w:pPr>
        <w:ind w:left="0"/>
      </w:pPr>
      <w:rPr>
        <w:rFonts w:ascii="Arial" w:hAnsi="Arial" w:eastAsia="Arial" w:cs="Arial"/>
        <w:b w:val="1"/>
        <w:bCs/>
        <w:i w:val="0"/>
        <w:strike w:val="0"/>
        <w:dstrike w:val="0"/>
        <w:color w:val="1f1f1f"/>
        <w:sz w:val="24"/>
        <w:szCs w:val="24"/>
        <w:u w:val="none" w:color="000000"/>
        <w:bdr w:val="none"/>
        <w:shd w:val="clear"/>
        <w:vertAlign w:val="baseline"/>
      </w:rPr>
    </w:lvl>
    <w:lvl w:ilvl="2">
      <w:start w:val="1"/>
      <w:numFmt w:val="lowerRoman"/>
      <w:lvlText w:val="%3"/>
      <w:pPr>
        <w:ind w:left="1080"/>
      </w:pPr>
      <w:rPr>
        <w:rFonts w:ascii="Arial" w:hAnsi="Arial" w:eastAsia="Arial" w:cs="Arial"/>
        <w:b w:val="1"/>
        <w:bCs/>
        <w:i w:val="0"/>
        <w:strike w:val="0"/>
        <w:dstrike w:val="0"/>
        <w:color w:val="1f1f1f"/>
        <w:sz w:val="24"/>
        <w:szCs w:val="24"/>
        <w:u w:val="none" w:color="000000"/>
        <w:bdr w:val="none"/>
        <w:shd w:val="clear"/>
        <w:vertAlign w:val="baseline"/>
      </w:rPr>
    </w:lvl>
    <w:lvl w:ilvl="3">
      <w:start w:val="1"/>
      <w:numFmt w:val="decimal"/>
      <w:lvlText w:val="%4"/>
      <w:pPr>
        <w:ind w:left="1800"/>
      </w:pPr>
      <w:rPr>
        <w:rFonts w:ascii="Arial" w:hAnsi="Arial" w:eastAsia="Arial" w:cs="Arial"/>
        <w:b w:val="1"/>
        <w:bCs/>
        <w:i w:val="0"/>
        <w:strike w:val="0"/>
        <w:dstrike w:val="0"/>
        <w:color w:val="1f1f1f"/>
        <w:sz w:val="24"/>
        <w:szCs w:val="24"/>
        <w:u w:val="none" w:color="000000"/>
        <w:bdr w:val="none"/>
        <w:shd w:val="clear"/>
        <w:vertAlign w:val="baseline"/>
      </w:rPr>
    </w:lvl>
    <w:lvl w:ilvl="4">
      <w:start w:val="1"/>
      <w:numFmt w:val="lowerLetter"/>
      <w:lvlText w:val="%5"/>
      <w:pPr>
        <w:ind w:left="2520"/>
      </w:pPr>
      <w:rPr>
        <w:rFonts w:ascii="Arial" w:hAnsi="Arial" w:eastAsia="Arial" w:cs="Arial"/>
        <w:b w:val="1"/>
        <w:bCs/>
        <w:i w:val="0"/>
        <w:strike w:val="0"/>
        <w:dstrike w:val="0"/>
        <w:color w:val="1f1f1f"/>
        <w:sz w:val="24"/>
        <w:szCs w:val="24"/>
        <w:u w:val="none" w:color="000000"/>
        <w:bdr w:val="none"/>
        <w:shd w:val="clear"/>
        <w:vertAlign w:val="baseline"/>
      </w:rPr>
    </w:lvl>
    <w:lvl w:ilvl="5">
      <w:start w:val="1"/>
      <w:numFmt w:val="lowerRoman"/>
      <w:lvlText w:val="%6"/>
      <w:pPr>
        <w:ind w:left="3240"/>
      </w:pPr>
      <w:rPr>
        <w:rFonts w:ascii="Arial" w:hAnsi="Arial" w:eastAsia="Arial" w:cs="Arial"/>
        <w:b w:val="1"/>
        <w:bCs/>
        <w:i w:val="0"/>
        <w:strike w:val="0"/>
        <w:dstrike w:val="0"/>
        <w:color w:val="1f1f1f"/>
        <w:sz w:val="24"/>
        <w:szCs w:val="24"/>
        <w:u w:val="none" w:color="000000"/>
        <w:bdr w:val="none"/>
        <w:shd w:val="clear"/>
        <w:vertAlign w:val="baseline"/>
      </w:rPr>
    </w:lvl>
    <w:lvl w:ilvl="6">
      <w:start w:val="1"/>
      <w:numFmt w:val="decimal"/>
      <w:lvlText w:val="%7"/>
      <w:pPr>
        <w:ind w:left="3960"/>
      </w:pPr>
      <w:rPr>
        <w:rFonts w:ascii="Arial" w:hAnsi="Arial" w:eastAsia="Arial" w:cs="Arial"/>
        <w:b w:val="1"/>
        <w:bCs/>
        <w:i w:val="0"/>
        <w:strike w:val="0"/>
        <w:dstrike w:val="0"/>
        <w:color w:val="1f1f1f"/>
        <w:sz w:val="24"/>
        <w:szCs w:val="24"/>
        <w:u w:val="none" w:color="000000"/>
        <w:bdr w:val="none"/>
        <w:shd w:val="clear"/>
        <w:vertAlign w:val="baseline"/>
      </w:rPr>
    </w:lvl>
    <w:lvl w:ilvl="7">
      <w:start w:val="1"/>
      <w:numFmt w:val="lowerLetter"/>
      <w:lvlText w:val="%8"/>
      <w:pPr>
        <w:ind w:left="4680"/>
      </w:pPr>
      <w:rPr>
        <w:rFonts w:ascii="Arial" w:hAnsi="Arial" w:eastAsia="Arial" w:cs="Arial"/>
        <w:b w:val="1"/>
        <w:bCs/>
        <w:i w:val="0"/>
        <w:strike w:val="0"/>
        <w:dstrike w:val="0"/>
        <w:color w:val="1f1f1f"/>
        <w:sz w:val="24"/>
        <w:szCs w:val="24"/>
        <w:u w:val="none" w:color="000000"/>
        <w:bdr w:val="none"/>
        <w:shd w:val="clear"/>
        <w:vertAlign w:val="baseline"/>
      </w:rPr>
    </w:lvl>
    <w:lvl w:ilvl="8">
      <w:start w:val="1"/>
      <w:numFmt w:val="lowerRoman"/>
      <w:lvlText w:val="%9"/>
      <w:pPr>
        <w:ind w:left="5400"/>
      </w:pPr>
      <w:rPr>
        <w:rFonts w:ascii="Arial" w:hAnsi="Arial" w:eastAsia="Arial" w:cs="Arial"/>
        <w:b w:val="1"/>
        <w:bCs/>
        <w:i w:val="0"/>
        <w:strike w:val="0"/>
        <w:dstrike w:val="0"/>
        <w:color w:val="1f1f1f"/>
        <w:sz w:val="24"/>
        <w:szCs w:val="24"/>
        <w:u w:val="none" w:color="000000"/>
        <w:bdr w:val="none"/>
        <w:shd w:val="clear"/>
        <w:vertAlign w:val="baseline"/>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w14="http://schemas.microsoft.com/office/word/2010/wordml" xmlns:r="http://schemas.openxmlformats.org/officeDocument/2006/relationships" xmlns:w="http://schemas.openxmlformats.org/wordprocessingml/2006/main" xmlns:w15="http://schemas.microsoft.com/office/word/2012/wordml" mc:Ignorable="w14 wp14 w15">
  <w:trackRevisions w:val="false"/>
  <w:defaultTabStop w:val="720"/>
  <w:compat>
    <w:compatSetting w:val="15" w:uri="http://schemas.microsoft.com/office/word" w:name="compatibilityMode"/>
  </w:compat>
  <w14:docId w14:val="63F032F5"/>
  <w15:docId w15:val="{02240BB1-998B-4A08-8CAB-953C3E0BC50C}"/>
  <w:rsids>
    <w:rsidRoot w:val="519776FC"/>
    <w:rsid w:val="519776F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14="http://schemas.microsoft.com/office/word/2010/wordml" xmlns:w15="http://schemas.microsoft.com/office/word/2012/wordml" xmlns:w="http://schemas.openxmlformats.org/wordprocessingml/2006/main" mc:Ignorable="w14 w15 wp14">
  <w:style w:type="paragraph" w:styleId="normal" w:default="true">
    <w:name w:val="Normal"/>
    <w:qFormat/>
    <w:pPr>
      <w:bidi w:val="0"/>
      <w:spacing w:before="0" w:after="4" w:line="359" w:lineRule="auto"/>
      <w:ind w:left="0" w:right="5" w:firstLine="711"/>
      <w:jc w:val="both"/>
    </w:pPr>
    <w:rPr>
      <w:rFonts w:ascii="Arial" w:hAnsi="Arial" w:eastAsia="Arial" w:cs="Arial"/>
      <w:color w:val="1f1f1f"/>
      <w:sz w:val="24"/>
      <w:lang w:val="en" w:eastAsia="en" w:bidi="en"/>
    </w:rPr>
  </w:style>
  <w:style w:type="paragraph" w:styleId="heading1">
    <w:name w:val="Heading 1"/>
    <w:next w:val="normal"/>
    <w:link w:val="heading1Char"/>
    <w:uiPriority w:val="9"/>
    <w:unhideWhenUsed/>
    <w:qFormat/>
    <w:pPr>
      <w:keepNext/>
      <w:keepLines/>
      <w:numPr>
        <w:ilvl w:val="0"/>
        <w:numId w:val="2"/>
      </w:numPr>
      <w:bidi w:val="0"/>
      <w:spacing w:before="0" w:after="235" w:line="259" w:lineRule="auto"/>
      <w:ind w:left="10" w:right="0" w:hanging="10"/>
      <w:jc w:val="left"/>
      <w:outlineLvl w:val="0"/>
    </w:pPr>
    <w:rPr>
      <w:rFonts w:ascii="Arial" w:hAnsi="Arial" w:eastAsia="Arial" w:cs="Arial"/>
      <w:b w:val="1"/>
      <w:color w:val="1f1f1f"/>
      <w:sz w:val="24"/>
    </w:rPr>
  </w:style>
  <w:style w:type="character" w:styleId="heading1Char">
    <w:name w:val="Heading 1 Char"/>
    <w:link w:val="heading1"/>
    <w:rPr>
      <w:rFonts w:ascii="Arial" w:hAnsi="Arial" w:eastAsia="Arial" w:cs="Arial"/>
      <w:b w:val="1"/>
      <w:color w:val="1f1f1f"/>
      <w:sz w:val="24"/>
    </w:rPr>
  </w:style>
  <w:style w:type="paragraph" w:styleId="heading2">
    <w:name w:val="Heading 2"/>
    <w:next w:val="normal"/>
    <w:link w:val="heading2Char"/>
    <w:uiPriority w:val="9"/>
    <w:unhideWhenUsed/>
    <w:qFormat/>
    <w:pPr>
      <w:keepNext/>
      <w:keepLines/>
      <w:numPr>
        <w:ilvl w:val="1"/>
        <w:numId w:val="2"/>
      </w:numPr>
      <w:bidi w:val="0"/>
      <w:spacing w:before="0" w:after="235" w:line="259" w:lineRule="auto"/>
      <w:ind w:left="10" w:right="0" w:hanging="10"/>
      <w:jc w:val="left"/>
      <w:outlineLvl w:val="1"/>
    </w:pPr>
    <w:rPr>
      <w:rFonts w:ascii="Arial" w:hAnsi="Arial" w:eastAsia="Arial" w:cs="Arial"/>
      <w:b w:val="1"/>
      <w:color w:val="1f1f1f"/>
      <w:sz w:val="24"/>
    </w:rPr>
  </w:style>
  <w:style w:type="character" w:styleId="heading2Char">
    <w:name w:val="Heading 2 Char"/>
    <w:link w:val="heading2"/>
    <w:rPr>
      <w:rFonts w:ascii="Arial" w:hAnsi="Arial" w:eastAsia="Arial" w:cs="Arial"/>
      <w:b w:val="1"/>
      <w:color w:val="1f1f1f"/>
      <w:sz w:val="24"/>
    </w:rPr>
  </w:style>
  <w:style w:type="paragraph" w:styleId="TOC1">
    <w:name w:val="toc 1"/>
    <w:hidden/>
    <w:pPr>
      <w:bidi w:val="0"/>
      <w:spacing w:before="0" w:after="215" w:line="259" w:lineRule="auto"/>
      <w:ind w:left="265" w:right="23" w:hanging="10"/>
      <w:jc w:val="left"/>
    </w:pPr>
    <w:rPr>
      <w:rFonts w:ascii="Arial" w:hAnsi="Arial" w:eastAsia="Arial" w:cs="Arial"/>
      <w:color w:val="000000"/>
      <w:sz w:val="24"/>
    </w:rPr>
  </w:style>
  <w:style w:type="paragraph" w:styleId="TOC2">
    <w:name w:val="toc 2"/>
    <w:hidden/>
    <w:pPr>
      <w:bidi w:val="0"/>
      <w:spacing w:before="0" w:after="215" w:line="259" w:lineRule="auto"/>
      <w:ind w:left="506" w:right="23" w:hanging="10"/>
      <w:jc w:val="left"/>
    </w:pPr>
    <w:rPr>
      <w:rFonts w:ascii="Arial" w:hAnsi="Arial" w:eastAsia="Arial" w:cs="Arial"/>
      <w:color w:val="000000"/>
      <w:sz w:val="24"/>
    </w:rPr>
  </w:style>
  <w:style w:type="table" w:styleId="TableGrid">
    <w:name w:val="Table Grid"/>
    <w:pPr>
      <w:spacing w:after="0" w:line="240" w:lineRule="auto"/>
    </w:pPr>
  </w:style>
</w:styles>
</file>

<file path=word/_rels/document.xml.rels>&#65279;<?xml version="1.0" encoding="utf-8"?><Relationships xmlns="http://schemas.openxmlformats.org/package/2006/relationships"><Relationship Type="http://schemas.openxmlformats.org/officeDocument/2006/relationships/header" Target="header3.xml" Id="rId3" /><Relationship Type="http://schemas.openxmlformats.org/officeDocument/2006/relationships/header" Target="header2.xml" Id="rId2" /><Relationship Type="http://schemas.openxmlformats.org/officeDocument/2006/relationships/image" Target="media/image0.jpg" Id="rId4" /><Relationship Type="http://schemas.openxmlformats.org/officeDocument/2006/relationships/image" Target="media/image2.jpg" Id="rId6" /><Relationship Type="http://schemas.openxmlformats.org/officeDocument/2006/relationships/header" Target="header1.xml" Id="rId1" /><Relationship Type="http://schemas.openxmlformats.org/officeDocument/2006/relationships/image" Target="media/image1.jpg" Id="rId5" /><Relationship Type="http://schemas.openxmlformats.org/officeDocument/2006/relationships/numbering" Target="numbering.xml" Id="rsNumberingId" /><Relationship Type="http://schemas.openxmlformats.org/officeDocument/2006/relationships/settings" Target="settings.xml" Id="rsSettingsId" /><Relationship Type="http://schemas.openxmlformats.org/officeDocument/2006/relationships/styles" Target="styles.xml" Id="rsStylesId"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dc:title/>
  <dc:subject/>
  <keywords/>
  <dcterms:created xsi:type="dcterms:W3CDTF">2026-08-11T10:07:45.0000000Z</dcterms:created>
  <dcterms:modified xsi:type="dcterms:W3CDTF">2026-08-11T20:35:59.9456794Z</dcterms:modified>
  <lastModifiedBy>Salamata Jalloh (2246031)</lastModifiedBy>
</coreProperties>
</file>