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83580529"/>
        <w:docPartObj>
          <w:docPartGallery w:val="Cover Pages"/>
          <w:docPartUnique/>
        </w:docPartObj>
      </w:sdtPr>
      <w:sdtContent>
        <w:p w14:paraId="039C37DB" w14:textId="2BB640BA" w:rsidR="0098186E" w:rsidRDefault="0098186E"/>
        <w:p w14:paraId="04E4A897" w14:textId="77777777" w:rsidR="000650B2" w:rsidRDefault="000650B2"/>
        <w:p w14:paraId="6EB3B576" w14:textId="77777777" w:rsidR="000650B2" w:rsidRDefault="00000000"/>
      </w:sdtContent>
    </w:sdt>
    <w:p w14:paraId="2DE1A232" w14:textId="77777777" w:rsidR="0021392E" w:rsidRDefault="0021392E" w:rsidP="000650B2">
      <w:pPr>
        <w:spacing w:line="480" w:lineRule="auto"/>
        <w:jc w:val="center"/>
        <w:rPr>
          <w:rFonts w:ascii="Arial" w:hAnsi="Arial" w:cs="Arial"/>
          <w:b/>
          <w:bCs/>
          <w:sz w:val="32"/>
          <w:szCs w:val="32"/>
        </w:rPr>
      </w:pPr>
    </w:p>
    <w:p w14:paraId="6AD974DC" w14:textId="77777777" w:rsidR="0021392E" w:rsidRDefault="0021392E" w:rsidP="000650B2">
      <w:pPr>
        <w:spacing w:line="480" w:lineRule="auto"/>
        <w:jc w:val="center"/>
        <w:rPr>
          <w:rFonts w:ascii="Arial" w:hAnsi="Arial" w:cs="Arial"/>
          <w:b/>
          <w:bCs/>
          <w:sz w:val="32"/>
          <w:szCs w:val="32"/>
        </w:rPr>
      </w:pPr>
    </w:p>
    <w:p w14:paraId="257359AA" w14:textId="4418148E" w:rsidR="000650B2" w:rsidRPr="00F67448" w:rsidRDefault="000650B2" w:rsidP="000650B2">
      <w:pPr>
        <w:spacing w:line="480" w:lineRule="auto"/>
        <w:jc w:val="center"/>
        <w:rPr>
          <w:rFonts w:ascii="Arial" w:hAnsi="Arial" w:cs="Arial"/>
          <w:b/>
          <w:bCs/>
          <w:sz w:val="32"/>
          <w:szCs w:val="32"/>
        </w:rPr>
      </w:pPr>
      <w:r w:rsidRPr="00F67448">
        <w:rPr>
          <w:rFonts w:ascii="Arial" w:hAnsi="Arial" w:cs="Arial"/>
          <w:b/>
          <w:bCs/>
          <w:sz w:val="32"/>
          <w:szCs w:val="32"/>
        </w:rPr>
        <w:t>Task 1 Poster and Task 2 Essay</w:t>
      </w:r>
    </w:p>
    <w:p w14:paraId="33676C87" w14:textId="7F456CFE" w:rsidR="000650B2" w:rsidRPr="00F67448" w:rsidRDefault="000650B2" w:rsidP="000650B2">
      <w:pPr>
        <w:spacing w:line="480" w:lineRule="auto"/>
        <w:jc w:val="center"/>
        <w:rPr>
          <w:rFonts w:ascii="Arial" w:hAnsi="Arial" w:cs="Arial"/>
          <w:b/>
          <w:bCs/>
          <w:sz w:val="32"/>
          <w:szCs w:val="32"/>
        </w:rPr>
      </w:pPr>
      <w:r w:rsidRPr="00F67448">
        <w:rPr>
          <w:rFonts w:ascii="Arial" w:hAnsi="Arial" w:cs="Arial"/>
          <w:b/>
          <w:bCs/>
          <w:sz w:val="32"/>
          <w:szCs w:val="32"/>
        </w:rPr>
        <w:t>Health and Social Care Services</w:t>
      </w:r>
    </w:p>
    <w:p w14:paraId="5230626F" w14:textId="77777777" w:rsidR="000650B2" w:rsidRDefault="000650B2" w:rsidP="000650B2"/>
    <w:p w14:paraId="10CEA645" w14:textId="77777777" w:rsidR="000650B2" w:rsidRDefault="000650B2" w:rsidP="000650B2"/>
    <w:p w14:paraId="7E0C38A9" w14:textId="77777777" w:rsidR="000650B2" w:rsidRDefault="000650B2" w:rsidP="000650B2"/>
    <w:p w14:paraId="6C606931" w14:textId="77777777" w:rsidR="000650B2" w:rsidRDefault="000650B2" w:rsidP="000650B2"/>
    <w:p w14:paraId="0E15369A" w14:textId="77777777" w:rsidR="000650B2" w:rsidRDefault="000650B2" w:rsidP="000650B2"/>
    <w:p w14:paraId="468AE4A9" w14:textId="77777777" w:rsidR="000650B2" w:rsidRDefault="000650B2" w:rsidP="000650B2"/>
    <w:p w14:paraId="2982294F" w14:textId="77777777" w:rsidR="000650B2" w:rsidRDefault="000650B2" w:rsidP="000650B2"/>
    <w:p w14:paraId="635D448E" w14:textId="77777777" w:rsidR="000650B2" w:rsidRDefault="000650B2" w:rsidP="000650B2"/>
    <w:p w14:paraId="236FECE2" w14:textId="77777777" w:rsidR="000650B2" w:rsidRDefault="000650B2" w:rsidP="000650B2"/>
    <w:p w14:paraId="6D2E72BF" w14:textId="77777777" w:rsidR="000650B2" w:rsidRDefault="000650B2" w:rsidP="000650B2"/>
    <w:p w14:paraId="343F287D" w14:textId="77777777" w:rsidR="000650B2" w:rsidRDefault="000650B2" w:rsidP="000650B2"/>
    <w:p w14:paraId="228160CC" w14:textId="77777777" w:rsidR="000650B2" w:rsidRDefault="000650B2" w:rsidP="000650B2"/>
    <w:p w14:paraId="2387A668" w14:textId="77777777" w:rsidR="000650B2" w:rsidRDefault="000650B2" w:rsidP="000650B2"/>
    <w:p w14:paraId="02C1C293" w14:textId="77777777" w:rsidR="00C71924" w:rsidRDefault="00C71924" w:rsidP="00C71924">
      <w:pPr>
        <w:spacing w:line="480" w:lineRule="auto"/>
        <w:jc w:val="both"/>
        <w:rPr>
          <w:rFonts w:ascii="Arial" w:hAnsi="Arial" w:cs="Arial"/>
          <w:sz w:val="24"/>
          <w:szCs w:val="24"/>
          <w:lang w:val="pt-PT"/>
        </w:rPr>
      </w:pPr>
      <w:r>
        <w:rPr>
          <w:rFonts w:ascii="Arial" w:hAnsi="Arial" w:cs="Arial"/>
          <w:sz w:val="24"/>
          <w:szCs w:val="24"/>
          <w:lang w:val="pt-PT"/>
        </w:rPr>
        <w:t xml:space="preserve">Student Name: Bruno da Cruz Pereira </w:t>
      </w:r>
    </w:p>
    <w:p w14:paraId="5E5236F9" w14:textId="77777777" w:rsidR="00C71924" w:rsidRDefault="00C71924" w:rsidP="00C71924">
      <w:pPr>
        <w:spacing w:line="480" w:lineRule="auto"/>
        <w:jc w:val="both"/>
        <w:rPr>
          <w:rFonts w:ascii="Arial" w:hAnsi="Arial" w:cs="Arial"/>
          <w:sz w:val="24"/>
          <w:szCs w:val="24"/>
        </w:rPr>
      </w:pPr>
      <w:r>
        <w:rPr>
          <w:rFonts w:ascii="Arial" w:hAnsi="Arial" w:cs="Arial"/>
          <w:sz w:val="24"/>
          <w:szCs w:val="24"/>
        </w:rPr>
        <w:t>Student ID: 2210506</w:t>
      </w:r>
    </w:p>
    <w:p w14:paraId="1313E9CB" w14:textId="03C1EC4C" w:rsidR="00C71924" w:rsidRPr="00FB74F7" w:rsidRDefault="00C71924" w:rsidP="00C71924">
      <w:pPr>
        <w:spacing w:line="480" w:lineRule="auto"/>
        <w:jc w:val="both"/>
        <w:rPr>
          <w:rFonts w:ascii="Arial" w:hAnsi="Arial" w:cs="Arial"/>
          <w:sz w:val="24"/>
          <w:szCs w:val="24"/>
        </w:rPr>
      </w:pPr>
      <w:r w:rsidRPr="00FB74F7">
        <w:rPr>
          <w:rFonts w:ascii="Arial" w:hAnsi="Arial" w:cs="Arial"/>
          <w:sz w:val="24"/>
          <w:szCs w:val="24"/>
        </w:rPr>
        <w:t xml:space="preserve">Module Name: </w:t>
      </w:r>
      <w:r w:rsidR="00FB74F7" w:rsidRPr="00FB74F7">
        <w:rPr>
          <w:rFonts w:ascii="Arial" w:hAnsi="Arial" w:cs="Arial"/>
          <w:sz w:val="24"/>
          <w:szCs w:val="24"/>
        </w:rPr>
        <w:t>Introduction to H</w:t>
      </w:r>
      <w:r w:rsidR="00FB74F7">
        <w:rPr>
          <w:rFonts w:ascii="Arial" w:hAnsi="Arial" w:cs="Arial"/>
          <w:sz w:val="24"/>
          <w:szCs w:val="24"/>
        </w:rPr>
        <w:t>ealth and Social Care</w:t>
      </w:r>
    </w:p>
    <w:p w14:paraId="7DFCDA79" w14:textId="6C45D9A7" w:rsidR="00C71924" w:rsidRPr="00FB74F7" w:rsidRDefault="00C71924" w:rsidP="00C71924">
      <w:pPr>
        <w:spacing w:line="480" w:lineRule="auto"/>
        <w:jc w:val="both"/>
        <w:rPr>
          <w:rFonts w:ascii="Arial" w:hAnsi="Arial" w:cs="Arial"/>
          <w:sz w:val="24"/>
          <w:szCs w:val="24"/>
          <w:lang w:val="fr-FR"/>
        </w:rPr>
      </w:pPr>
      <w:r w:rsidRPr="00FB74F7">
        <w:rPr>
          <w:rFonts w:ascii="Arial" w:hAnsi="Arial" w:cs="Arial"/>
          <w:sz w:val="24"/>
          <w:szCs w:val="24"/>
          <w:lang w:val="fr-FR"/>
        </w:rPr>
        <w:t>Module Code: LCHS4003</w:t>
      </w:r>
    </w:p>
    <w:p w14:paraId="685649F8" w14:textId="238EDA4B" w:rsidR="00C71924" w:rsidRPr="00FB74F7" w:rsidRDefault="00C71924" w:rsidP="00C71924">
      <w:pPr>
        <w:tabs>
          <w:tab w:val="right" w:pos="9026"/>
        </w:tabs>
        <w:spacing w:line="480" w:lineRule="auto"/>
        <w:jc w:val="both"/>
        <w:rPr>
          <w:rFonts w:ascii="Arial" w:hAnsi="Arial" w:cs="Arial"/>
          <w:sz w:val="24"/>
          <w:szCs w:val="24"/>
          <w:lang w:val="fr-FR"/>
        </w:rPr>
      </w:pPr>
      <w:r w:rsidRPr="00FB74F7">
        <w:rPr>
          <w:rFonts w:ascii="Arial" w:hAnsi="Arial" w:cs="Arial"/>
          <w:sz w:val="24"/>
          <w:szCs w:val="24"/>
          <w:lang w:val="fr-FR"/>
        </w:rPr>
        <w:t xml:space="preserve">Lecture Name: </w:t>
      </w:r>
      <w:r w:rsidR="00FB74F7" w:rsidRPr="00FB74F7">
        <w:rPr>
          <w:rFonts w:ascii="Arial" w:hAnsi="Arial" w:cs="Arial"/>
          <w:sz w:val="24"/>
          <w:szCs w:val="24"/>
          <w:lang w:val="fr-FR"/>
        </w:rPr>
        <w:t>M</w:t>
      </w:r>
      <w:r w:rsidR="00FB74F7">
        <w:rPr>
          <w:rFonts w:ascii="Arial" w:hAnsi="Arial" w:cs="Arial"/>
          <w:sz w:val="24"/>
          <w:szCs w:val="24"/>
          <w:lang w:val="fr-FR"/>
        </w:rPr>
        <w:t xml:space="preserve">uhammad Aliyu </w:t>
      </w:r>
      <w:r w:rsidRPr="00FB74F7">
        <w:rPr>
          <w:rFonts w:ascii="Arial" w:hAnsi="Arial" w:cs="Arial"/>
          <w:sz w:val="24"/>
          <w:szCs w:val="24"/>
          <w:lang w:val="fr-FR"/>
        </w:rPr>
        <w:tab/>
      </w:r>
    </w:p>
    <w:p w14:paraId="51608C3B" w14:textId="288E35F1" w:rsidR="00C71924" w:rsidRDefault="00C71924" w:rsidP="00C71924">
      <w:pPr>
        <w:spacing w:line="480" w:lineRule="auto"/>
        <w:jc w:val="both"/>
        <w:rPr>
          <w:rFonts w:ascii="Arial" w:hAnsi="Arial" w:cs="Arial"/>
          <w:sz w:val="22"/>
          <w:szCs w:val="22"/>
        </w:rPr>
      </w:pPr>
      <w:r>
        <w:rPr>
          <w:rFonts w:ascii="Arial" w:hAnsi="Arial" w:cs="Arial"/>
          <w:sz w:val="24"/>
          <w:szCs w:val="24"/>
        </w:rPr>
        <w:t>Submission Date: 20/07/2026</w:t>
      </w:r>
    </w:p>
    <w:p w14:paraId="656727BE" w14:textId="4EF83BF9" w:rsidR="0098186E" w:rsidRPr="00F67448" w:rsidRDefault="0098186E" w:rsidP="000650B2">
      <w:pPr>
        <w:spacing w:line="480" w:lineRule="auto"/>
        <w:jc w:val="both"/>
        <w:rPr>
          <w:rFonts w:ascii="Arial" w:hAnsi="Arial" w:cs="Arial"/>
          <w:sz w:val="22"/>
          <w:szCs w:val="22"/>
        </w:rPr>
      </w:pPr>
    </w:p>
    <w:p w14:paraId="68DDB869" w14:textId="6D2C41F7" w:rsidR="00E65EA0" w:rsidRDefault="00E65EA0"/>
    <w:p w14:paraId="55EB9DEF" w14:textId="77777777" w:rsidR="00E65EA0" w:rsidRDefault="00E65EA0">
      <w:r>
        <w:br w:type="page"/>
      </w:r>
    </w:p>
    <w:sdt>
      <w:sdtPr>
        <w:rPr>
          <w:rFonts w:ascii="Calibri" w:eastAsia="Calibri" w:hAnsi="Calibri" w:cs="Calibri"/>
          <w:color w:val="auto"/>
          <w:sz w:val="20"/>
          <w:szCs w:val="20"/>
        </w:rPr>
        <w:id w:val="-495809857"/>
        <w:docPartObj>
          <w:docPartGallery w:val="Table of Contents"/>
          <w:docPartUnique/>
        </w:docPartObj>
      </w:sdtPr>
      <w:sdtEndPr>
        <w:rPr>
          <w:b/>
          <w:bCs/>
        </w:rPr>
      </w:sdtEndPr>
      <w:sdtContent>
        <w:p w14:paraId="2E0A9287" w14:textId="7969F719" w:rsidR="00E65EA0" w:rsidRDefault="00E65EA0" w:rsidP="00780355">
          <w:pPr>
            <w:pStyle w:val="TOCHeading"/>
            <w:spacing w:line="360" w:lineRule="auto"/>
            <w:jc w:val="center"/>
            <w:rPr>
              <w:rFonts w:ascii="Arial" w:hAnsi="Arial" w:cs="Arial"/>
              <w:b/>
              <w:bCs/>
            </w:rPr>
          </w:pPr>
          <w:r w:rsidRPr="00780355">
            <w:rPr>
              <w:rFonts w:ascii="Arial" w:hAnsi="Arial" w:cs="Arial"/>
              <w:b/>
              <w:bCs/>
            </w:rPr>
            <w:t>Table of Contents</w:t>
          </w:r>
        </w:p>
        <w:p w14:paraId="1A54A01D" w14:textId="77777777" w:rsidR="0021392E" w:rsidRPr="0021392E" w:rsidRDefault="0021392E" w:rsidP="0021392E"/>
        <w:p w14:paraId="2171551B" w14:textId="52FA2191" w:rsidR="00780355" w:rsidRPr="00780355" w:rsidRDefault="00E65EA0" w:rsidP="00780355">
          <w:pPr>
            <w:pStyle w:val="TOC1"/>
            <w:tabs>
              <w:tab w:val="right" w:leader="dot" w:pos="9016"/>
            </w:tabs>
            <w:spacing w:line="360" w:lineRule="auto"/>
            <w:jc w:val="both"/>
            <w:rPr>
              <w:rFonts w:ascii="Arial" w:eastAsiaTheme="minorEastAsia" w:hAnsi="Arial" w:cs="Arial"/>
              <w:noProof/>
              <w:kern w:val="2"/>
              <w:sz w:val="22"/>
              <w:szCs w:val="22"/>
              <w14:ligatures w14:val="standardContextual"/>
            </w:rPr>
          </w:pPr>
          <w:r w:rsidRPr="00780355">
            <w:rPr>
              <w:rFonts w:ascii="Arial" w:hAnsi="Arial" w:cs="Arial"/>
              <w:sz w:val="22"/>
              <w:szCs w:val="22"/>
            </w:rPr>
            <w:fldChar w:fldCharType="begin"/>
          </w:r>
          <w:r w:rsidRPr="00780355">
            <w:rPr>
              <w:rFonts w:ascii="Arial" w:hAnsi="Arial" w:cs="Arial"/>
              <w:sz w:val="22"/>
              <w:szCs w:val="22"/>
            </w:rPr>
            <w:instrText xml:space="preserve"> TOC \o "1-3" \h \z \u </w:instrText>
          </w:r>
          <w:r w:rsidRPr="00780355">
            <w:rPr>
              <w:rFonts w:ascii="Arial" w:hAnsi="Arial" w:cs="Arial"/>
              <w:sz w:val="22"/>
              <w:szCs w:val="22"/>
            </w:rPr>
            <w:fldChar w:fldCharType="separate"/>
          </w:r>
          <w:hyperlink w:anchor="_Toc234462005" w:history="1">
            <w:r w:rsidR="00780355" w:rsidRPr="00780355">
              <w:rPr>
                <w:rStyle w:val="Hyperlink"/>
                <w:rFonts w:ascii="Arial" w:hAnsi="Arial" w:cs="Arial"/>
                <w:noProof/>
                <w:sz w:val="22"/>
                <w:szCs w:val="22"/>
              </w:rPr>
              <w:t>Task 1: Poster: Ambulance Services in the UK</w:t>
            </w:r>
            <w:r w:rsidR="00780355" w:rsidRPr="00780355">
              <w:rPr>
                <w:rFonts w:ascii="Arial" w:hAnsi="Arial" w:cs="Arial"/>
                <w:noProof/>
                <w:webHidden/>
                <w:sz w:val="22"/>
                <w:szCs w:val="22"/>
              </w:rPr>
              <w:tab/>
            </w:r>
            <w:r w:rsidR="00780355" w:rsidRPr="00780355">
              <w:rPr>
                <w:rFonts w:ascii="Arial" w:hAnsi="Arial" w:cs="Arial"/>
                <w:noProof/>
                <w:webHidden/>
                <w:sz w:val="22"/>
                <w:szCs w:val="22"/>
              </w:rPr>
              <w:fldChar w:fldCharType="begin"/>
            </w:r>
            <w:r w:rsidR="00780355" w:rsidRPr="00780355">
              <w:rPr>
                <w:rFonts w:ascii="Arial" w:hAnsi="Arial" w:cs="Arial"/>
                <w:noProof/>
                <w:webHidden/>
                <w:sz w:val="22"/>
                <w:szCs w:val="22"/>
              </w:rPr>
              <w:instrText xml:space="preserve"> PAGEREF _Toc234462005 \h </w:instrText>
            </w:r>
            <w:r w:rsidR="00780355" w:rsidRPr="00780355">
              <w:rPr>
                <w:rFonts w:ascii="Arial" w:hAnsi="Arial" w:cs="Arial"/>
                <w:noProof/>
                <w:webHidden/>
                <w:sz w:val="22"/>
                <w:szCs w:val="22"/>
              </w:rPr>
            </w:r>
            <w:r w:rsidR="00780355" w:rsidRPr="00780355">
              <w:rPr>
                <w:rFonts w:ascii="Arial" w:hAnsi="Arial" w:cs="Arial"/>
                <w:noProof/>
                <w:webHidden/>
                <w:sz w:val="22"/>
                <w:szCs w:val="22"/>
              </w:rPr>
              <w:fldChar w:fldCharType="separate"/>
            </w:r>
            <w:r w:rsidR="00780355" w:rsidRPr="00780355">
              <w:rPr>
                <w:rFonts w:ascii="Arial" w:hAnsi="Arial" w:cs="Arial"/>
                <w:noProof/>
                <w:webHidden/>
                <w:sz w:val="22"/>
                <w:szCs w:val="22"/>
              </w:rPr>
              <w:t>1</w:t>
            </w:r>
            <w:r w:rsidR="00780355" w:rsidRPr="00780355">
              <w:rPr>
                <w:rFonts w:ascii="Arial" w:hAnsi="Arial" w:cs="Arial"/>
                <w:noProof/>
                <w:webHidden/>
                <w:sz w:val="22"/>
                <w:szCs w:val="22"/>
              </w:rPr>
              <w:fldChar w:fldCharType="end"/>
            </w:r>
          </w:hyperlink>
        </w:p>
        <w:p w14:paraId="13DAB5DE" w14:textId="0C689897" w:rsidR="00780355" w:rsidRPr="00780355" w:rsidRDefault="00780355" w:rsidP="00780355">
          <w:pPr>
            <w:pStyle w:val="TOC1"/>
            <w:tabs>
              <w:tab w:val="right" w:leader="dot" w:pos="9016"/>
            </w:tabs>
            <w:spacing w:line="360" w:lineRule="auto"/>
            <w:jc w:val="both"/>
            <w:rPr>
              <w:rFonts w:ascii="Arial" w:eastAsiaTheme="minorEastAsia" w:hAnsi="Arial" w:cs="Arial"/>
              <w:noProof/>
              <w:kern w:val="2"/>
              <w:sz w:val="22"/>
              <w:szCs w:val="22"/>
              <w14:ligatures w14:val="standardContextual"/>
            </w:rPr>
          </w:pPr>
          <w:hyperlink w:anchor="_Toc234462006" w:history="1">
            <w:r w:rsidRPr="00780355">
              <w:rPr>
                <w:rStyle w:val="Hyperlink"/>
                <w:rFonts w:ascii="Arial" w:hAnsi="Arial" w:cs="Arial"/>
                <w:noProof/>
                <w:sz w:val="22"/>
                <w:szCs w:val="22"/>
              </w:rPr>
              <w:t>Task 2: Essay: Community Mental Health Services: Origins, Current Practice and Significance for Quality of Life</w:t>
            </w:r>
            <w:r w:rsidRPr="00780355">
              <w:rPr>
                <w:rFonts w:ascii="Arial" w:hAnsi="Arial" w:cs="Arial"/>
                <w:noProof/>
                <w:webHidden/>
                <w:sz w:val="22"/>
                <w:szCs w:val="22"/>
              </w:rPr>
              <w:tab/>
            </w:r>
            <w:r w:rsidRPr="00780355">
              <w:rPr>
                <w:rFonts w:ascii="Arial" w:hAnsi="Arial" w:cs="Arial"/>
                <w:noProof/>
                <w:webHidden/>
                <w:sz w:val="22"/>
                <w:szCs w:val="22"/>
              </w:rPr>
              <w:fldChar w:fldCharType="begin"/>
            </w:r>
            <w:r w:rsidRPr="00780355">
              <w:rPr>
                <w:rFonts w:ascii="Arial" w:hAnsi="Arial" w:cs="Arial"/>
                <w:noProof/>
                <w:webHidden/>
                <w:sz w:val="22"/>
                <w:szCs w:val="22"/>
              </w:rPr>
              <w:instrText xml:space="preserve"> PAGEREF _Toc234462006 \h </w:instrText>
            </w:r>
            <w:r w:rsidRPr="00780355">
              <w:rPr>
                <w:rFonts w:ascii="Arial" w:hAnsi="Arial" w:cs="Arial"/>
                <w:noProof/>
                <w:webHidden/>
                <w:sz w:val="22"/>
                <w:szCs w:val="22"/>
              </w:rPr>
            </w:r>
            <w:r w:rsidRPr="00780355">
              <w:rPr>
                <w:rFonts w:ascii="Arial" w:hAnsi="Arial" w:cs="Arial"/>
                <w:noProof/>
                <w:webHidden/>
                <w:sz w:val="22"/>
                <w:szCs w:val="22"/>
              </w:rPr>
              <w:fldChar w:fldCharType="separate"/>
            </w:r>
            <w:r w:rsidRPr="00780355">
              <w:rPr>
                <w:rFonts w:ascii="Arial" w:hAnsi="Arial" w:cs="Arial"/>
                <w:noProof/>
                <w:webHidden/>
                <w:sz w:val="22"/>
                <w:szCs w:val="22"/>
              </w:rPr>
              <w:t>3</w:t>
            </w:r>
            <w:r w:rsidRPr="00780355">
              <w:rPr>
                <w:rFonts w:ascii="Arial" w:hAnsi="Arial" w:cs="Arial"/>
                <w:noProof/>
                <w:webHidden/>
                <w:sz w:val="22"/>
                <w:szCs w:val="22"/>
              </w:rPr>
              <w:fldChar w:fldCharType="end"/>
            </w:r>
          </w:hyperlink>
        </w:p>
        <w:p w14:paraId="487FBCF2" w14:textId="1248BB5E" w:rsidR="00780355" w:rsidRPr="00780355" w:rsidRDefault="00780355" w:rsidP="00780355">
          <w:pPr>
            <w:pStyle w:val="TOC2"/>
            <w:tabs>
              <w:tab w:val="right" w:leader="dot" w:pos="9016"/>
            </w:tabs>
            <w:spacing w:line="360" w:lineRule="auto"/>
            <w:jc w:val="both"/>
            <w:rPr>
              <w:rFonts w:ascii="Arial" w:eastAsiaTheme="minorEastAsia" w:hAnsi="Arial" w:cs="Arial"/>
              <w:noProof/>
              <w:kern w:val="2"/>
              <w:sz w:val="22"/>
              <w:szCs w:val="22"/>
              <w14:ligatures w14:val="standardContextual"/>
            </w:rPr>
          </w:pPr>
          <w:hyperlink w:anchor="_Toc234462007" w:history="1">
            <w:r w:rsidRPr="00780355">
              <w:rPr>
                <w:rStyle w:val="Hyperlink"/>
                <w:rFonts w:ascii="Arial" w:hAnsi="Arial" w:cs="Arial"/>
                <w:noProof/>
                <w:sz w:val="22"/>
                <w:szCs w:val="22"/>
              </w:rPr>
              <w:t>Introduction</w:t>
            </w:r>
            <w:r w:rsidRPr="00780355">
              <w:rPr>
                <w:rFonts w:ascii="Arial" w:hAnsi="Arial" w:cs="Arial"/>
                <w:noProof/>
                <w:webHidden/>
                <w:sz w:val="22"/>
                <w:szCs w:val="22"/>
              </w:rPr>
              <w:tab/>
            </w:r>
            <w:r w:rsidRPr="00780355">
              <w:rPr>
                <w:rFonts w:ascii="Arial" w:hAnsi="Arial" w:cs="Arial"/>
                <w:noProof/>
                <w:webHidden/>
                <w:sz w:val="22"/>
                <w:szCs w:val="22"/>
              </w:rPr>
              <w:fldChar w:fldCharType="begin"/>
            </w:r>
            <w:r w:rsidRPr="00780355">
              <w:rPr>
                <w:rFonts w:ascii="Arial" w:hAnsi="Arial" w:cs="Arial"/>
                <w:noProof/>
                <w:webHidden/>
                <w:sz w:val="22"/>
                <w:szCs w:val="22"/>
              </w:rPr>
              <w:instrText xml:space="preserve"> PAGEREF _Toc234462007 \h </w:instrText>
            </w:r>
            <w:r w:rsidRPr="00780355">
              <w:rPr>
                <w:rFonts w:ascii="Arial" w:hAnsi="Arial" w:cs="Arial"/>
                <w:noProof/>
                <w:webHidden/>
                <w:sz w:val="22"/>
                <w:szCs w:val="22"/>
              </w:rPr>
            </w:r>
            <w:r w:rsidRPr="00780355">
              <w:rPr>
                <w:rFonts w:ascii="Arial" w:hAnsi="Arial" w:cs="Arial"/>
                <w:noProof/>
                <w:webHidden/>
                <w:sz w:val="22"/>
                <w:szCs w:val="22"/>
              </w:rPr>
              <w:fldChar w:fldCharType="separate"/>
            </w:r>
            <w:r w:rsidRPr="00780355">
              <w:rPr>
                <w:rFonts w:ascii="Arial" w:hAnsi="Arial" w:cs="Arial"/>
                <w:noProof/>
                <w:webHidden/>
                <w:sz w:val="22"/>
                <w:szCs w:val="22"/>
              </w:rPr>
              <w:t>3</w:t>
            </w:r>
            <w:r w:rsidRPr="00780355">
              <w:rPr>
                <w:rFonts w:ascii="Arial" w:hAnsi="Arial" w:cs="Arial"/>
                <w:noProof/>
                <w:webHidden/>
                <w:sz w:val="22"/>
                <w:szCs w:val="22"/>
              </w:rPr>
              <w:fldChar w:fldCharType="end"/>
            </w:r>
          </w:hyperlink>
        </w:p>
        <w:p w14:paraId="67806BB3" w14:textId="7F9AA6E6" w:rsidR="00780355" w:rsidRPr="00780355" w:rsidRDefault="00780355" w:rsidP="00780355">
          <w:pPr>
            <w:pStyle w:val="TOC2"/>
            <w:tabs>
              <w:tab w:val="right" w:leader="dot" w:pos="9016"/>
            </w:tabs>
            <w:spacing w:line="360" w:lineRule="auto"/>
            <w:jc w:val="both"/>
            <w:rPr>
              <w:rFonts w:ascii="Arial" w:eastAsiaTheme="minorEastAsia" w:hAnsi="Arial" w:cs="Arial"/>
              <w:noProof/>
              <w:kern w:val="2"/>
              <w:sz w:val="22"/>
              <w:szCs w:val="22"/>
              <w14:ligatures w14:val="standardContextual"/>
            </w:rPr>
          </w:pPr>
          <w:hyperlink w:anchor="_Toc234462008" w:history="1">
            <w:r w:rsidRPr="00780355">
              <w:rPr>
                <w:rStyle w:val="Hyperlink"/>
                <w:rFonts w:ascii="Arial" w:hAnsi="Arial" w:cs="Arial"/>
                <w:noProof/>
                <w:sz w:val="22"/>
                <w:szCs w:val="22"/>
              </w:rPr>
              <w:t>Origins and Historical Context</w:t>
            </w:r>
            <w:r w:rsidRPr="00780355">
              <w:rPr>
                <w:rFonts w:ascii="Arial" w:hAnsi="Arial" w:cs="Arial"/>
                <w:noProof/>
                <w:webHidden/>
                <w:sz w:val="22"/>
                <w:szCs w:val="22"/>
              </w:rPr>
              <w:tab/>
            </w:r>
            <w:r w:rsidRPr="00780355">
              <w:rPr>
                <w:rFonts w:ascii="Arial" w:hAnsi="Arial" w:cs="Arial"/>
                <w:noProof/>
                <w:webHidden/>
                <w:sz w:val="22"/>
                <w:szCs w:val="22"/>
              </w:rPr>
              <w:fldChar w:fldCharType="begin"/>
            </w:r>
            <w:r w:rsidRPr="00780355">
              <w:rPr>
                <w:rFonts w:ascii="Arial" w:hAnsi="Arial" w:cs="Arial"/>
                <w:noProof/>
                <w:webHidden/>
                <w:sz w:val="22"/>
                <w:szCs w:val="22"/>
              </w:rPr>
              <w:instrText xml:space="preserve"> PAGEREF _Toc234462008 \h </w:instrText>
            </w:r>
            <w:r w:rsidRPr="00780355">
              <w:rPr>
                <w:rFonts w:ascii="Arial" w:hAnsi="Arial" w:cs="Arial"/>
                <w:noProof/>
                <w:webHidden/>
                <w:sz w:val="22"/>
                <w:szCs w:val="22"/>
              </w:rPr>
            </w:r>
            <w:r w:rsidRPr="00780355">
              <w:rPr>
                <w:rFonts w:ascii="Arial" w:hAnsi="Arial" w:cs="Arial"/>
                <w:noProof/>
                <w:webHidden/>
                <w:sz w:val="22"/>
                <w:szCs w:val="22"/>
              </w:rPr>
              <w:fldChar w:fldCharType="separate"/>
            </w:r>
            <w:r w:rsidRPr="00780355">
              <w:rPr>
                <w:rFonts w:ascii="Arial" w:hAnsi="Arial" w:cs="Arial"/>
                <w:noProof/>
                <w:webHidden/>
                <w:sz w:val="22"/>
                <w:szCs w:val="22"/>
              </w:rPr>
              <w:t>3</w:t>
            </w:r>
            <w:r w:rsidRPr="00780355">
              <w:rPr>
                <w:rFonts w:ascii="Arial" w:hAnsi="Arial" w:cs="Arial"/>
                <w:noProof/>
                <w:webHidden/>
                <w:sz w:val="22"/>
                <w:szCs w:val="22"/>
              </w:rPr>
              <w:fldChar w:fldCharType="end"/>
            </w:r>
          </w:hyperlink>
        </w:p>
        <w:p w14:paraId="44B09F6C" w14:textId="3B8E51EF" w:rsidR="00780355" w:rsidRPr="00780355" w:rsidRDefault="00780355" w:rsidP="00780355">
          <w:pPr>
            <w:pStyle w:val="TOC2"/>
            <w:tabs>
              <w:tab w:val="right" w:leader="dot" w:pos="9016"/>
            </w:tabs>
            <w:spacing w:line="360" w:lineRule="auto"/>
            <w:jc w:val="both"/>
            <w:rPr>
              <w:rFonts w:ascii="Arial" w:eastAsiaTheme="minorEastAsia" w:hAnsi="Arial" w:cs="Arial"/>
              <w:noProof/>
              <w:kern w:val="2"/>
              <w:sz w:val="22"/>
              <w:szCs w:val="22"/>
              <w14:ligatures w14:val="standardContextual"/>
            </w:rPr>
          </w:pPr>
          <w:hyperlink w:anchor="_Toc234462009" w:history="1">
            <w:r w:rsidRPr="00780355">
              <w:rPr>
                <w:rStyle w:val="Hyperlink"/>
                <w:rFonts w:ascii="Arial" w:hAnsi="Arial" w:cs="Arial"/>
                <w:noProof/>
                <w:sz w:val="22"/>
                <w:szCs w:val="22"/>
              </w:rPr>
              <w:t>Current Functioning</w:t>
            </w:r>
            <w:r w:rsidRPr="00780355">
              <w:rPr>
                <w:rFonts w:ascii="Arial" w:hAnsi="Arial" w:cs="Arial"/>
                <w:noProof/>
                <w:webHidden/>
                <w:sz w:val="22"/>
                <w:szCs w:val="22"/>
              </w:rPr>
              <w:tab/>
            </w:r>
            <w:r w:rsidRPr="00780355">
              <w:rPr>
                <w:rFonts w:ascii="Arial" w:hAnsi="Arial" w:cs="Arial"/>
                <w:noProof/>
                <w:webHidden/>
                <w:sz w:val="22"/>
                <w:szCs w:val="22"/>
              </w:rPr>
              <w:fldChar w:fldCharType="begin"/>
            </w:r>
            <w:r w:rsidRPr="00780355">
              <w:rPr>
                <w:rFonts w:ascii="Arial" w:hAnsi="Arial" w:cs="Arial"/>
                <w:noProof/>
                <w:webHidden/>
                <w:sz w:val="22"/>
                <w:szCs w:val="22"/>
              </w:rPr>
              <w:instrText xml:space="preserve"> PAGEREF _Toc234462009 \h </w:instrText>
            </w:r>
            <w:r w:rsidRPr="00780355">
              <w:rPr>
                <w:rFonts w:ascii="Arial" w:hAnsi="Arial" w:cs="Arial"/>
                <w:noProof/>
                <w:webHidden/>
                <w:sz w:val="22"/>
                <w:szCs w:val="22"/>
              </w:rPr>
            </w:r>
            <w:r w:rsidRPr="00780355">
              <w:rPr>
                <w:rFonts w:ascii="Arial" w:hAnsi="Arial" w:cs="Arial"/>
                <w:noProof/>
                <w:webHidden/>
                <w:sz w:val="22"/>
                <w:szCs w:val="22"/>
              </w:rPr>
              <w:fldChar w:fldCharType="separate"/>
            </w:r>
            <w:r w:rsidRPr="00780355">
              <w:rPr>
                <w:rFonts w:ascii="Arial" w:hAnsi="Arial" w:cs="Arial"/>
                <w:noProof/>
                <w:webHidden/>
                <w:sz w:val="22"/>
                <w:szCs w:val="22"/>
              </w:rPr>
              <w:t>3</w:t>
            </w:r>
            <w:r w:rsidRPr="00780355">
              <w:rPr>
                <w:rFonts w:ascii="Arial" w:hAnsi="Arial" w:cs="Arial"/>
                <w:noProof/>
                <w:webHidden/>
                <w:sz w:val="22"/>
                <w:szCs w:val="22"/>
              </w:rPr>
              <w:fldChar w:fldCharType="end"/>
            </w:r>
          </w:hyperlink>
        </w:p>
        <w:p w14:paraId="46E0D391" w14:textId="78B76522" w:rsidR="00780355" w:rsidRPr="00780355" w:rsidRDefault="00780355" w:rsidP="00780355">
          <w:pPr>
            <w:pStyle w:val="TOC2"/>
            <w:tabs>
              <w:tab w:val="right" w:leader="dot" w:pos="9016"/>
            </w:tabs>
            <w:spacing w:line="360" w:lineRule="auto"/>
            <w:jc w:val="both"/>
            <w:rPr>
              <w:rFonts w:ascii="Arial" w:eastAsiaTheme="minorEastAsia" w:hAnsi="Arial" w:cs="Arial"/>
              <w:noProof/>
              <w:kern w:val="2"/>
              <w:sz w:val="22"/>
              <w:szCs w:val="22"/>
              <w14:ligatures w14:val="standardContextual"/>
            </w:rPr>
          </w:pPr>
          <w:hyperlink w:anchor="_Toc234462010" w:history="1">
            <w:r w:rsidRPr="00780355">
              <w:rPr>
                <w:rStyle w:val="Hyperlink"/>
                <w:rFonts w:ascii="Arial" w:hAnsi="Arial" w:cs="Arial"/>
                <w:noProof/>
                <w:sz w:val="22"/>
                <w:szCs w:val="22"/>
              </w:rPr>
              <w:t>Significance for Quality of Life</w:t>
            </w:r>
            <w:r w:rsidRPr="00780355">
              <w:rPr>
                <w:rFonts w:ascii="Arial" w:hAnsi="Arial" w:cs="Arial"/>
                <w:noProof/>
                <w:webHidden/>
                <w:sz w:val="22"/>
                <w:szCs w:val="22"/>
              </w:rPr>
              <w:tab/>
            </w:r>
            <w:r w:rsidRPr="00780355">
              <w:rPr>
                <w:rFonts w:ascii="Arial" w:hAnsi="Arial" w:cs="Arial"/>
                <w:noProof/>
                <w:webHidden/>
                <w:sz w:val="22"/>
                <w:szCs w:val="22"/>
              </w:rPr>
              <w:fldChar w:fldCharType="begin"/>
            </w:r>
            <w:r w:rsidRPr="00780355">
              <w:rPr>
                <w:rFonts w:ascii="Arial" w:hAnsi="Arial" w:cs="Arial"/>
                <w:noProof/>
                <w:webHidden/>
                <w:sz w:val="22"/>
                <w:szCs w:val="22"/>
              </w:rPr>
              <w:instrText xml:space="preserve"> PAGEREF _Toc234462010 \h </w:instrText>
            </w:r>
            <w:r w:rsidRPr="00780355">
              <w:rPr>
                <w:rFonts w:ascii="Arial" w:hAnsi="Arial" w:cs="Arial"/>
                <w:noProof/>
                <w:webHidden/>
                <w:sz w:val="22"/>
                <w:szCs w:val="22"/>
              </w:rPr>
            </w:r>
            <w:r w:rsidRPr="00780355">
              <w:rPr>
                <w:rFonts w:ascii="Arial" w:hAnsi="Arial" w:cs="Arial"/>
                <w:noProof/>
                <w:webHidden/>
                <w:sz w:val="22"/>
                <w:szCs w:val="22"/>
              </w:rPr>
              <w:fldChar w:fldCharType="separate"/>
            </w:r>
            <w:r w:rsidRPr="00780355">
              <w:rPr>
                <w:rFonts w:ascii="Arial" w:hAnsi="Arial" w:cs="Arial"/>
                <w:noProof/>
                <w:webHidden/>
                <w:sz w:val="22"/>
                <w:szCs w:val="22"/>
              </w:rPr>
              <w:t>4</w:t>
            </w:r>
            <w:r w:rsidRPr="00780355">
              <w:rPr>
                <w:rFonts w:ascii="Arial" w:hAnsi="Arial" w:cs="Arial"/>
                <w:noProof/>
                <w:webHidden/>
                <w:sz w:val="22"/>
                <w:szCs w:val="22"/>
              </w:rPr>
              <w:fldChar w:fldCharType="end"/>
            </w:r>
          </w:hyperlink>
        </w:p>
        <w:p w14:paraId="3A2139A4" w14:textId="2855A406" w:rsidR="00780355" w:rsidRPr="00780355" w:rsidRDefault="00780355" w:rsidP="00780355">
          <w:pPr>
            <w:pStyle w:val="TOC2"/>
            <w:tabs>
              <w:tab w:val="right" w:leader="dot" w:pos="9016"/>
            </w:tabs>
            <w:spacing w:line="360" w:lineRule="auto"/>
            <w:jc w:val="both"/>
            <w:rPr>
              <w:rFonts w:ascii="Arial" w:eastAsiaTheme="minorEastAsia" w:hAnsi="Arial" w:cs="Arial"/>
              <w:noProof/>
              <w:kern w:val="2"/>
              <w:sz w:val="22"/>
              <w:szCs w:val="22"/>
              <w14:ligatures w14:val="standardContextual"/>
            </w:rPr>
          </w:pPr>
          <w:hyperlink w:anchor="_Toc234462011" w:history="1">
            <w:r w:rsidRPr="00780355">
              <w:rPr>
                <w:rStyle w:val="Hyperlink"/>
                <w:rFonts w:ascii="Arial" w:hAnsi="Arial" w:cs="Arial"/>
                <w:noProof/>
                <w:sz w:val="22"/>
                <w:szCs w:val="22"/>
              </w:rPr>
              <w:t>Conclusion</w:t>
            </w:r>
            <w:r w:rsidRPr="00780355">
              <w:rPr>
                <w:rFonts w:ascii="Arial" w:hAnsi="Arial" w:cs="Arial"/>
                <w:noProof/>
                <w:webHidden/>
                <w:sz w:val="22"/>
                <w:szCs w:val="22"/>
              </w:rPr>
              <w:tab/>
            </w:r>
            <w:r w:rsidRPr="00780355">
              <w:rPr>
                <w:rFonts w:ascii="Arial" w:hAnsi="Arial" w:cs="Arial"/>
                <w:noProof/>
                <w:webHidden/>
                <w:sz w:val="22"/>
                <w:szCs w:val="22"/>
              </w:rPr>
              <w:fldChar w:fldCharType="begin"/>
            </w:r>
            <w:r w:rsidRPr="00780355">
              <w:rPr>
                <w:rFonts w:ascii="Arial" w:hAnsi="Arial" w:cs="Arial"/>
                <w:noProof/>
                <w:webHidden/>
                <w:sz w:val="22"/>
                <w:szCs w:val="22"/>
              </w:rPr>
              <w:instrText xml:space="preserve"> PAGEREF _Toc234462011 \h </w:instrText>
            </w:r>
            <w:r w:rsidRPr="00780355">
              <w:rPr>
                <w:rFonts w:ascii="Arial" w:hAnsi="Arial" w:cs="Arial"/>
                <w:noProof/>
                <w:webHidden/>
                <w:sz w:val="22"/>
                <w:szCs w:val="22"/>
              </w:rPr>
            </w:r>
            <w:r w:rsidRPr="00780355">
              <w:rPr>
                <w:rFonts w:ascii="Arial" w:hAnsi="Arial" w:cs="Arial"/>
                <w:noProof/>
                <w:webHidden/>
                <w:sz w:val="22"/>
                <w:szCs w:val="22"/>
              </w:rPr>
              <w:fldChar w:fldCharType="separate"/>
            </w:r>
            <w:r w:rsidRPr="00780355">
              <w:rPr>
                <w:rFonts w:ascii="Arial" w:hAnsi="Arial" w:cs="Arial"/>
                <w:noProof/>
                <w:webHidden/>
                <w:sz w:val="22"/>
                <w:szCs w:val="22"/>
              </w:rPr>
              <w:t>4</w:t>
            </w:r>
            <w:r w:rsidRPr="00780355">
              <w:rPr>
                <w:rFonts w:ascii="Arial" w:hAnsi="Arial" w:cs="Arial"/>
                <w:noProof/>
                <w:webHidden/>
                <w:sz w:val="22"/>
                <w:szCs w:val="22"/>
              </w:rPr>
              <w:fldChar w:fldCharType="end"/>
            </w:r>
          </w:hyperlink>
        </w:p>
        <w:p w14:paraId="27AD2BDC" w14:textId="3A45BC58" w:rsidR="00780355" w:rsidRPr="00780355" w:rsidRDefault="00780355" w:rsidP="00780355">
          <w:pPr>
            <w:pStyle w:val="TOC2"/>
            <w:tabs>
              <w:tab w:val="right" w:leader="dot" w:pos="9016"/>
            </w:tabs>
            <w:spacing w:line="360" w:lineRule="auto"/>
            <w:jc w:val="both"/>
            <w:rPr>
              <w:rFonts w:ascii="Arial" w:eastAsiaTheme="minorEastAsia" w:hAnsi="Arial" w:cs="Arial"/>
              <w:noProof/>
              <w:kern w:val="2"/>
              <w:sz w:val="22"/>
              <w:szCs w:val="22"/>
              <w14:ligatures w14:val="standardContextual"/>
            </w:rPr>
          </w:pPr>
          <w:hyperlink w:anchor="_Toc234462012" w:history="1">
            <w:r w:rsidRPr="00780355">
              <w:rPr>
                <w:rStyle w:val="Hyperlink"/>
                <w:rFonts w:ascii="Arial" w:hAnsi="Arial" w:cs="Arial"/>
                <w:noProof/>
                <w:sz w:val="22"/>
                <w:szCs w:val="22"/>
              </w:rPr>
              <w:t>References</w:t>
            </w:r>
            <w:r w:rsidRPr="00780355">
              <w:rPr>
                <w:rFonts w:ascii="Arial" w:hAnsi="Arial" w:cs="Arial"/>
                <w:noProof/>
                <w:webHidden/>
                <w:sz w:val="22"/>
                <w:szCs w:val="22"/>
              </w:rPr>
              <w:tab/>
            </w:r>
            <w:r w:rsidRPr="00780355">
              <w:rPr>
                <w:rFonts w:ascii="Arial" w:hAnsi="Arial" w:cs="Arial"/>
                <w:noProof/>
                <w:webHidden/>
                <w:sz w:val="22"/>
                <w:szCs w:val="22"/>
              </w:rPr>
              <w:fldChar w:fldCharType="begin"/>
            </w:r>
            <w:r w:rsidRPr="00780355">
              <w:rPr>
                <w:rFonts w:ascii="Arial" w:hAnsi="Arial" w:cs="Arial"/>
                <w:noProof/>
                <w:webHidden/>
                <w:sz w:val="22"/>
                <w:szCs w:val="22"/>
              </w:rPr>
              <w:instrText xml:space="preserve"> PAGEREF _Toc234462012 \h </w:instrText>
            </w:r>
            <w:r w:rsidRPr="00780355">
              <w:rPr>
                <w:rFonts w:ascii="Arial" w:hAnsi="Arial" w:cs="Arial"/>
                <w:noProof/>
                <w:webHidden/>
                <w:sz w:val="22"/>
                <w:szCs w:val="22"/>
              </w:rPr>
            </w:r>
            <w:r w:rsidRPr="00780355">
              <w:rPr>
                <w:rFonts w:ascii="Arial" w:hAnsi="Arial" w:cs="Arial"/>
                <w:noProof/>
                <w:webHidden/>
                <w:sz w:val="22"/>
                <w:szCs w:val="22"/>
              </w:rPr>
              <w:fldChar w:fldCharType="separate"/>
            </w:r>
            <w:r w:rsidRPr="00780355">
              <w:rPr>
                <w:rFonts w:ascii="Arial" w:hAnsi="Arial" w:cs="Arial"/>
                <w:noProof/>
                <w:webHidden/>
                <w:sz w:val="22"/>
                <w:szCs w:val="22"/>
              </w:rPr>
              <w:t>4</w:t>
            </w:r>
            <w:r w:rsidRPr="00780355">
              <w:rPr>
                <w:rFonts w:ascii="Arial" w:hAnsi="Arial" w:cs="Arial"/>
                <w:noProof/>
                <w:webHidden/>
                <w:sz w:val="22"/>
                <w:szCs w:val="22"/>
              </w:rPr>
              <w:fldChar w:fldCharType="end"/>
            </w:r>
          </w:hyperlink>
        </w:p>
        <w:p w14:paraId="66A40EEC" w14:textId="39786440" w:rsidR="00E65EA0" w:rsidRDefault="00E65EA0" w:rsidP="00780355">
          <w:pPr>
            <w:spacing w:line="360" w:lineRule="auto"/>
            <w:jc w:val="both"/>
          </w:pPr>
          <w:r w:rsidRPr="00780355">
            <w:rPr>
              <w:rFonts w:ascii="Arial" w:hAnsi="Arial" w:cs="Arial"/>
              <w:b/>
              <w:bCs/>
              <w:sz w:val="22"/>
              <w:szCs w:val="22"/>
            </w:rPr>
            <w:fldChar w:fldCharType="end"/>
          </w:r>
        </w:p>
      </w:sdtContent>
    </w:sdt>
    <w:p w14:paraId="674214FE" w14:textId="77777777" w:rsidR="000650B2" w:rsidRDefault="000650B2"/>
    <w:p w14:paraId="0A0DA033" w14:textId="77777777" w:rsidR="0098186E" w:rsidRDefault="0098186E">
      <w:r>
        <w:br w:type="page"/>
      </w:r>
    </w:p>
    <w:p w14:paraId="038A3915" w14:textId="77777777" w:rsidR="000650B2" w:rsidRDefault="000650B2" w:rsidP="008D4C09">
      <w:pPr>
        <w:pStyle w:val="Heading1"/>
        <w:sectPr w:rsidR="000650B2" w:rsidSect="000650B2">
          <w:footerReference w:type="default" r:id="rId8"/>
          <w:headerReference w:type="first" r:id="rId9"/>
          <w:footerReference w:type="first" r:id="rId10"/>
          <w:pgSz w:w="11906" w:h="16838" w:code="9"/>
          <w:pgMar w:top="1440" w:right="1440" w:bottom="1440" w:left="1440" w:header="706" w:footer="706" w:gutter="0"/>
          <w:pgNumType w:start="0"/>
          <w:cols w:space="720"/>
          <w:titlePg/>
          <w:docGrid w:linePitch="360"/>
        </w:sectPr>
      </w:pPr>
    </w:p>
    <w:p w14:paraId="3968FBC5" w14:textId="77777777" w:rsidR="0021392E" w:rsidRDefault="0021392E" w:rsidP="008D4C09">
      <w:pPr>
        <w:pStyle w:val="Heading1"/>
      </w:pPr>
      <w:bookmarkStart w:id="0" w:name="_Toc234462005"/>
    </w:p>
    <w:p w14:paraId="4870A5C3" w14:textId="3C984A59" w:rsidR="0098186E" w:rsidRDefault="0098186E" w:rsidP="008D4C09">
      <w:pPr>
        <w:pStyle w:val="Heading1"/>
      </w:pPr>
      <w:r>
        <w:t xml:space="preserve">Task 1: </w:t>
      </w:r>
      <w:r w:rsidR="00334E7F">
        <w:t>Poster</w:t>
      </w:r>
      <w:r w:rsidR="004F1AB0">
        <w:t>: Ambulance Services in the UK</w:t>
      </w:r>
      <w:bookmarkEnd w:id="0"/>
    </w:p>
    <w:p w14:paraId="21435F03" w14:textId="77777777" w:rsidR="0021392E" w:rsidRDefault="0021392E" w:rsidP="008D4C09">
      <w:pPr>
        <w:pStyle w:val="Heading1"/>
      </w:pPr>
    </w:p>
    <w:tbl>
      <w:tblPr>
        <w:tblW w:w="107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393"/>
        <w:gridCol w:w="5393"/>
      </w:tblGrid>
      <w:tr w:rsidR="005C3F19" w14:paraId="07BC0529" w14:textId="77777777">
        <w:trPr>
          <w:cantSplit/>
        </w:trPr>
        <w:tc>
          <w:tcPr>
            <w:tcW w:w="10786" w:type="dxa"/>
            <w:gridSpan w:val="2"/>
            <w:shd w:val="clear" w:color="auto" w:fill="0B2545"/>
            <w:tcMar>
              <w:top w:w="90" w:type="dxa"/>
              <w:left w:w="130" w:type="dxa"/>
              <w:bottom w:w="90" w:type="dxa"/>
              <w:right w:w="130" w:type="dxa"/>
            </w:tcMar>
          </w:tcPr>
          <w:p w14:paraId="64ACFC86" w14:textId="77777777" w:rsidR="005C3F19" w:rsidRPr="005242A5" w:rsidRDefault="00000000">
            <w:pPr>
              <w:spacing w:after="60" w:line="258" w:lineRule="auto"/>
              <w:rPr>
                <w:rFonts w:ascii="Arial" w:hAnsi="Arial" w:cs="Arial"/>
              </w:rPr>
            </w:pPr>
            <w:r w:rsidRPr="005242A5">
              <w:rPr>
                <w:rFonts w:ascii="Arial" w:hAnsi="Arial" w:cs="Arial"/>
                <w:b/>
                <w:bCs/>
                <w:color w:val="FFFFFF"/>
                <w:sz w:val="30"/>
                <w:szCs w:val="30"/>
              </w:rPr>
              <w:t>Ambulance Services in the UK</w:t>
            </w:r>
          </w:p>
          <w:p w14:paraId="234E23B1" w14:textId="1F95ABB7" w:rsidR="005C3F19" w:rsidRPr="005242A5" w:rsidRDefault="00000000" w:rsidP="008F5058">
            <w:pPr>
              <w:spacing w:after="100" w:line="258" w:lineRule="auto"/>
              <w:rPr>
                <w:rFonts w:ascii="Arial" w:hAnsi="Arial" w:cs="Arial"/>
              </w:rPr>
            </w:pPr>
            <w:r w:rsidRPr="005242A5">
              <w:rPr>
                <w:rFonts w:ascii="Arial" w:hAnsi="Arial" w:cs="Arial"/>
                <w:i/>
                <w:iCs/>
                <w:color w:val="E9EEF5"/>
              </w:rPr>
              <w:t>Role, Development and Current Challenges</w:t>
            </w:r>
          </w:p>
        </w:tc>
      </w:tr>
      <w:tr w:rsidR="005C3F19" w14:paraId="383F0893" w14:textId="77777777">
        <w:trPr>
          <w:cantSplit/>
        </w:trPr>
        <w:tc>
          <w:tcPr>
            <w:tcW w:w="5393" w:type="dxa"/>
            <w:tcBorders>
              <w:top w:val="single" w:sz="4" w:space="0" w:color="0B2545"/>
              <w:left w:val="single" w:sz="4" w:space="0" w:color="0B2545"/>
              <w:bottom w:val="single" w:sz="4" w:space="0" w:color="0B2545"/>
              <w:right w:val="single" w:sz="4" w:space="0" w:color="0B2545"/>
            </w:tcBorders>
            <w:shd w:val="clear" w:color="auto" w:fill="FFFFFF"/>
            <w:tcMar>
              <w:top w:w="90" w:type="dxa"/>
              <w:left w:w="130" w:type="dxa"/>
              <w:bottom w:w="90" w:type="dxa"/>
              <w:right w:w="130" w:type="dxa"/>
            </w:tcMar>
          </w:tcPr>
          <w:p w14:paraId="531EB0CA" w14:textId="77777777" w:rsidR="005C3F19" w:rsidRPr="005242A5" w:rsidRDefault="00000000">
            <w:pPr>
              <w:spacing w:after="100"/>
              <w:rPr>
                <w:rFonts w:ascii="Arial" w:hAnsi="Arial" w:cs="Arial"/>
              </w:rPr>
            </w:pPr>
            <w:r w:rsidRPr="005242A5">
              <w:rPr>
                <w:rFonts w:ascii="Arial" w:hAnsi="Arial" w:cs="Arial"/>
                <w:b/>
                <w:bCs/>
                <w:color w:val="0B2545"/>
                <w:sz w:val="19"/>
                <w:szCs w:val="19"/>
              </w:rPr>
              <w:t>WHAT IS THE SERVICE?</w:t>
            </w:r>
          </w:p>
          <w:p w14:paraId="258545E3" w14:textId="77777777" w:rsidR="00BD0F54" w:rsidRPr="005242A5" w:rsidRDefault="00BD0F54" w:rsidP="00BD0F54">
            <w:pPr>
              <w:spacing w:after="100" w:line="258" w:lineRule="auto"/>
              <w:jc w:val="both"/>
              <w:rPr>
                <w:rStyle w:val="agcmg"/>
                <w:rFonts w:ascii="Arial" w:hAnsi="Arial" w:cs="Arial"/>
              </w:rPr>
            </w:pPr>
            <w:r w:rsidRPr="005242A5">
              <w:rPr>
                <w:rStyle w:val="agcmg"/>
                <w:rFonts w:ascii="Arial" w:hAnsi="Arial" w:cs="Arial"/>
              </w:rPr>
              <w:t>The chosen healthcare service is ambulance services. The ambulance services assist people by responding to emergency calls made to 999, on-site assessment of patients, providing them with immediate clinical care, and transferring them to the most suitable care environment. In England, care is provided by 11 regional NHS ambulance trusts, with different arrangements in Scotland, Wales and Northern Ireland, which includes cardiac arrests and strokes to falls, mental health crises and non-urgent inter-hospital transfers (NHS England, 2026). This service is provided to people wherever they go, be it at home, workplaces, roadsides, care homes and in the open areas, as opposed to most other NHS services that are offered in a single fixed location. Crews range from single paramedics working in rapid-response cars, who can reach a patient quickly to begin treatment, to double-crewed ambulances able to transport patients safely, and, for the most critical or remote cases, air ambulances run jointly with charitable trusts. More and more ambulance services are also offering telephone triage and community-based advice, not taking patients to hospitals when it is safe to do so.</w:t>
            </w:r>
          </w:p>
          <w:p w14:paraId="1A0E9EA4" w14:textId="5F323E1A" w:rsidR="005C3F19" w:rsidRPr="005242A5" w:rsidRDefault="008F5058" w:rsidP="00BD0F54">
            <w:pPr>
              <w:spacing w:after="100" w:line="258" w:lineRule="auto"/>
              <w:jc w:val="both"/>
              <w:rPr>
                <w:rFonts w:ascii="Arial" w:hAnsi="Arial" w:cs="Arial"/>
              </w:rPr>
            </w:pPr>
            <w:r w:rsidRPr="005242A5">
              <w:rPr>
                <w:rFonts w:ascii="Arial" w:hAnsi="Arial" w:cs="Arial"/>
                <w:noProof/>
                <w:color w:val="1A1A1A"/>
              </w:rPr>
              <w:drawing>
                <wp:inline distT="0" distB="0" distL="0" distR="0" wp14:anchorId="4396D671" wp14:editId="37733DA7">
                  <wp:extent cx="3250565" cy="1272844"/>
                  <wp:effectExtent l="0" t="0" r="6985" b="3810"/>
                  <wp:docPr id="1176853410"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DE8C688" w14:textId="77777777" w:rsidR="005C3F19" w:rsidRPr="005242A5" w:rsidRDefault="00000000">
            <w:pPr>
              <w:spacing w:after="60"/>
              <w:jc w:val="center"/>
              <w:rPr>
                <w:rFonts w:ascii="Arial" w:hAnsi="Arial" w:cs="Arial"/>
              </w:rPr>
            </w:pPr>
            <w:r w:rsidRPr="005242A5">
              <w:rPr>
                <w:rFonts w:ascii="Arial" w:hAnsi="Arial" w:cs="Arial"/>
                <w:i/>
                <w:iCs/>
                <w:color w:val="666666"/>
                <w:sz w:val="13"/>
                <w:szCs w:val="13"/>
              </w:rPr>
              <w:t>Source: NHS England (2026) Ambulance Quality Indicators.</w:t>
            </w:r>
          </w:p>
        </w:tc>
        <w:tc>
          <w:tcPr>
            <w:tcW w:w="5393" w:type="dxa"/>
            <w:tcBorders>
              <w:top w:val="single" w:sz="4" w:space="0" w:color="0B2545"/>
              <w:left w:val="single" w:sz="4" w:space="0" w:color="0B2545"/>
              <w:bottom w:val="single" w:sz="4" w:space="0" w:color="0B2545"/>
              <w:right w:val="single" w:sz="4" w:space="0" w:color="0B2545"/>
            </w:tcBorders>
            <w:shd w:val="clear" w:color="auto" w:fill="FFFFFF"/>
            <w:tcMar>
              <w:top w:w="90" w:type="dxa"/>
              <w:left w:w="130" w:type="dxa"/>
              <w:bottom w:w="90" w:type="dxa"/>
              <w:right w:w="130" w:type="dxa"/>
            </w:tcMar>
          </w:tcPr>
          <w:p w14:paraId="3671D469" w14:textId="77777777" w:rsidR="00BD0F54" w:rsidRPr="005242A5" w:rsidRDefault="00000000" w:rsidP="00BD0F54">
            <w:pPr>
              <w:spacing w:after="100"/>
              <w:rPr>
                <w:rFonts w:ascii="Arial" w:hAnsi="Arial" w:cs="Arial"/>
                <w:b/>
                <w:bCs/>
                <w:color w:val="0B2545"/>
                <w:sz w:val="19"/>
                <w:szCs w:val="19"/>
              </w:rPr>
            </w:pPr>
            <w:r w:rsidRPr="005242A5">
              <w:rPr>
                <w:rFonts w:ascii="Arial" w:hAnsi="Arial" w:cs="Arial"/>
                <w:b/>
                <w:bCs/>
                <w:color w:val="0B2545"/>
                <w:sz w:val="19"/>
                <w:szCs w:val="19"/>
              </w:rPr>
              <w:t>BRIEF HISTORY</w:t>
            </w:r>
          </w:p>
          <w:p w14:paraId="01672559" w14:textId="77777777" w:rsidR="00BD0F54" w:rsidRPr="005242A5" w:rsidRDefault="00BD0F54" w:rsidP="00BD0F54">
            <w:pPr>
              <w:spacing w:after="100"/>
              <w:jc w:val="both"/>
              <w:rPr>
                <w:rStyle w:val="agcmg"/>
                <w:rFonts w:ascii="Arial" w:hAnsi="Arial" w:cs="Arial"/>
              </w:rPr>
            </w:pPr>
            <w:r w:rsidRPr="005242A5">
              <w:rPr>
                <w:rStyle w:val="agcmg"/>
                <w:rFonts w:ascii="Arial" w:hAnsi="Arial" w:cs="Arial"/>
              </w:rPr>
              <w:t>Traditionally, the service was built gradually according to the evolving clinical requirements and societal demands.</w:t>
            </w:r>
          </w:p>
          <w:p w14:paraId="731BCB30" w14:textId="77777777" w:rsidR="00BD0F54" w:rsidRPr="005242A5" w:rsidRDefault="00BD0F54" w:rsidP="005D6631">
            <w:pPr>
              <w:pStyle w:val="ListParagraph"/>
              <w:numPr>
                <w:ilvl w:val="0"/>
                <w:numId w:val="2"/>
              </w:numPr>
              <w:spacing w:after="100"/>
              <w:jc w:val="both"/>
              <w:rPr>
                <w:rStyle w:val="agcmg"/>
                <w:rFonts w:ascii="Arial" w:hAnsi="Arial" w:cs="Arial"/>
              </w:rPr>
            </w:pPr>
            <w:r w:rsidRPr="005242A5">
              <w:rPr>
                <w:rStyle w:val="agcmg"/>
                <w:rFonts w:ascii="Arial" w:hAnsi="Arial" w:cs="Arial"/>
                <w:b/>
                <w:bCs/>
              </w:rPr>
              <w:t xml:space="preserve">Pre-1974: </w:t>
            </w:r>
            <w:r w:rsidRPr="005242A5">
              <w:rPr>
                <w:rStyle w:val="agcmg"/>
                <w:rFonts w:ascii="Arial" w:hAnsi="Arial" w:cs="Arial"/>
              </w:rPr>
              <w:t>transport was locally organised, commonly by councils, fire brigade or police and was usually limited to the transportation of patients to hospital with minimal on-board treatment.</w:t>
            </w:r>
          </w:p>
          <w:p w14:paraId="7645D98C" w14:textId="77777777" w:rsidR="00BD0F54" w:rsidRPr="005242A5" w:rsidRDefault="00BD0F54" w:rsidP="005D6631">
            <w:pPr>
              <w:pStyle w:val="ListParagraph"/>
              <w:numPr>
                <w:ilvl w:val="0"/>
                <w:numId w:val="2"/>
              </w:numPr>
              <w:spacing w:after="100"/>
              <w:jc w:val="both"/>
              <w:rPr>
                <w:rStyle w:val="agcmg"/>
                <w:rFonts w:ascii="Arial" w:hAnsi="Arial" w:cs="Arial"/>
              </w:rPr>
            </w:pPr>
            <w:r w:rsidRPr="005242A5">
              <w:rPr>
                <w:rStyle w:val="agcmg"/>
                <w:rFonts w:ascii="Arial" w:hAnsi="Arial" w:cs="Arial"/>
                <w:b/>
                <w:bCs/>
              </w:rPr>
              <w:t>1974:</w:t>
            </w:r>
            <w:r w:rsidRPr="005242A5">
              <w:rPr>
                <w:rStyle w:val="agcmg"/>
                <w:rFonts w:ascii="Arial" w:hAnsi="Arial" w:cs="Arial"/>
              </w:rPr>
              <w:t xml:space="preserve"> all ambulance services were nationalised under the NHS, training, vehicles and equipment were standardised throughout the country.</w:t>
            </w:r>
          </w:p>
          <w:p w14:paraId="2EBF6D38" w14:textId="77777777" w:rsidR="00BD0F54" w:rsidRPr="005242A5" w:rsidRDefault="00BD0F54" w:rsidP="005D6631">
            <w:pPr>
              <w:pStyle w:val="ListParagraph"/>
              <w:numPr>
                <w:ilvl w:val="0"/>
                <w:numId w:val="2"/>
              </w:numPr>
              <w:spacing w:after="100"/>
              <w:jc w:val="both"/>
              <w:rPr>
                <w:rStyle w:val="agcmg"/>
                <w:rFonts w:ascii="Arial" w:hAnsi="Arial" w:cs="Arial"/>
              </w:rPr>
            </w:pPr>
            <w:r w:rsidRPr="005242A5">
              <w:rPr>
                <w:rStyle w:val="agcmg"/>
                <w:rFonts w:ascii="Arial" w:hAnsi="Arial" w:cs="Arial"/>
                <w:b/>
                <w:bCs/>
              </w:rPr>
              <w:t>1990s-2000s:</w:t>
            </w:r>
            <w:r w:rsidRPr="005242A5">
              <w:rPr>
                <w:rStyle w:val="agcmg"/>
                <w:rFonts w:ascii="Arial" w:hAnsi="Arial" w:cs="Arial"/>
              </w:rPr>
              <w:t xml:space="preserve"> paramedics were registered healthcare providers, and ambulances were turned into mobile treatment units with the ability to defibrillate and provide advanced airway care.</w:t>
            </w:r>
          </w:p>
          <w:p w14:paraId="120B81CA" w14:textId="77777777" w:rsidR="00BD0F54" w:rsidRPr="005242A5" w:rsidRDefault="00BD0F54" w:rsidP="005D6631">
            <w:pPr>
              <w:pStyle w:val="ListParagraph"/>
              <w:numPr>
                <w:ilvl w:val="0"/>
                <w:numId w:val="2"/>
              </w:numPr>
              <w:spacing w:after="100"/>
              <w:jc w:val="both"/>
              <w:rPr>
                <w:rStyle w:val="agcmg"/>
                <w:rFonts w:ascii="Arial" w:hAnsi="Arial" w:cs="Arial"/>
              </w:rPr>
            </w:pPr>
            <w:r w:rsidRPr="005242A5">
              <w:rPr>
                <w:rStyle w:val="agcmg"/>
                <w:rFonts w:ascii="Arial" w:hAnsi="Arial" w:cs="Arial"/>
                <w:b/>
                <w:bCs/>
              </w:rPr>
              <w:t>2017:</w:t>
            </w:r>
            <w:r w:rsidRPr="005242A5">
              <w:rPr>
                <w:rStyle w:val="agcmg"/>
                <w:rFonts w:ascii="Arial" w:hAnsi="Arial" w:cs="Arial"/>
              </w:rPr>
              <w:t xml:space="preserve"> the four-category triage system, which is used today, was proposed in the Ambulance Response Programme, the result of the largest ambulance clinical trial ever.</w:t>
            </w:r>
          </w:p>
          <w:p w14:paraId="1AA59FF0" w14:textId="71B6EF69" w:rsidR="00BD0F54" w:rsidRPr="005242A5" w:rsidRDefault="00BD0F54" w:rsidP="005D6631">
            <w:pPr>
              <w:pStyle w:val="ListParagraph"/>
              <w:numPr>
                <w:ilvl w:val="0"/>
                <w:numId w:val="2"/>
              </w:numPr>
              <w:spacing w:after="100"/>
              <w:jc w:val="both"/>
              <w:rPr>
                <w:rFonts w:ascii="Arial" w:hAnsi="Arial" w:cs="Arial"/>
                <w:b/>
                <w:bCs/>
                <w:color w:val="0B2545"/>
                <w:sz w:val="19"/>
                <w:szCs w:val="19"/>
              </w:rPr>
            </w:pPr>
            <w:r w:rsidRPr="005242A5">
              <w:rPr>
                <w:rStyle w:val="agcmg"/>
                <w:rFonts w:ascii="Arial" w:hAnsi="Arial" w:cs="Arial"/>
                <w:b/>
                <w:bCs/>
              </w:rPr>
              <w:t xml:space="preserve">2020s: </w:t>
            </w:r>
            <w:r w:rsidRPr="005242A5">
              <w:rPr>
                <w:rStyle w:val="agcmg"/>
                <w:rFonts w:ascii="Arial" w:hAnsi="Arial" w:cs="Arial"/>
              </w:rPr>
              <w:t>the covid-19 pandemic increased the demand and handover delays to unprecedented levels, and the service has been spending the years since then attempting to regain lost performance.</w:t>
            </w:r>
          </w:p>
          <w:p w14:paraId="69EEEDB1" w14:textId="48FB6CD1" w:rsidR="005C3F19" w:rsidRPr="005242A5" w:rsidRDefault="008F5058" w:rsidP="00BD0F54">
            <w:pPr>
              <w:spacing w:after="40" w:line="258" w:lineRule="auto"/>
              <w:jc w:val="center"/>
              <w:rPr>
                <w:rFonts w:ascii="Arial" w:hAnsi="Arial" w:cs="Arial"/>
              </w:rPr>
            </w:pPr>
            <w:r w:rsidRPr="005242A5">
              <w:rPr>
                <w:rFonts w:ascii="Arial" w:hAnsi="Arial" w:cs="Arial"/>
                <w:noProof/>
              </w:rPr>
              <w:drawing>
                <wp:inline distT="0" distB="0" distL="0" distR="0" wp14:anchorId="4FED4584" wp14:editId="4333E759">
                  <wp:extent cx="2990850" cy="850265"/>
                  <wp:effectExtent l="0" t="0" r="0" b="0"/>
                  <wp:docPr id="10122398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0E218D86" w14:textId="65496D36" w:rsidR="005C3F19" w:rsidRPr="005242A5" w:rsidRDefault="00000000">
            <w:pPr>
              <w:spacing w:after="60"/>
              <w:jc w:val="center"/>
              <w:rPr>
                <w:rFonts w:ascii="Arial" w:hAnsi="Arial" w:cs="Arial"/>
              </w:rPr>
            </w:pPr>
            <w:r w:rsidRPr="005242A5">
              <w:rPr>
                <w:rFonts w:ascii="Arial" w:hAnsi="Arial" w:cs="Arial"/>
                <w:i/>
                <w:iCs/>
                <w:color w:val="666666"/>
                <w:sz w:val="13"/>
                <w:szCs w:val="13"/>
              </w:rPr>
              <w:t>Source: Compiled from NHS England (2026) and House of Commons Library (202</w:t>
            </w:r>
            <w:r w:rsidR="008F5058" w:rsidRPr="005242A5">
              <w:rPr>
                <w:rFonts w:ascii="Arial" w:hAnsi="Arial" w:cs="Arial"/>
                <w:i/>
                <w:iCs/>
                <w:color w:val="666666"/>
                <w:sz w:val="13"/>
                <w:szCs w:val="13"/>
              </w:rPr>
              <w:t>5</w:t>
            </w:r>
            <w:r w:rsidRPr="005242A5">
              <w:rPr>
                <w:rFonts w:ascii="Arial" w:hAnsi="Arial" w:cs="Arial"/>
                <w:i/>
                <w:iCs/>
                <w:color w:val="666666"/>
                <w:sz w:val="13"/>
                <w:szCs w:val="13"/>
              </w:rPr>
              <w:t>).</w:t>
            </w:r>
          </w:p>
        </w:tc>
      </w:tr>
      <w:tr w:rsidR="005C3F19" w14:paraId="254546C7" w14:textId="77777777">
        <w:trPr>
          <w:cantSplit/>
        </w:trPr>
        <w:tc>
          <w:tcPr>
            <w:tcW w:w="10786" w:type="dxa"/>
            <w:gridSpan w:val="2"/>
            <w:tcBorders>
              <w:top w:val="single" w:sz="4" w:space="0" w:color="0B2545"/>
              <w:left w:val="single" w:sz="4" w:space="0" w:color="0B2545"/>
              <w:bottom w:val="single" w:sz="4" w:space="0" w:color="0B2545"/>
              <w:right w:val="single" w:sz="4" w:space="0" w:color="0B2545"/>
            </w:tcBorders>
            <w:shd w:val="clear" w:color="auto" w:fill="FFFFFF"/>
            <w:tcMar>
              <w:top w:w="90" w:type="dxa"/>
              <w:left w:w="130" w:type="dxa"/>
              <w:bottom w:w="90" w:type="dxa"/>
              <w:right w:w="130" w:type="dxa"/>
            </w:tcMar>
          </w:tcPr>
          <w:p w14:paraId="6538C066" w14:textId="77777777" w:rsidR="005C3F19" w:rsidRPr="005242A5" w:rsidRDefault="00000000">
            <w:pPr>
              <w:spacing w:after="100"/>
              <w:rPr>
                <w:rFonts w:ascii="Arial" w:hAnsi="Arial" w:cs="Arial"/>
              </w:rPr>
            </w:pPr>
            <w:r w:rsidRPr="005242A5">
              <w:rPr>
                <w:rFonts w:ascii="Arial" w:hAnsi="Arial" w:cs="Arial"/>
                <w:b/>
                <w:bCs/>
                <w:color w:val="0B2545"/>
                <w:sz w:val="19"/>
                <w:szCs w:val="19"/>
              </w:rPr>
              <w:lastRenderedPageBreak/>
              <w:t>HOW IT WORKS TODAY</w:t>
            </w:r>
          </w:p>
          <w:p w14:paraId="4D39F075" w14:textId="77777777" w:rsidR="005C3F19" w:rsidRPr="005242A5" w:rsidRDefault="00000000" w:rsidP="00BD0F54">
            <w:pPr>
              <w:spacing w:after="100" w:line="258" w:lineRule="auto"/>
              <w:jc w:val="both"/>
              <w:rPr>
                <w:rFonts w:ascii="Arial" w:hAnsi="Arial" w:cs="Arial"/>
              </w:rPr>
            </w:pPr>
            <w:r w:rsidRPr="005242A5">
              <w:rPr>
                <w:rFonts w:ascii="Arial" w:hAnsi="Arial" w:cs="Arial"/>
                <w:color w:val="1A1A1A"/>
              </w:rPr>
              <w:t>In the past, all 999 calls were dealt with as a single category, but now are broken down into four clinical categories. Category 1 are life threatening situations like cardiac arrest, the average response time is 7 minutes. In emergencies (including stroke, heart attack and sepsis) the average target is 18 minutes, but is temporarily relaxed to approximately 25-30 minutes as trusts work towards recouping capacity. Category 3 is urgent but not life-threatening issues such as late labour (90% of patients should be seen within 2 hours), or Category 4 which are less urgent routine transport (3 hours) (NHS England, 2026). Most importantly, the response clock is only halted when the resource that is most clinically appropriate reaches the patient, and not just upon the arrival of the first vehicle. There is a strong relationship between ambulance services and wider health and social care, with the hospital emergency departments, GP practices and NHS 111, as well as the 2026/27 planning guidance issued by NHS England, which has a target to cut the average wait time for a Category 2 ambulance call to 25 minutes by March 2027 with the aim of preventing unnecessary service use and implementing alternative care pathways (House of Commons Library, 2025).</w:t>
            </w:r>
          </w:p>
          <w:p w14:paraId="42CA8575" w14:textId="62FCA568" w:rsidR="005C3F19" w:rsidRPr="005242A5" w:rsidRDefault="00915C0A">
            <w:pPr>
              <w:spacing w:after="20"/>
              <w:jc w:val="center"/>
              <w:rPr>
                <w:rFonts w:ascii="Arial" w:hAnsi="Arial" w:cs="Arial"/>
              </w:rPr>
            </w:pPr>
            <w:r w:rsidRPr="005242A5">
              <w:rPr>
                <w:rFonts w:ascii="Arial" w:hAnsi="Arial" w:cs="Arial"/>
                <w:noProof/>
              </w:rPr>
              <w:drawing>
                <wp:inline distT="0" distB="0" distL="0" distR="0" wp14:anchorId="1162639F" wp14:editId="2270F1DE">
                  <wp:extent cx="5448300" cy="1467293"/>
                  <wp:effectExtent l="0" t="0" r="0" b="0"/>
                  <wp:docPr id="1414167015"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E6EA1E2" w14:textId="56880EFD" w:rsidR="00E65EA0" w:rsidRPr="005242A5" w:rsidRDefault="00000000" w:rsidP="00E65EA0">
            <w:pPr>
              <w:spacing w:after="60"/>
              <w:jc w:val="center"/>
              <w:rPr>
                <w:rFonts w:ascii="Arial" w:hAnsi="Arial" w:cs="Arial"/>
                <w:i/>
                <w:iCs/>
                <w:color w:val="666666"/>
                <w:sz w:val="13"/>
                <w:szCs w:val="13"/>
              </w:rPr>
            </w:pPr>
            <w:r w:rsidRPr="005242A5">
              <w:rPr>
                <w:rFonts w:ascii="Arial" w:hAnsi="Arial" w:cs="Arial"/>
                <w:i/>
                <w:iCs/>
                <w:color w:val="666666"/>
                <w:sz w:val="13"/>
                <w:szCs w:val="13"/>
              </w:rPr>
              <w:t>Source: NHS England (2026) Ambulance Quality Indicators.</w:t>
            </w:r>
          </w:p>
        </w:tc>
      </w:tr>
      <w:tr w:rsidR="005C3F19" w14:paraId="4196088D" w14:textId="77777777">
        <w:trPr>
          <w:cantSplit/>
        </w:trPr>
        <w:tc>
          <w:tcPr>
            <w:tcW w:w="10786" w:type="dxa"/>
            <w:gridSpan w:val="2"/>
            <w:tcBorders>
              <w:top w:val="single" w:sz="4" w:space="0" w:color="0B2545"/>
              <w:left w:val="single" w:sz="4" w:space="0" w:color="0B2545"/>
              <w:bottom w:val="single" w:sz="4" w:space="0" w:color="0B2545"/>
              <w:right w:val="single" w:sz="4" w:space="0" w:color="0B2545"/>
            </w:tcBorders>
            <w:shd w:val="clear" w:color="auto" w:fill="FFFFFF"/>
            <w:tcMar>
              <w:top w:w="100" w:type="dxa"/>
              <w:left w:w="140" w:type="dxa"/>
              <w:bottom w:w="40" w:type="dxa"/>
              <w:right w:w="140" w:type="dxa"/>
            </w:tcMar>
          </w:tcPr>
          <w:p w14:paraId="6DB8F484" w14:textId="77777777" w:rsidR="005C3F19" w:rsidRPr="005242A5" w:rsidRDefault="00000000">
            <w:pPr>
              <w:spacing w:after="100"/>
              <w:rPr>
                <w:rFonts w:ascii="Arial" w:hAnsi="Arial" w:cs="Arial"/>
              </w:rPr>
            </w:pPr>
            <w:r w:rsidRPr="005242A5">
              <w:rPr>
                <w:rFonts w:ascii="Arial" w:hAnsi="Arial" w:cs="Arial"/>
                <w:b/>
                <w:bCs/>
                <w:color w:val="0B2545"/>
                <w:sz w:val="19"/>
                <w:szCs w:val="19"/>
              </w:rPr>
              <w:t>TWO CURRENT CHALLENGES</w:t>
            </w:r>
          </w:p>
          <w:p w14:paraId="6B895CF1" w14:textId="4D1D8CE4" w:rsidR="005C3F19" w:rsidRPr="005242A5" w:rsidRDefault="00AE5332">
            <w:pPr>
              <w:spacing w:after="20"/>
              <w:jc w:val="center"/>
              <w:rPr>
                <w:rFonts w:ascii="Arial" w:hAnsi="Arial" w:cs="Arial"/>
              </w:rPr>
            </w:pPr>
            <w:r w:rsidRPr="005242A5">
              <w:rPr>
                <w:rFonts w:ascii="Arial" w:hAnsi="Arial" w:cs="Arial"/>
                <w:noProof/>
              </w:rPr>
              <w:drawing>
                <wp:inline distT="0" distB="0" distL="0" distR="0" wp14:anchorId="01B2D894" wp14:editId="1E1E48BF">
                  <wp:extent cx="3924300" cy="1567543"/>
                  <wp:effectExtent l="0" t="0" r="0" b="13970"/>
                  <wp:docPr id="519712620"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FBF8676" w14:textId="77777777" w:rsidR="005C3F19" w:rsidRPr="005242A5" w:rsidRDefault="00000000">
            <w:pPr>
              <w:spacing w:after="60"/>
              <w:jc w:val="center"/>
              <w:rPr>
                <w:rFonts w:ascii="Arial" w:hAnsi="Arial" w:cs="Arial"/>
              </w:rPr>
            </w:pPr>
            <w:r w:rsidRPr="005242A5">
              <w:rPr>
                <w:rFonts w:ascii="Arial" w:hAnsi="Arial" w:cs="Arial"/>
                <w:i/>
                <w:iCs/>
                <w:color w:val="666666"/>
                <w:sz w:val="13"/>
                <w:szCs w:val="13"/>
              </w:rPr>
              <w:t>Source: Nuffield Trust (2026) Ambulance response times.</w:t>
            </w:r>
          </w:p>
        </w:tc>
      </w:tr>
      <w:tr w:rsidR="005C3F19" w14:paraId="4FEC6C9F" w14:textId="77777777">
        <w:trPr>
          <w:cantSplit/>
        </w:trPr>
        <w:tc>
          <w:tcPr>
            <w:tcW w:w="10786" w:type="dxa"/>
            <w:gridSpan w:val="2"/>
            <w:tcBorders>
              <w:top w:val="single" w:sz="4" w:space="0" w:color="0B2545"/>
              <w:left w:val="single" w:sz="4" w:space="0" w:color="0B2545"/>
              <w:bottom w:val="single" w:sz="4" w:space="0" w:color="0B2545"/>
              <w:right w:val="single" w:sz="4" w:space="0" w:color="0B2545"/>
            </w:tcBorders>
            <w:tcMar>
              <w:top w:w="40" w:type="dxa"/>
              <w:left w:w="140" w:type="dxa"/>
              <w:bottom w:w="120" w:type="dxa"/>
              <w:right w:w="140" w:type="dxa"/>
            </w:tcMar>
          </w:tcPr>
          <w:tbl>
            <w:tblPr>
              <w:tblW w:w="104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233"/>
              <w:gridCol w:w="5233"/>
            </w:tblGrid>
            <w:tr w:rsidR="005C3F19" w:rsidRPr="005242A5" w14:paraId="538E8834" w14:textId="77777777">
              <w:trPr>
                <w:cantSplit/>
              </w:trPr>
              <w:tc>
                <w:tcPr>
                  <w:tcW w:w="5233" w:type="dxa"/>
                  <w:tcBorders>
                    <w:top w:val="single" w:sz="4" w:space="0" w:color="0B2545"/>
                    <w:left w:val="single" w:sz="4" w:space="0" w:color="0B2545"/>
                    <w:bottom w:val="single" w:sz="4" w:space="0" w:color="0B2545"/>
                    <w:right w:val="single" w:sz="4" w:space="0" w:color="0B2545"/>
                  </w:tcBorders>
                  <w:shd w:val="clear" w:color="auto" w:fill="EEF2F7"/>
                  <w:tcMar>
                    <w:top w:w="100" w:type="dxa"/>
                    <w:left w:w="120" w:type="dxa"/>
                    <w:bottom w:w="100" w:type="dxa"/>
                    <w:right w:w="120" w:type="dxa"/>
                  </w:tcMar>
                </w:tcPr>
                <w:p w14:paraId="33D2DF17" w14:textId="77777777" w:rsidR="005C3F19" w:rsidRPr="005242A5" w:rsidRDefault="00000000">
                  <w:pPr>
                    <w:spacing w:after="60" w:line="258" w:lineRule="auto"/>
                    <w:rPr>
                      <w:rFonts w:ascii="Arial" w:hAnsi="Arial" w:cs="Arial"/>
                    </w:rPr>
                  </w:pPr>
                  <w:r w:rsidRPr="005242A5">
                    <w:rPr>
                      <w:rFonts w:ascii="Arial" w:hAnsi="Arial" w:cs="Arial"/>
                      <w:b/>
                      <w:bCs/>
                      <w:color w:val="0B2545"/>
                      <w:sz w:val="22"/>
                      <w:szCs w:val="22"/>
                    </w:rPr>
                    <w:t>1. Hospital handover delays</w:t>
                  </w:r>
                </w:p>
                <w:p w14:paraId="3BC55557" w14:textId="77777777" w:rsidR="005C3F19" w:rsidRPr="005242A5" w:rsidRDefault="00000000" w:rsidP="00123C9F">
                  <w:pPr>
                    <w:spacing w:after="70" w:line="258" w:lineRule="auto"/>
                    <w:jc w:val="both"/>
                    <w:rPr>
                      <w:rFonts w:ascii="Arial" w:hAnsi="Arial" w:cs="Arial"/>
                    </w:rPr>
                  </w:pPr>
                  <w:r w:rsidRPr="005242A5">
                    <w:rPr>
                      <w:rFonts w:ascii="Arial" w:hAnsi="Arial" w:cs="Arial"/>
                      <w:color w:val="1A1A1A"/>
                    </w:rPr>
                    <w:t>A big problem with this service is the delay in hospital handover. Ambulances often line up outside A&amp;E departments as beds and cubicles are full and they can't officially pass over their patients and then get back on the road. Handovers are supposed to take place within 15 minutes, no more than 45 minutes, and under national guidance, but many patients wait much longer inside the vehicle itself (Nuffield Trust, 2026). This is important as it could impact service users, by directly reducing the availability of ambulances to respond to fresh 999 calls, which is one of the most obvious factors contributing to missed service response-time targets across the country. It can also put the patient in another person's care under pressure and jeopardize their wellbeing, as the patient is spending many hours receiving care in a corridor instead of a clinical setting, and it can increase the pressure and fatigue on ambulance crews.</w:t>
                  </w:r>
                </w:p>
              </w:tc>
              <w:tc>
                <w:tcPr>
                  <w:tcW w:w="5233" w:type="dxa"/>
                  <w:tcBorders>
                    <w:top w:val="single" w:sz="4" w:space="0" w:color="0B2545"/>
                    <w:left w:val="single" w:sz="4" w:space="0" w:color="0B2545"/>
                    <w:bottom w:val="single" w:sz="4" w:space="0" w:color="0B2545"/>
                    <w:right w:val="single" w:sz="4" w:space="0" w:color="0B2545"/>
                  </w:tcBorders>
                  <w:shd w:val="clear" w:color="auto" w:fill="EEF2F7"/>
                  <w:tcMar>
                    <w:top w:w="100" w:type="dxa"/>
                    <w:left w:w="120" w:type="dxa"/>
                    <w:bottom w:w="100" w:type="dxa"/>
                    <w:right w:w="120" w:type="dxa"/>
                  </w:tcMar>
                </w:tcPr>
                <w:p w14:paraId="1C67B83C" w14:textId="77777777" w:rsidR="005C3F19" w:rsidRPr="005242A5" w:rsidRDefault="00000000">
                  <w:pPr>
                    <w:spacing w:after="60" w:line="258" w:lineRule="auto"/>
                    <w:rPr>
                      <w:rFonts w:ascii="Arial" w:hAnsi="Arial" w:cs="Arial"/>
                    </w:rPr>
                  </w:pPr>
                  <w:r w:rsidRPr="005242A5">
                    <w:rPr>
                      <w:rFonts w:ascii="Arial" w:hAnsi="Arial" w:cs="Arial"/>
                      <w:b/>
                      <w:bCs/>
                      <w:color w:val="0B2545"/>
                      <w:sz w:val="22"/>
                      <w:szCs w:val="22"/>
                    </w:rPr>
                    <w:t>2. Workforce pressure and rising demand</w:t>
                  </w:r>
                </w:p>
                <w:p w14:paraId="5213902A" w14:textId="0059C990" w:rsidR="005C3F19" w:rsidRPr="005242A5" w:rsidRDefault="00000000" w:rsidP="00123C9F">
                  <w:pPr>
                    <w:spacing w:after="70" w:line="258" w:lineRule="auto"/>
                    <w:jc w:val="both"/>
                    <w:rPr>
                      <w:rFonts w:ascii="Arial" w:hAnsi="Arial" w:cs="Arial"/>
                    </w:rPr>
                  </w:pPr>
                  <w:r w:rsidRPr="005242A5">
                    <w:rPr>
                      <w:rFonts w:ascii="Arial" w:hAnsi="Arial" w:cs="Arial"/>
                      <w:color w:val="1A1A1A"/>
                    </w:rPr>
                    <w:t xml:space="preserve">The second is </w:t>
                  </w:r>
                  <w:r w:rsidR="008F5058" w:rsidRPr="005242A5">
                    <w:rPr>
                      <w:rFonts w:ascii="Arial" w:hAnsi="Arial" w:cs="Arial"/>
                      <w:color w:val="1A1A1A"/>
                    </w:rPr>
                    <w:t>labour</w:t>
                  </w:r>
                  <w:r w:rsidRPr="005242A5">
                    <w:rPr>
                      <w:rFonts w:ascii="Arial" w:hAnsi="Arial" w:cs="Arial"/>
                      <w:color w:val="1A1A1A"/>
                    </w:rPr>
                    <w:t xml:space="preserve"> constraints coupled with an increased demand. For over 10 years, calls have increased more rapidly than the staff and funding allocated to deal with them, in part because there is a higher proportion of elderly, more chronic, and more complex health problems. Independent reports have noted the high numbers of sickness and burnout among ambulance staff, the ageing of the vehicle fleet and recruitment and retention issues for qualified ambulance staff (House of Commons Library, 2025). This has implications for the service user as it may result in extended delay before an ambulance is available, more service calls being handled via telephone, and increased use of rapid-response cars (as opposed to full crewed cars). Sustained workforce pressure can also have an impact on staff wellbeing and retention over time, which can result in a vicious circle of staff shortages leading to increased pressure and, consequently, decreased appeal to new entrants.</w:t>
                  </w:r>
                </w:p>
              </w:tc>
            </w:tr>
          </w:tbl>
          <w:p w14:paraId="1E0C10C7" w14:textId="77777777" w:rsidR="005C3F19" w:rsidRPr="005242A5" w:rsidRDefault="005C3F19">
            <w:pPr>
              <w:rPr>
                <w:rFonts w:ascii="Arial" w:hAnsi="Arial" w:cs="Arial"/>
              </w:rPr>
            </w:pPr>
          </w:p>
        </w:tc>
      </w:tr>
      <w:tr w:rsidR="005C3F19" w14:paraId="33FAE70F" w14:textId="77777777">
        <w:trPr>
          <w:cantSplit/>
        </w:trPr>
        <w:tc>
          <w:tcPr>
            <w:tcW w:w="10786" w:type="dxa"/>
            <w:gridSpan w:val="2"/>
            <w:tcBorders>
              <w:top w:val="single" w:sz="4" w:space="0" w:color="0B2545"/>
              <w:left w:val="single" w:sz="4" w:space="0" w:color="0B2545"/>
              <w:bottom w:val="single" w:sz="4" w:space="0" w:color="0B2545"/>
              <w:right w:val="single" w:sz="4" w:space="0" w:color="0B2545"/>
            </w:tcBorders>
            <w:shd w:val="clear" w:color="auto" w:fill="EEF2F7"/>
            <w:tcMar>
              <w:top w:w="90" w:type="dxa"/>
              <w:left w:w="130" w:type="dxa"/>
              <w:bottom w:w="90" w:type="dxa"/>
              <w:right w:w="130" w:type="dxa"/>
            </w:tcMar>
          </w:tcPr>
          <w:p w14:paraId="3C0FF0CB" w14:textId="77777777" w:rsidR="005C3F19" w:rsidRPr="005242A5" w:rsidRDefault="00000000">
            <w:pPr>
              <w:spacing w:after="100"/>
              <w:rPr>
                <w:rFonts w:ascii="Arial" w:hAnsi="Arial" w:cs="Arial"/>
              </w:rPr>
            </w:pPr>
            <w:r w:rsidRPr="005242A5">
              <w:rPr>
                <w:rFonts w:ascii="Arial" w:hAnsi="Arial" w:cs="Arial"/>
                <w:b/>
                <w:bCs/>
                <w:color w:val="0B2545"/>
                <w:sz w:val="19"/>
                <w:szCs w:val="19"/>
              </w:rPr>
              <w:lastRenderedPageBreak/>
              <w:t>SERVICE PATHWAY &amp; REFERENCES</w:t>
            </w:r>
          </w:p>
          <w:p w14:paraId="3F916A8B" w14:textId="77777777" w:rsidR="00857BBC" w:rsidRPr="005242A5" w:rsidRDefault="00857BBC" w:rsidP="00857BBC">
            <w:pPr>
              <w:jc w:val="center"/>
              <w:rPr>
                <w:rFonts w:ascii="Arial" w:hAnsi="Arial" w:cs="Arial"/>
                <w:b/>
                <w:bCs/>
              </w:rPr>
            </w:pPr>
            <w:r w:rsidRPr="005242A5">
              <w:rPr>
                <w:rFonts w:ascii="Arial" w:hAnsi="Arial" w:cs="Arial"/>
                <w:b/>
                <w:bCs/>
                <w:color w:val="0E2841" w:themeColor="text2"/>
              </w:rPr>
              <w:t>Typical 999 Ambulance Service Pathway</w:t>
            </w:r>
          </w:p>
          <w:p w14:paraId="4A957E34" w14:textId="3AAC4A26" w:rsidR="005C3F19" w:rsidRPr="005242A5" w:rsidRDefault="00857BBC" w:rsidP="002C7EC2">
            <w:pPr>
              <w:jc w:val="center"/>
              <w:rPr>
                <w:rFonts w:ascii="Arial" w:hAnsi="Arial" w:cs="Arial"/>
              </w:rPr>
            </w:pPr>
            <w:r w:rsidRPr="005242A5">
              <w:rPr>
                <w:rFonts w:ascii="Arial" w:hAnsi="Arial" w:cs="Arial"/>
                <w:noProof/>
              </w:rPr>
              <w:drawing>
                <wp:inline distT="0" distB="0" distL="0" distR="0" wp14:anchorId="52B1ACBB" wp14:editId="1A808D5C">
                  <wp:extent cx="3714750" cy="866775"/>
                  <wp:effectExtent l="0" t="0" r="0" b="0"/>
                  <wp:docPr id="23953863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64175E4A" w14:textId="77777777" w:rsidR="005C3F19" w:rsidRPr="005242A5" w:rsidRDefault="00000000">
            <w:pPr>
              <w:spacing w:after="60"/>
              <w:jc w:val="center"/>
              <w:rPr>
                <w:rFonts w:ascii="Arial" w:hAnsi="Arial" w:cs="Arial"/>
              </w:rPr>
            </w:pPr>
            <w:r w:rsidRPr="005242A5">
              <w:rPr>
                <w:rFonts w:ascii="Arial" w:hAnsi="Arial" w:cs="Arial"/>
                <w:i/>
                <w:iCs/>
                <w:color w:val="666666"/>
                <w:sz w:val="13"/>
                <w:szCs w:val="13"/>
              </w:rPr>
              <w:t>Source: Compiled by the author from NHS England (2026) Ambulance Quality Indicators.</w:t>
            </w:r>
          </w:p>
          <w:p w14:paraId="155CCF34" w14:textId="77777777" w:rsidR="00BF12AD" w:rsidRPr="005242A5" w:rsidRDefault="00000000" w:rsidP="00BF12AD">
            <w:pPr>
              <w:spacing w:after="60" w:line="258" w:lineRule="auto"/>
              <w:rPr>
                <w:rFonts w:ascii="Arial" w:hAnsi="Arial" w:cs="Arial"/>
                <w:b/>
                <w:bCs/>
                <w:color w:val="0B2545"/>
                <w:sz w:val="19"/>
                <w:szCs w:val="19"/>
              </w:rPr>
            </w:pPr>
            <w:r w:rsidRPr="005242A5">
              <w:rPr>
                <w:rFonts w:ascii="Arial" w:hAnsi="Arial" w:cs="Arial"/>
                <w:b/>
                <w:bCs/>
                <w:color w:val="0B2545"/>
                <w:sz w:val="19"/>
                <w:szCs w:val="19"/>
              </w:rPr>
              <w:t>References (Harvard style)</w:t>
            </w:r>
          </w:p>
          <w:p w14:paraId="75053B6C" w14:textId="77777777" w:rsidR="00BF12AD" w:rsidRPr="005242A5" w:rsidRDefault="00BF12AD" w:rsidP="00BF12AD">
            <w:pPr>
              <w:spacing w:after="60" w:line="258" w:lineRule="auto"/>
              <w:jc w:val="both"/>
              <w:rPr>
                <w:rFonts w:ascii="Arial" w:hAnsi="Arial" w:cs="Arial"/>
              </w:rPr>
            </w:pPr>
            <w:r w:rsidRPr="005242A5">
              <w:rPr>
                <w:rFonts w:ascii="Arial" w:hAnsi="Arial" w:cs="Arial"/>
              </w:rPr>
              <w:t>NHS England (2026) </w:t>
            </w:r>
            <w:r w:rsidRPr="005242A5">
              <w:rPr>
                <w:rFonts w:ascii="Arial" w:hAnsi="Arial" w:cs="Arial"/>
                <w:i/>
                <w:iCs/>
              </w:rPr>
              <w:t>Ambulance Quality Indicators Data 2026-27</w:t>
            </w:r>
            <w:r w:rsidRPr="005242A5">
              <w:rPr>
                <w:rFonts w:ascii="Arial" w:hAnsi="Arial" w:cs="Arial"/>
              </w:rPr>
              <w:t>, </w:t>
            </w:r>
            <w:r w:rsidRPr="005242A5">
              <w:rPr>
                <w:rFonts w:ascii="Arial" w:hAnsi="Arial" w:cs="Arial"/>
                <w:i/>
                <w:iCs/>
              </w:rPr>
              <w:t>Nhs.uk</w:t>
            </w:r>
            <w:r w:rsidRPr="005242A5">
              <w:rPr>
                <w:rFonts w:ascii="Arial" w:hAnsi="Arial" w:cs="Arial"/>
              </w:rPr>
              <w:t>. Available at: https://www.england.nhs.uk/statistics/statistical-work-areas/ambulance-quality-indicators/ambulance-quality-indicators-data-2026-27/ (Accessed: July 8, 2026).</w:t>
            </w:r>
          </w:p>
          <w:p w14:paraId="35202A4D" w14:textId="77777777" w:rsidR="00BF12AD" w:rsidRPr="005242A5" w:rsidRDefault="00000000" w:rsidP="00BF12AD">
            <w:pPr>
              <w:spacing w:after="60" w:line="258" w:lineRule="auto"/>
              <w:jc w:val="both"/>
              <w:rPr>
                <w:rFonts w:ascii="Arial" w:hAnsi="Arial" w:cs="Arial"/>
                <w:color w:val="1A1A1A"/>
              </w:rPr>
            </w:pPr>
            <w:r w:rsidRPr="005242A5">
              <w:rPr>
                <w:rFonts w:ascii="Arial" w:hAnsi="Arial" w:cs="Arial"/>
                <w:color w:val="1A1A1A"/>
              </w:rPr>
              <w:t>Nuffield Trust (2026) Ambulance response times. Available at: https://www.nuffieldtrust.org.uk/resource/ambulance-response-times (Accessed: 8 July 2026).</w:t>
            </w:r>
          </w:p>
          <w:p w14:paraId="2EA967AB" w14:textId="09EF1C5F" w:rsidR="005C3F19" w:rsidRPr="005242A5" w:rsidRDefault="00000000" w:rsidP="00BF12AD">
            <w:pPr>
              <w:spacing w:after="60" w:line="258" w:lineRule="auto"/>
              <w:jc w:val="both"/>
              <w:rPr>
                <w:rFonts w:ascii="Arial" w:hAnsi="Arial" w:cs="Arial"/>
              </w:rPr>
            </w:pPr>
            <w:r w:rsidRPr="005242A5">
              <w:rPr>
                <w:rFonts w:ascii="Arial" w:hAnsi="Arial" w:cs="Arial"/>
                <w:color w:val="1A1A1A"/>
              </w:rPr>
              <w:t>House of Commons Library (2026) Ambulance service response times. Available at: https://commonslibrary.parliament.uk/research-briefings/cdp-2025-0042/ (Accessed: 8 July 2026).</w:t>
            </w:r>
          </w:p>
        </w:tc>
      </w:tr>
    </w:tbl>
    <w:p w14:paraId="3B7EFF6B" w14:textId="039AA6A5" w:rsidR="003F1228" w:rsidRDefault="003F1228"/>
    <w:p w14:paraId="3815E57B" w14:textId="77777777" w:rsidR="003F1228" w:rsidRDefault="003F1228"/>
    <w:p w14:paraId="1B9F6623" w14:textId="4D1E1C83" w:rsidR="00E65EA0" w:rsidRDefault="00E65EA0">
      <w:pPr>
        <w:sectPr w:rsidR="00E65EA0" w:rsidSect="00E65EA0">
          <w:footerReference w:type="first" r:id="rId24"/>
          <w:pgSz w:w="11906" w:h="16838" w:code="9"/>
          <w:pgMar w:top="560" w:right="560" w:bottom="560" w:left="560" w:header="708" w:footer="144" w:gutter="0"/>
          <w:pgNumType w:start="1"/>
          <w:cols w:space="720"/>
          <w:titlePg/>
          <w:docGrid w:linePitch="360"/>
        </w:sectPr>
      </w:pPr>
    </w:p>
    <w:p w14:paraId="466C08C2" w14:textId="7BB15B89" w:rsidR="00867E6A" w:rsidRDefault="00867E6A" w:rsidP="00867E6A">
      <w:pPr>
        <w:pStyle w:val="Heading1"/>
      </w:pPr>
      <w:bookmarkStart w:id="1" w:name="_Toc234462006"/>
      <w:r>
        <w:lastRenderedPageBreak/>
        <w:t xml:space="preserve">Task 2: </w:t>
      </w:r>
      <w:r w:rsidRPr="00923824">
        <w:t>Essay</w:t>
      </w:r>
      <w:r w:rsidR="00923824" w:rsidRPr="00923824">
        <w:t>: Community Mental Health Services: Origins, Current Practice and Significance for Quality of Life</w:t>
      </w:r>
      <w:bookmarkEnd w:id="1"/>
    </w:p>
    <w:p w14:paraId="34589520" w14:textId="05CDE237" w:rsidR="009F4758" w:rsidRDefault="009F4758" w:rsidP="009F4758">
      <w:pPr>
        <w:pStyle w:val="Heading2"/>
        <w:spacing w:before="160" w:after="100"/>
      </w:pPr>
      <w:bookmarkStart w:id="2" w:name="_Toc234462007"/>
      <w:r>
        <w:t>Introduction</w:t>
      </w:r>
      <w:bookmarkEnd w:id="2"/>
    </w:p>
    <w:p w14:paraId="33BA5F13" w14:textId="09E63872" w:rsidR="009E7A81" w:rsidRPr="001C101C" w:rsidRDefault="00C543DA" w:rsidP="009E7A81">
      <w:pPr>
        <w:spacing w:line="360" w:lineRule="auto"/>
        <w:jc w:val="both"/>
        <w:rPr>
          <w:rFonts w:ascii="Arial" w:hAnsi="Arial" w:cs="Arial"/>
          <w:sz w:val="22"/>
          <w:szCs w:val="22"/>
        </w:rPr>
      </w:pPr>
      <w:r w:rsidRPr="001C101C">
        <w:rPr>
          <w:rFonts w:ascii="Arial" w:hAnsi="Arial" w:cs="Arial"/>
          <w:sz w:val="22"/>
          <w:szCs w:val="22"/>
        </w:rPr>
        <w:t xml:space="preserve">This essay focuses on community mental health services, which provide assessment, treatment and ongoing support to people experiencing mental illness outside hospital settings. </w:t>
      </w:r>
      <w:r w:rsidR="009E7A81" w:rsidRPr="001C101C">
        <w:rPr>
          <w:rFonts w:ascii="Arial" w:hAnsi="Arial" w:cs="Arial"/>
          <w:sz w:val="22"/>
          <w:szCs w:val="22"/>
        </w:rPr>
        <w:t>It will examine the historical context which led to the transition from asylum to community service provision, critically analyse the current role of the service and explore the importance of the service to service users' independence, dignity and quality of life.</w:t>
      </w:r>
    </w:p>
    <w:p w14:paraId="36EA538E" w14:textId="2EF62370" w:rsidR="009F4758" w:rsidRDefault="009F4758" w:rsidP="009F4758">
      <w:pPr>
        <w:pStyle w:val="Heading2"/>
        <w:spacing w:before="160" w:after="100"/>
      </w:pPr>
      <w:bookmarkStart w:id="3" w:name="_Toc234462008"/>
      <w:r>
        <w:t>Origins and Historical Context</w:t>
      </w:r>
      <w:bookmarkEnd w:id="3"/>
    </w:p>
    <w:p w14:paraId="0A578E7B" w14:textId="0DE0DD22" w:rsidR="009E7A81" w:rsidRPr="001C101C" w:rsidRDefault="000650B2" w:rsidP="009E7A81">
      <w:pPr>
        <w:spacing w:line="360" w:lineRule="auto"/>
        <w:jc w:val="both"/>
        <w:rPr>
          <w:rFonts w:ascii="Arial" w:hAnsi="Arial" w:cs="Arial"/>
          <w:sz w:val="22"/>
          <w:szCs w:val="22"/>
        </w:rPr>
      </w:pPr>
      <w:r w:rsidRPr="001C101C">
        <w:rPr>
          <w:rFonts w:ascii="Arial" w:hAnsi="Arial" w:cs="Arial"/>
          <w:sz w:val="22"/>
          <w:szCs w:val="22"/>
        </w:rPr>
        <w:t xml:space="preserve">The origins of this service can be linked to </w:t>
      </w:r>
      <w:r w:rsidR="009E7A81" w:rsidRPr="001C101C">
        <w:rPr>
          <w:rFonts w:ascii="Arial" w:hAnsi="Arial" w:cs="Arial"/>
          <w:sz w:val="22"/>
          <w:szCs w:val="22"/>
        </w:rPr>
        <w:t xml:space="preserve">the changing nature of psychiatric services since early 19th century when the asylum system became predominant (Burns, 2020). Steps were taken to move away from compulsory institutional care with the Mental Treatment Act of 1930, which facilitated voluntary admissions and outpatient clinics. </w:t>
      </w:r>
      <w:r w:rsidR="0057594B" w:rsidRPr="001C101C">
        <w:rPr>
          <w:rFonts w:ascii="Arial" w:hAnsi="Arial" w:cs="Arial"/>
          <w:sz w:val="22"/>
          <w:szCs w:val="22"/>
        </w:rPr>
        <w:t xml:space="preserve">Historically, this service developed further because </w:t>
      </w:r>
      <w:r w:rsidR="009E7A81" w:rsidRPr="001C101C">
        <w:rPr>
          <w:rFonts w:ascii="Arial" w:hAnsi="Arial" w:cs="Arial"/>
          <w:sz w:val="22"/>
          <w:szCs w:val="22"/>
        </w:rPr>
        <w:t xml:space="preserve">large mental hospitals were predicted to close in the 1962 Hospital Plan and the management of care was devolved to local government in the National Health Service and Community Care Act 1990, thereby incorporating a mixed economy of care </w:t>
      </w:r>
      <w:r w:rsidR="0053173A" w:rsidRPr="001C101C">
        <w:rPr>
          <w:rFonts w:ascii="Arial" w:hAnsi="Arial" w:cs="Arial"/>
          <w:color w:val="000000"/>
          <w:sz w:val="22"/>
          <w:szCs w:val="22"/>
        </w:rPr>
        <w:t xml:space="preserve">(Legislation UK, 1990). </w:t>
      </w:r>
      <w:r w:rsidR="009E7A81" w:rsidRPr="001C101C">
        <w:rPr>
          <w:rFonts w:ascii="Arial" w:hAnsi="Arial" w:cs="Arial"/>
          <w:sz w:val="22"/>
          <w:szCs w:val="22"/>
        </w:rPr>
        <w:t>The National Service Framework for Mental Health then introduced a set of national standards and specialist community teams, such as crisis resolution and assertive outreach, instead of generic provision, to define teams that would be functional and targeted (Department of Health, 1999).</w:t>
      </w:r>
    </w:p>
    <w:p w14:paraId="0E7DD3DF" w14:textId="77777777" w:rsidR="009F4758" w:rsidRDefault="009F4758" w:rsidP="009F4758">
      <w:pPr>
        <w:pStyle w:val="Heading2"/>
        <w:spacing w:before="160" w:after="100"/>
      </w:pPr>
      <w:bookmarkStart w:id="4" w:name="_Toc234462009"/>
      <w:r>
        <w:t>Current Functioning</w:t>
      </w:r>
      <w:bookmarkEnd w:id="4"/>
    </w:p>
    <w:p w14:paraId="3D46530B" w14:textId="10BDEAB1" w:rsidR="00405773" w:rsidRPr="001C101C" w:rsidRDefault="00A56EDB" w:rsidP="00405773">
      <w:pPr>
        <w:spacing w:after="160" w:line="360" w:lineRule="auto"/>
        <w:jc w:val="both"/>
        <w:rPr>
          <w:rFonts w:ascii="Arial" w:hAnsi="Arial" w:cs="Arial"/>
          <w:sz w:val="22"/>
          <w:szCs w:val="22"/>
        </w:rPr>
      </w:pPr>
      <w:r w:rsidRPr="001C101C">
        <w:rPr>
          <w:rFonts w:ascii="Arial" w:hAnsi="Arial" w:cs="Arial"/>
          <w:sz w:val="22"/>
          <w:szCs w:val="22"/>
        </w:rPr>
        <w:t xml:space="preserve">In current practice, the service functions </w:t>
      </w:r>
      <w:r w:rsidR="00405773" w:rsidRPr="001C101C">
        <w:rPr>
          <w:rFonts w:ascii="Arial" w:hAnsi="Arial" w:cs="Arial"/>
          <w:sz w:val="22"/>
          <w:szCs w:val="22"/>
        </w:rPr>
        <w:t>through multidisciplinary Community Mental Health Teams (psychiatrists, mental health nurses, social workers, occupational therapists and psychologists) who assess and support individuals referred by their GP, hospital or crisis services (NHS England, 2019). This has now been developed further in the NHS Long Term Plan - the Community Mental Health Framework, which combines primary care with specialist teams to increase access to therapy and social support. There is a strength in the current service in that it allows individuals to stay in their familiar environment, decreasing the need for costly hospital admissions</w:t>
      </w:r>
      <w:r w:rsidR="00542B26" w:rsidRPr="001C101C">
        <w:rPr>
          <w:rFonts w:ascii="Arial" w:hAnsi="Arial" w:cs="Arial"/>
          <w:sz w:val="22"/>
          <w:szCs w:val="22"/>
        </w:rPr>
        <w:t>. However, a limitation or challenge is access,</w:t>
      </w:r>
      <w:r w:rsidR="00405773" w:rsidRPr="001C101C">
        <w:rPr>
          <w:rFonts w:ascii="Arial" w:hAnsi="Arial" w:cs="Arial"/>
          <w:sz w:val="22"/>
          <w:szCs w:val="22"/>
        </w:rPr>
        <w:t xml:space="preserve"> as one in ten people wait 238 days or more for the second contact with adult community mental health services, while the median wait time between referral and second contact is 47 days (King's Fund, 2026). Despite making up more than one-fifth of the disease burden in England, mental illness receives less than one-tenth of NHS funding and services are stretched and staff are having to cope with high workloads and burnout (King's Fund, 2026).</w:t>
      </w:r>
    </w:p>
    <w:p w14:paraId="0822245A" w14:textId="77777777" w:rsidR="009F4758" w:rsidRDefault="009F4758" w:rsidP="009F4758">
      <w:pPr>
        <w:pStyle w:val="Heading2"/>
        <w:spacing w:before="160" w:after="100"/>
      </w:pPr>
      <w:bookmarkStart w:id="5" w:name="_Toc234462010"/>
      <w:r>
        <w:lastRenderedPageBreak/>
        <w:t>Significance for Quality of Life</w:t>
      </w:r>
      <w:bookmarkEnd w:id="5"/>
    </w:p>
    <w:p w14:paraId="73228027" w14:textId="0174519F" w:rsidR="0053173A" w:rsidRPr="001C101C" w:rsidRDefault="004C0EFE" w:rsidP="0053173A">
      <w:pPr>
        <w:spacing w:after="160" w:line="360" w:lineRule="auto"/>
        <w:jc w:val="both"/>
        <w:rPr>
          <w:rFonts w:ascii="Arial" w:hAnsi="Arial" w:cs="Arial"/>
          <w:sz w:val="22"/>
          <w:szCs w:val="22"/>
        </w:rPr>
      </w:pPr>
      <w:r w:rsidRPr="001C101C">
        <w:rPr>
          <w:rFonts w:ascii="Arial" w:hAnsi="Arial" w:cs="Arial"/>
          <w:sz w:val="22"/>
          <w:szCs w:val="22"/>
        </w:rPr>
        <w:t xml:space="preserve">This service enhances </w:t>
      </w:r>
      <w:r w:rsidR="0053173A" w:rsidRPr="001C101C">
        <w:rPr>
          <w:rFonts w:ascii="Arial" w:hAnsi="Arial" w:cs="Arial"/>
          <w:sz w:val="22"/>
          <w:szCs w:val="22"/>
        </w:rPr>
        <w:t>quality of life, helps people to live independently and have a family and a job, and allows them to be part of their community instead of being stuck in an institution. Community based, recovery-oriented care is based on the principles of dignity and choice, encouraging the service user to be a partner in his or her care and treatment, rather than a passive patient, thus enhancing self-esteem and long-term commitment to treatment (Repper and Perkins, 2003). The stigma reduction also comes from the community provision as people recover within the community at normal social settings (work, local activity etc.) instead of secluded from the community. Emotional wellbeing is also fostered by consistency of relationship development with local teams and families have a larger part to play in the care plan than is offered on institutional based models. This is only achieved when services are adequately resourced, however, as waiting times vary and services differ, some individuals are subject to delay or lack of engagement before receiving appropriate services, reducing the independence and safety the model is aimed at protecting.</w:t>
      </w:r>
    </w:p>
    <w:p w14:paraId="47DD1764" w14:textId="77777777" w:rsidR="009F4758" w:rsidRDefault="009F4758" w:rsidP="009F4758">
      <w:pPr>
        <w:pStyle w:val="Heading2"/>
        <w:spacing w:before="160" w:after="100"/>
      </w:pPr>
      <w:bookmarkStart w:id="6" w:name="_Toc234462011"/>
      <w:r>
        <w:t>Conclusion</w:t>
      </w:r>
      <w:bookmarkEnd w:id="6"/>
    </w:p>
    <w:p w14:paraId="60F3CA09" w14:textId="6574FD31" w:rsidR="00FF4B91" w:rsidRPr="001C101C" w:rsidRDefault="00A74990" w:rsidP="0053173A">
      <w:pPr>
        <w:spacing w:after="160" w:line="360" w:lineRule="auto"/>
        <w:jc w:val="both"/>
        <w:rPr>
          <w:rFonts w:ascii="Arial" w:hAnsi="Arial" w:cs="Arial"/>
          <w:sz w:val="22"/>
          <w:szCs w:val="22"/>
        </w:rPr>
      </w:pPr>
      <w:r w:rsidRPr="001C101C">
        <w:rPr>
          <w:rFonts w:ascii="Arial" w:hAnsi="Arial" w:cs="Arial"/>
          <w:sz w:val="22"/>
          <w:szCs w:val="22"/>
        </w:rPr>
        <w:t xml:space="preserve">Overall, the service remains significant </w:t>
      </w:r>
      <w:r w:rsidR="0053173A" w:rsidRPr="001C101C">
        <w:rPr>
          <w:rFonts w:ascii="Arial" w:hAnsi="Arial" w:cs="Arial"/>
          <w:sz w:val="22"/>
          <w:szCs w:val="22"/>
        </w:rPr>
        <w:t>given that it is a fundamental change in approach from institutional control to enabling individuals to live well within their own communities. Although there are persistent issues in relation to funding, wait times and staffing capacity, community mental health services remain an integral component of modern health and social care services and continue to contribute to the recovery, independence and dignity of people in need.</w:t>
      </w:r>
    </w:p>
    <w:p w14:paraId="1FAE5C0A" w14:textId="63893791" w:rsidR="007A71A4" w:rsidRDefault="007A71A4" w:rsidP="007A71A4">
      <w:pPr>
        <w:pStyle w:val="Heading2"/>
      </w:pPr>
      <w:bookmarkStart w:id="7" w:name="_Toc234462012"/>
      <w:r>
        <w:t>References</w:t>
      </w:r>
      <w:bookmarkEnd w:id="7"/>
    </w:p>
    <w:p w14:paraId="1F9F5CA4" w14:textId="03104D4B" w:rsidR="007A71A4" w:rsidRPr="001C101C" w:rsidRDefault="007A71A4" w:rsidP="007A71A4">
      <w:pPr>
        <w:spacing w:before="100" w:beforeAutospacing="1" w:after="100" w:afterAutospacing="1" w:line="360" w:lineRule="auto"/>
        <w:jc w:val="both"/>
        <w:rPr>
          <w:rFonts w:ascii="Arial" w:eastAsia="Times New Roman" w:hAnsi="Arial" w:cs="Arial"/>
          <w:color w:val="000000"/>
          <w:sz w:val="22"/>
          <w:szCs w:val="22"/>
        </w:rPr>
      </w:pPr>
      <w:r w:rsidRPr="001C101C">
        <w:rPr>
          <w:rFonts w:ascii="Arial" w:eastAsia="Times New Roman" w:hAnsi="Arial" w:cs="Arial"/>
          <w:color w:val="000000"/>
          <w:sz w:val="22"/>
          <w:szCs w:val="22"/>
        </w:rPr>
        <w:t>Burns, T. (2020) “Community-based mental health care in Britain,” </w:t>
      </w:r>
      <w:r w:rsidRPr="001C101C">
        <w:rPr>
          <w:rFonts w:ascii="Arial" w:eastAsia="Times New Roman" w:hAnsi="Arial" w:cs="Arial"/>
          <w:i/>
          <w:iCs/>
          <w:color w:val="000000"/>
          <w:sz w:val="22"/>
          <w:szCs w:val="22"/>
        </w:rPr>
        <w:t xml:space="preserve">Consortium </w:t>
      </w:r>
      <w:r w:rsidR="0021392E" w:rsidRPr="001C101C">
        <w:rPr>
          <w:rFonts w:ascii="Arial" w:eastAsia="Times New Roman" w:hAnsi="Arial" w:cs="Arial"/>
          <w:i/>
          <w:iCs/>
          <w:color w:val="000000"/>
          <w:sz w:val="22"/>
          <w:szCs w:val="22"/>
        </w:rPr>
        <w:t>psychiatric</w:t>
      </w:r>
      <w:r w:rsidRPr="001C101C">
        <w:rPr>
          <w:rFonts w:ascii="Arial" w:eastAsia="Times New Roman" w:hAnsi="Arial" w:cs="Arial"/>
          <w:color w:val="000000"/>
          <w:sz w:val="22"/>
          <w:szCs w:val="22"/>
        </w:rPr>
        <w:t>, 1(2), pp. 14–20. Available at: https://doi.org/10.17650/2712-7672-2020-1-2-14-20.</w:t>
      </w:r>
    </w:p>
    <w:p w14:paraId="211A7BA5" w14:textId="61D19BEF" w:rsidR="007A71A4" w:rsidRPr="001C101C" w:rsidRDefault="007A71A4" w:rsidP="007A71A4">
      <w:pPr>
        <w:spacing w:before="100" w:beforeAutospacing="1" w:after="100" w:afterAutospacing="1" w:line="360" w:lineRule="auto"/>
        <w:jc w:val="both"/>
        <w:rPr>
          <w:rFonts w:ascii="Arial" w:eastAsia="Times New Roman" w:hAnsi="Arial" w:cs="Arial"/>
          <w:color w:val="000000"/>
          <w:sz w:val="22"/>
          <w:szCs w:val="22"/>
        </w:rPr>
      </w:pPr>
      <w:r w:rsidRPr="001C101C">
        <w:rPr>
          <w:rFonts w:ascii="Arial" w:eastAsia="Times New Roman" w:hAnsi="Arial" w:cs="Arial"/>
          <w:color w:val="000000"/>
          <w:sz w:val="22"/>
          <w:szCs w:val="22"/>
        </w:rPr>
        <w:t>Department of Health (1999) </w:t>
      </w:r>
      <w:r w:rsidRPr="001C101C">
        <w:rPr>
          <w:rFonts w:ascii="Arial" w:eastAsia="Times New Roman" w:hAnsi="Arial" w:cs="Arial"/>
          <w:i/>
          <w:iCs/>
          <w:color w:val="000000"/>
          <w:sz w:val="22"/>
          <w:szCs w:val="22"/>
        </w:rPr>
        <w:t>A National Service Framework for Mental Health: Modern Standards and Service Models</w:t>
      </w:r>
      <w:r w:rsidRPr="001C101C">
        <w:rPr>
          <w:rFonts w:ascii="Arial" w:eastAsia="Times New Roman" w:hAnsi="Arial" w:cs="Arial"/>
          <w:color w:val="000000"/>
          <w:sz w:val="22"/>
          <w:szCs w:val="22"/>
        </w:rPr>
        <w:t>. London: Department of Health. Available at: https://assets.publishing.service.gov.uk/media/5a7a050040f0b66eab99926f/National_Service_Framework_for_Mental_Health.pdf.</w:t>
      </w:r>
    </w:p>
    <w:p w14:paraId="590C3D8C" w14:textId="4158141D" w:rsidR="007A71A4" w:rsidRPr="001C101C" w:rsidRDefault="007A71A4" w:rsidP="007A71A4">
      <w:pPr>
        <w:spacing w:before="100" w:beforeAutospacing="1" w:after="100" w:afterAutospacing="1" w:line="360" w:lineRule="auto"/>
        <w:jc w:val="both"/>
        <w:rPr>
          <w:rFonts w:ascii="Arial" w:eastAsia="Times New Roman" w:hAnsi="Arial" w:cs="Arial"/>
          <w:color w:val="000000"/>
          <w:sz w:val="22"/>
          <w:szCs w:val="22"/>
        </w:rPr>
      </w:pPr>
      <w:r w:rsidRPr="001C101C">
        <w:rPr>
          <w:rFonts w:ascii="Arial" w:eastAsia="Times New Roman" w:hAnsi="Arial" w:cs="Arial"/>
          <w:color w:val="000000"/>
          <w:sz w:val="22"/>
          <w:szCs w:val="22"/>
        </w:rPr>
        <w:t>King’s Fund (2024) </w:t>
      </w:r>
      <w:r w:rsidRPr="001C101C">
        <w:rPr>
          <w:rFonts w:ascii="Arial" w:eastAsia="Times New Roman" w:hAnsi="Arial" w:cs="Arial"/>
          <w:i/>
          <w:iCs/>
          <w:color w:val="000000"/>
          <w:sz w:val="22"/>
          <w:szCs w:val="22"/>
        </w:rPr>
        <w:t>Mental health 360: access</w:t>
      </w:r>
      <w:r w:rsidRPr="001C101C">
        <w:rPr>
          <w:rFonts w:ascii="Arial" w:eastAsia="Times New Roman" w:hAnsi="Arial" w:cs="Arial"/>
          <w:color w:val="000000"/>
          <w:sz w:val="22"/>
          <w:szCs w:val="22"/>
        </w:rPr>
        <w:t>, </w:t>
      </w:r>
      <w:r w:rsidRPr="001C101C">
        <w:rPr>
          <w:rFonts w:ascii="Arial" w:eastAsia="Times New Roman" w:hAnsi="Arial" w:cs="Arial"/>
          <w:i/>
          <w:iCs/>
          <w:color w:val="000000"/>
          <w:sz w:val="22"/>
          <w:szCs w:val="22"/>
        </w:rPr>
        <w:t>The King’s Fund</w:t>
      </w:r>
      <w:r w:rsidRPr="001C101C">
        <w:rPr>
          <w:rFonts w:ascii="Arial" w:eastAsia="Times New Roman" w:hAnsi="Arial" w:cs="Arial"/>
          <w:color w:val="000000"/>
          <w:sz w:val="22"/>
          <w:szCs w:val="22"/>
        </w:rPr>
        <w:t>. Available at: https://www.kingsfund.org.uk/insight-and-analysis/long-reads/mental-health-360-access (Accessed: July 8, 2026).</w:t>
      </w:r>
    </w:p>
    <w:p w14:paraId="722FB1F7" w14:textId="6B0872C6" w:rsidR="007A71A4" w:rsidRPr="001C101C" w:rsidRDefault="007A71A4" w:rsidP="007A71A4">
      <w:pPr>
        <w:spacing w:before="100" w:beforeAutospacing="1" w:after="100" w:afterAutospacing="1" w:line="360" w:lineRule="auto"/>
        <w:jc w:val="both"/>
        <w:rPr>
          <w:rFonts w:ascii="Arial" w:eastAsia="Times New Roman" w:hAnsi="Arial" w:cs="Arial"/>
          <w:color w:val="000000"/>
          <w:sz w:val="22"/>
          <w:szCs w:val="22"/>
        </w:rPr>
      </w:pPr>
      <w:r w:rsidRPr="001C101C">
        <w:rPr>
          <w:rFonts w:ascii="Arial" w:eastAsia="Times New Roman" w:hAnsi="Arial" w:cs="Arial"/>
          <w:color w:val="000000"/>
          <w:sz w:val="22"/>
          <w:szCs w:val="22"/>
        </w:rPr>
        <w:lastRenderedPageBreak/>
        <w:t>Legislation UK (1990) </w:t>
      </w:r>
      <w:r w:rsidRPr="001C101C">
        <w:rPr>
          <w:rFonts w:ascii="Arial" w:eastAsia="Times New Roman" w:hAnsi="Arial" w:cs="Arial"/>
          <w:i/>
          <w:iCs/>
          <w:color w:val="000000"/>
          <w:sz w:val="22"/>
          <w:szCs w:val="22"/>
        </w:rPr>
        <w:t>National Health Service and community care Act 1990</w:t>
      </w:r>
      <w:r w:rsidRPr="001C101C">
        <w:rPr>
          <w:rFonts w:ascii="Arial" w:eastAsia="Times New Roman" w:hAnsi="Arial" w:cs="Arial"/>
          <w:color w:val="000000"/>
          <w:sz w:val="22"/>
          <w:szCs w:val="22"/>
        </w:rPr>
        <w:t>. London. Available at: https://www.legislation.gov.uk/ukpga/1990/19/contents (Accessed: July 8, 2026).</w:t>
      </w:r>
    </w:p>
    <w:p w14:paraId="523DB167" w14:textId="3E2818C1" w:rsidR="007A71A4" w:rsidRPr="001C101C" w:rsidRDefault="007A71A4" w:rsidP="007A71A4">
      <w:pPr>
        <w:spacing w:before="100" w:beforeAutospacing="1" w:after="100" w:afterAutospacing="1" w:line="360" w:lineRule="auto"/>
        <w:jc w:val="both"/>
        <w:rPr>
          <w:rFonts w:ascii="Arial" w:eastAsia="Times New Roman" w:hAnsi="Arial" w:cs="Arial"/>
          <w:color w:val="000000"/>
          <w:sz w:val="22"/>
          <w:szCs w:val="22"/>
        </w:rPr>
      </w:pPr>
      <w:r w:rsidRPr="001C101C">
        <w:rPr>
          <w:rFonts w:ascii="Arial" w:eastAsia="Times New Roman" w:hAnsi="Arial" w:cs="Arial"/>
          <w:color w:val="000000"/>
          <w:sz w:val="22"/>
          <w:szCs w:val="22"/>
        </w:rPr>
        <w:t>NHS England (2019) </w:t>
      </w:r>
      <w:r w:rsidRPr="001C101C">
        <w:rPr>
          <w:rFonts w:ascii="Arial" w:eastAsia="Times New Roman" w:hAnsi="Arial" w:cs="Arial"/>
          <w:i/>
          <w:iCs/>
          <w:color w:val="000000"/>
          <w:sz w:val="22"/>
          <w:szCs w:val="22"/>
        </w:rPr>
        <w:t>The Community Mental Health Framework for Adults and Older Adults</w:t>
      </w:r>
      <w:r w:rsidRPr="001C101C">
        <w:rPr>
          <w:rFonts w:ascii="Arial" w:eastAsia="Times New Roman" w:hAnsi="Arial" w:cs="Arial"/>
          <w:color w:val="000000"/>
          <w:sz w:val="22"/>
          <w:szCs w:val="22"/>
        </w:rPr>
        <w:t>. Available at: https://www.england.nhs.uk/wp-content/uploads/2019/09/community-mental-health-framework-for-adults-and-older-adults.pdf.</w:t>
      </w:r>
    </w:p>
    <w:p w14:paraId="0517054F" w14:textId="234A83A6" w:rsidR="007A71A4" w:rsidRPr="001C101C" w:rsidRDefault="007A71A4" w:rsidP="007A71A4">
      <w:pPr>
        <w:spacing w:before="100" w:beforeAutospacing="1" w:after="100" w:afterAutospacing="1" w:line="360" w:lineRule="auto"/>
        <w:jc w:val="both"/>
        <w:rPr>
          <w:rFonts w:ascii="Arial" w:eastAsia="Times New Roman" w:hAnsi="Arial" w:cs="Arial"/>
          <w:color w:val="000000"/>
          <w:sz w:val="22"/>
          <w:szCs w:val="22"/>
        </w:rPr>
      </w:pPr>
      <w:r w:rsidRPr="001C101C">
        <w:rPr>
          <w:rFonts w:ascii="Arial" w:eastAsia="Times New Roman" w:hAnsi="Arial" w:cs="Arial"/>
          <w:color w:val="000000"/>
          <w:sz w:val="22"/>
          <w:szCs w:val="22"/>
        </w:rPr>
        <w:t>Repper, J. and Perkins, R. (2003) </w:t>
      </w:r>
      <w:r w:rsidRPr="001C101C">
        <w:rPr>
          <w:rFonts w:ascii="Arial" w:eastAsia="Times New Roman" w:hAnsi="Arial" w:cs="Arial"/>
          <w:i/>
          <w:iCs/>
          <w:color w:val="000000"/>
          <w:sz w:val="22"/>
          <w:szCs w:val="22"/>
        </w:rPr>
        <w:t>Social inclusion and recovery: A model for mental health practice</w:t>
      </w:r>
      <w:r w:rsidRPr="001C101C">
        <w:rPr>
          <w:rFonts w:ascii="Arial" w:eastAsia="Times New Roman" w:hAnsi="Arial" w:cs="Arial"/>
          <w:color w:val="000000"/>
          <w:sz w:val="22"/>
          <w:szCs w:val="22"/>
        </w:rPr>
        <w:t>. London, England: Bailliere Tindall.</w:t>
      </w:r>
    </w:p>
    <w:sectPr w:rsidR="007A71A4" w:rsidRPr="001C101C" w:rsidSect="00E65EA0">
      <w:pgSz w:w="11906" w:h="16838" w:code="9"/>
      <w:pgMar w:top="1440" w:right="1440" w:bottom="1440" w:left="1440" w:header="706" w:footer="706"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EEA8B7" w14:textId="77777777" w:rsidR="008F3FC7" w:rsidRDefault="008F3FC7" w:rsidP="00E65EA0">
      <w:r>
        <w:separator/>
      </w:r>
    </w:p>
  </w:endnote>
  <w:endnote w:type="continuationSeparator" w:id="0">
    <w:p w14:paraId="0D6E671E" w14:textId="77777777" w:rsidR="008F3FC7" w:rsidRDefault="008F3FC7" w:rsidP="00E65E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9402975"/>
      <w:docPartObj>
        <w:docPartGallery w:val="Page Numbers (Bottom of Page)"/>
        <w:docPartUnique/>
      </w:docPartObj>
    </w:sdtPr>
    <w:sdtEndPr>
      <w:rPr>
        <w:color w:val="7F7F7F" w:themeColor="background1" w:themeShade="7F"/>
        <w:spacing w:val="60"/>
      </w:rPr>
    </w:sdtEndPr>
    <w:sdtContent>
      <w:p w14:paraId="44E6A4B4" w14:textId="2139DAA1" w:rsidR="00E65EA0" w:rsidRDefault="00E65EA0">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216B3816" w14:textId="77777777" w:rsidR="00E65EA0" w:rsidRDefault="00E65E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4227526"/>
      <w:docPartObj>
        <w:docPartGallery w:val="Page Numbers (Bottom of Page)"/>
        <w:docPartUnique/>
      </w:docPartObj>
    </w:sdtPr>
    <w:sdtEndPr>
      <w:rPr>
        <w:color w:val="7F7F7F" w:themeColor="background1" w:themeShade="7F"/>
        <w:spacing w:val="60"/>
      </w:rPr>
    </w:sdtEndPr>
    <w:sdtContent>
      <w:p w14:paraId="699EC4F1" w14:textId="52FB0184" w:rsidR="00E65EA0" w:rsidRDefault="00E65EA0">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79A27CE8" w14:textId="77777777" w:rsidR="00E65EA0" w:rsidRDefault="00E65EA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5590963"/>
      <w:docPartObj>
        <w:docPartGallery w:val="Page Numbers (Bottom of Page)"/>
        <w:docPartUnique/>
      </w:docPartObj>
    </w:sdtPr>
    <w:sdtEndPr>
      <w:rPr>
        <w:color w:val="7F7F7F" w:themeColor="background1" w:themeShade="7F"/>
        <w:spacing w:val="60"/>
      </w:rPr>
    </w:sdtEndPr>
    <w:sdtContent>
      <w:p w14:paraId="59CF611B" w14:textId="77777777" w:rsidR="00E65EA0" w:rsidRDefault="00E65EA0">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03CD37C8" w14:textId="77777777" w:rsidR="00E65EA0" w:rsidRDefault="00E65E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6810FD" w14:textId="77777777" w:rsidR="008F3FC7" w:rsidRDefault="008F3FC7" w:rsidP="00E65EA0">
      <w:r>
        <w:separator/>
      </w:r>
    </w:p>
  </w:footnote>
  <w:footnote w:type="continuationSeparator" w:id="0">
    <w:p w14:paraId="7E82C8D3" w14:textId="77777777" w:rsidR="008F3FC7" w:rsidRDefault="008F3FC7" w:rsidP="00E65EA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74814D" w14:textId="70C84161" w:rsidR="0021392E" w:rsidRDefault="0021392E">
    <w:pPr>
      <w:pStyle w:val="Header"/>
    </w:pPr>
    <w:r>
      <w:rPr>
        <w:noProof/>
      </w:rPr>
      <w:drawing>
        <wp:anchor distT="0" distB="0" distL="114300" distR="114300" simplePos="0" relativeHeight="251659264" behindDoc="0" locked="0" layoutInCell="1" allowOverlap="1" wp14:anchorId="4D810C11" wp14:editId="3D98D87E">
          <wp:simplePos x="0" y="0"/>
          <wp:positionH relativeFrom="column">
            <wp:posOffset>4165600</wp:posOffset>
          </wp:positionH>
          <wp:positionV relativeFrom="paragraph">
            <wp:posOffset>-321310</wp:posOffset>
          </wp:positionV>
          <wp:extent cx="1910715" cy="760095"/>
          <wp:effectExtent l="0" t="0" r="0" b="0"/>
          <wp:wrapSquare wrapText="bothSides"/>
          <wp:docPr id="1075014096" name="Picture 6"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ikipedia"/>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910715" cy="76009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097D98"/>
    <w:multiLevelType w:val="hybridMultilevel"/>
    <w:tmpl w:val="9A7ADCB4"/>
    <w:lvl w:ilvl="0" w:tplc="689A45AC">
      <w:start w:val="1"/>
      <w:numFmt w:val="bullet"/>
      <w:lvlText w:val="●"/>
      <w:lvlJc w:val="left"/>
      <w:pPr>
        <w:ind w:left="720" w:hanging="360"/>
      </w:pPr>
    </w:lvl>
    <w:lvl w:ilvl="1" w:tplc="641E58B8">
      <w:start w:val="1"/>
      <w:numFmt w:val="bullet"/>
      <w:lvlText w:val="○"/>
      <w:lvlJc w:val="left"/>
      <w:pPr>
        <w:ind w:left="1440" w:hanging="360"/>
      </w:pPr>
    </w:lvl>
    <w:lvl w:ilvl="2" w:tplc="131092F8">
      <w:start w:val="1"/>
      <w:numFmt w:val="bullet"/>
      <w:lvlText w:val="■"/>
      <w:lvlJc w:val="left"/>
      <w:pPr>
        <w:ind w:left="2160" w:hanging="360"/>
      </w:pPr>
    </w:lvl>
    <w:lvl w:ilvl="3" w:tplc="D8A6FE3A">
      <w:start w:val="1"/>
      <w:numFmt w:val="bullet"/>
      <w:lvlText w:val="●"/>
      <w:lvlJc w:val="left"/>
      <w:pPr>
        <w:ind w:left="2880" w:hanging="360"/>
      </w:pPr>
    </w:lvl>
    <w:lvl w:ilvl="4" w:tplc="BB229D3E">
      <w:start w:val="1"/>
      <w:numFmt w:val="bullet"/>
      <w:lvlText w:val="○"/>
      <w:lvlJc w:val="left"/>
      <w:pPr>
        <w:ind w:left="3600" w:hanging="360"/>
      </w:pPr>
    </w:lvl>
    <w:lvl w:ilvl="5" w:tplc="CE763874">
      <w:start w:val="1"/>
      <w:numFmt w:val="bullet"/>
      <w:lvlText w:val="■"/>
      <w:lvlJc w:val="left"/>
      <w:pPr>
        <w:ind w:left="4320" w:hanging="360"/>
      </w:pPr>
    </w:lvl>
    <w:lvl w:ilvl="6" w:tplc="23AA7B84">
      <w:start w:val="1"/>
      <w:numFmt w:val="bullet"/>
      <w:lvlText w:val="●"/>
      <w:lvlJc w:val="left"/>
      <w:pPr>
        <w:ind w:left="5040" w:hanging="360"/>
      </w:pPr>
    </w:lvl>
    <w:lvl w:ilvl="7" w:tplc="FB7205F6">
      <w:start w:val="1"/>
      <w:numFmt w:val="bullet"/>
      <w:lvlText w:val="●"/>
      <w:lvlJc w:val="left"/>
      <w:pPr>
        <w:ind w:left="5760" w:hanging="360"/>
      </w:pPr>
    </w:lvl>
    <w:lvl w:ilvl="8" w:tplc="2E6A145E">
      <w:start w:val="1"/>
      <w:numFmt w:val="bullet"/>
      <w:lvlText w:val="●"/>
      <w:lvlJc w:val="left"/>
      <w:pPr>
        <w:ind w:left="6480" w:hanging="360"/>
      </w:pPr>
    </w:lvl>
  </w:abstractNum>
  <w:abstractNum w:abstractNumId="1" w15:restartNumberingAfterBreak="0">
    <w:nsid w:val="63946738"/>
    <w:multiLevelType w:val="hybridMultilevel"/>
    <w:tmpl w:val="32123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3762092">
    <w:abstractNumId w:val="0"/>
    <w:lvlOverride w:ilvl="0">
      <w:startOverride w:val="1"/>
    </w:lvlOverride>
  </w:num>
  <w:num w:numId="2" w16cid:durableId="1149541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3F19"/>
    <w:rsid w:val="000650B2"/>
    <w:rsid w:val="00123C9F"/>
    <w:rsid w:val="001C101C"/>
    <w:rsid w:val="0021392E"/>
    <w:rsid w:val="00252705"/>
    <w:rsid w:val="002C7EC2"/>
    <w:rsid w:val="00334E7F"/>
    <w:rsid w:val="00380514"/>
    <w:rsid w:val="003F1228"/>
    <w:rsid w:val="00405773"/>
    <w:rsid w:val="004202DD"/>
    <w:rsid w:val="004C0EFE"/>
    <w:rsid w:val="004F1AB0"/>
    <w:rsid w:val="00522231"/>
    <w:rsid w:val="0052257D"/>
    <w:rsid w:val="005242A5"/>
    <w:rsid w:val="0053173A"/>
    <w:rsid w:val="00542B26"/>
    <w:rsid w:val="0057594B"/>
    <w:rsid w:val="005C3F19"/>
    <w:rsid w:val="005D6631"/>
    <w:rsid w:val="00630D70"/>
    <w:rsid w:val="00631080"/>
    <w:rsid w:val="006A6B61"/>
    <w:rsid w:val="00705AFC"/>
    <w:rsid w:val="00780355"/>
    <w:rsid w:val="007A71A4"/>
    <w:rsid w:val="008470F9"/>
    <w:rsid w:val="00857BBC"/>
    <w:rsid w:val="00867E6A"/>
    <w:rsid w:val="008878EE"/>
    <w:rsid w:val="008D4C09"/>
    <w:rsid w:val="008F3FC7"/>
    <w:rsid w:val="008F5058"/>
    <w:rsid w:val="00915C0A"/>
    <w:rsid w:val="00923824"/>
    <w:rsid w:val="0098186E"/>
    <w:rsid w:val="009E7A81"/>
    <w:rsid w:val="009F4758"/>
    <w:rsid w:val="00A3060D"/>
    <w:rsid w:val="00A56EDB"/>
    <w:rsid w:val="00A74990"/>
    <w:rsid w:val="00AE5332"/>
    <w:rsid w:val="00BD0F54"/>
    <w:rsid w:val="00BE1A6E"/>
    <w:rsid w:val="00BF12AD"/>
    <w:rsid w:val="00C543DA"/>
    <w:rsid w:val="00C54A32"/>
    <w:rsid w:val="00C71924"/>
    <w:rsid w:val="00D52427"/>
    <w:rsid w:val="00D558AB"/>
    <w:rsid w:val="00DC5EB8"/>
    <w:rsid w:val="00E115FA"/>
    <w:rsid w:val="00E65EA0"/>
    <w:rsid w:val="00F200B9"/>
    <w:rsid w:val="00F22778"/>
    <w:rsid w:val="00F67448"/>
    <w:rsid w:val="00F74EDD"/>
    <w:rsid w:val="00FB74F7"/>
    <w:rsid w:val="00FF4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BB4DB"/>
  <w15:docId w15:val="{8A050E65-99B3-45F8-BCD4-AFD58DF6A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rsid w:val="008D4C09"/>
    <w:pPr>
      <w:jc w:val="both"/>
      <w:outlineLvl w:val="0"/>
    </w:pPr>
    <w:rPr>
      <w:rFonts w:ascii="Times New Roman" w:hAnsi="Times New Roman"/>
      <w:b/>
      <w:color w:val="000000" w:themeColor="text1"/>
      <w:sz w:val="32"/>
      <w:szCs w:val="32"/>
    </w:rPr>
  </w:style>
  <w:style w:type="paragraph" w:styleId="Heading2">
    <w:name w:val="heading 2"/>
    <w:uiPriority w:val="9"/>
    <w:unhideWhenUsed/>
    <w:qFormat/>
    <w:rsid w:val="009F4758"/>
    <w:pPr>
      <w:spacing w:line="360" w:lineRule="auto"/>
      <w:jc w:val="both"/>
      <w:outlineLvl w:val="1"/>
    </w:pPr>
    <w:rPr>
      <w:rFonts w:ascii="Times New Roman" w:hAnsi="Times New Roman"/>
      <w:b/>
      <w:color w:val="000000" w:themeColor="text1"/>
      <w:sz w:val="28"/>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customStyle="1" w:styleId="agcmg">
    <w:name w:val="a_gcmg"/>
    <w:basedOn w:val="DefaultParagraphFont"/>
    <w:rsid w:val="00BD0F54"/>
  </w:style>
  <w:style w:type="paragraph" w:customStyle="1" w:styleId="cvgsua">
    <w:name w:val="cvgsua"/>
    <w:basedOn w:val="Normal"/>
    <w:rsid w:val="00BD0F54"/>
    <w:pPr>
      <w:spacing w:before="100" w:beforeAutospacing="1" w:after="100" w:afterAutospacing="1"/>
    </w:pPr>
    <w:rPr>
      <w:rFonts w:ascii="Times New Roman" w:eastAsia="Times New Roman" w:hAnsi="Times New Roman" w:cs="Times New Roman"/>
      <w:sz w:val="24"/>
      <w:szCs w:val="24"/>
    </w:rPr>
  </w:style>
  <w:style w:type="paragraph" w:styleId="NoSpacing">
    <w:name w:val="No Spacing"/>
    <w:link w:val="NoSpacingChar"/>
    <w:uiPriority w:val="1"/>
    <w:qFormat/>
    <w:rsid w:val="0098186E"/>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98186E"/>
    <w:rPr>
      <w:rFonts w:asciiTheme="minorHAnsi" w:eastAsiaTheme="minorEastAsia" w:hAnsiTheme="minorHAnsi" w:cstheme="minorBidi"/>
      <w:sz w:val="22"/>
      <w:szCs w:val="22"/>
    </w:rPr>
  </w:style>
  <w:style w:type="paragraph" w:styleId="NormalWeb">
    <w:name w:val="Normal (Web)"/>
    <w:basedOn w:val="Normal"/>
    <w:uiPriority w:val="99"/>
    <w:unhideWhenUsed/>
    <w:rsid w:val="00BF12AD"/>
    <w:pPr>
      <w:spacing w:before="100" w:beforeAutospacing="1" w:after="100" w:afterAutospacing="1"/>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E65EA0"/>
    <w:pPr>
      <w:keepNext/>
      <w:keepLines/>
      <w:spacing w:before="240" w:line="259" w:lineRule="auto"/>
      <w:jc w:val="left"/>
      <w:outlineLvl w:val="9"/>
    </w:pPr>
    <w:rPr>
      <w:rFonts w:asciiTheme="majorHAnsi" w:eastAsiaTheme="majorEastAsia" w:hAnsiTheme="majorHAnsi" w:cstheme="majorBidi"/>
      <w:b w:val="0"/>
      <w:color w:val="0F4761" w:themeColor="accent1" w:themeShade="BF"/>
    </w:rPr>
  </w:style>
  <w:style w:type="paragraph" w:styleId="TOC1">
    <w:name w:val="toc 1"/>
    <w:basedOn w:val="Normal"/>
    <w:next w:val="Normal"/>
    <w:autoRedefine/>
    <w:uiPriority w:val="39"/>
    <w:unhideWhenUsed/>
    <w:rsid w:val="00E65EA0"/>
    <w:pPr>
      <w:spacing w:after="100"/>
    </w:pPr>
  </w:style>
  <w:style w:type="paragraph" w:styleId="TOC2">
    <w:name w:val="toc 2"/>
    <w:basedOn w:val="Normal"/>
    <w:next w:val="Normal"/>
    <w:autoRedefine/>
    <w:uiPriority w:val="39"/>
    <w:unhideWhenUsed/>
    <w:rsid w:val="00E65EA0"/>
    <w:pPr>
      <w:spacing w:after="100"/>
      <w:ind w:left="200"/>
    </w:pPr>
  </w:style>
  <w:style w:type="paragraph" w:styleId="Header">
    <w:name w:val="header"/>
    <w:basedOn w:val="Normal"/>
    <w:link w:val="HeaderChar"/>
    <w:uiPriority w:val="99"/>
    <w:unhideWhenUsed/>
    <w:rsid w:val="00E65EA0"/>
    <w:pPr>
      <w:tabs>
        <w:tab w:val="center" w:pos="4513"/>
        <w:tab w:val="right" w:pos="9026"/>
      </w:tabs>
    </w:pPr>
  </w:style>
  <w:style w:type="character" w:customStyle="1" w:styleId="HeaderChar">
    <w:name w:val="Header Char"/>
    <w:basedOn w:val="DefaultParagraphFont"/>
    <w:link w:val="Header"/>
    <w:uiPriority w:val="99"/>
    <w:rsid w:val="00E65EA0"/>
  </w:style>
  <w:style w:type="paragraph" w:styleId="Footer">
    <w:name w:val="footer"/>
    <w:basedOn w:val="Normal"/>
    <w:link w:val="FooterChar"/>
    <w:uiPriority w:val="99"/>
    <w:unhideWhenUsed/>
    <w:rsid w:val="00E65EA0"/>
    <w:pPr>
      <w:tabs>
        <w:tab w:val="center" w:pos="4513"/>
        <w:tab w:val="right" w:pos="9026"/>
      </w:tabs>
    </w:pPr>
  </w:style>
  <w:style w:type="character" w:customStyle="1" w:styleId="FooterChar">
    <w:name w:val="Footer Char"/>
    <w:basedOn w:val="DefaultParagraphFont"/>
    <w:link w:val="Footer"/>
    <w:uiPriority w:val="99"/>
    <w:rsid w:val="00E65EA0"/>
  </w:style>
  <w:style w:type="character" w:styleId="UnresolvedMention">
    <w:name w:val="Unresolved Mention"/>
    <w:basedOn w:val="DefaultParagraphFont"/>
    <w:uiPriority w:val="99"/>
    <w:semiHidden/>
    <w:unhideWhenUsed/>
    <w:rsid w:val="001C101C"/>
    <w:rPr>
      <w:color w:val="605E5C"/>
      <w:shd w:val="clear" w:color="auto" w:fill="E1DFDD"/>
    </w:rPr>
  </w:style>
  <w:style w:type="character" w:styleId="Strong">
    <w:name w:val="Strong"/>
    <w:basedOn w:val="DefaultParagraphFont"/>
    <w:uiPriority w:val="22"/>
    <w:qFormat/>
    <w:rsid w:val="0092382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diagramLayout" Target="diagrams/layout1.xml"/><Relationship Id="rId18" Type="http://schemas.openxmlformats.org/officeDocument/2006/relationships/chart" Target="charts/chart3.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diagramQuickStyle" Target="diagrams/quickStyle2.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chart" Target="charts/chart2.xml"/><Relationship Id="rId25" Type="http://schemas.openxmlformats.org/officeDocument/2006/relationships/fontTable" Target="fontTable.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Layout" Target="diagrams/layout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diagramColors" Target="diagrams/colors1.xml"/><Relationship Id="rId23" Type="http://schemas.microsoft.com/office/2007/relationships/diagramDrawing" Target="diagrams/drawing2.xml"/><Relationship Id="rId10" Type="http://schemas.openxmlformats.org/officeDocument/2006/relationships/footer" Target="footer2.xml"/><Relationship Id="rId19" Type="http://schemas.openxmlformats.org/officeDocument/2006/relationships/diagramData" Target="diagrams/data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diagramQuickStyle" Target="diagrams/quickStyle1.xml"/><Relationship Id="rId22" Type="http://schemas.openxmlformats.org/officeDocument/2006/relationships/diagramColors" Target="diagrams/colors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Calibri" panose="020F0502020204030204" pitchFamily="34" charset="0"/>
                <a:ea typeface="Calibri" panose="020F0502020204030204" pitchFamily="34" charset="0"/>
                <a:cs typeface="Calibri" panose="020F0502020204030204" pitchFamily="34" charset="0"/>
              </a:defRPr>
            </a:pPr>
            <a:r>
              <a:rPr lang="en-US" sz="1000">
                <a:latin typeface="Calibri" panose="020F0502020204030204" pitchFamily="34" charset="0"/>
                <a:ea typeface="Calibri" panose="020F0502020204030204" pitchFamily="34" charset="0"/>
                <a:cs typeface="Calibri" panose="020F0502020204030204" pitchFamily="34" charset="0"/>
              </a:rPr>
              <a:t>Category 3 Response Target Met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Calibri" panose="020F0502020204030204" pitchFamily="34" charset="0"/>
              <a:ea typeface="Calibri" panose="020F0502020204030204" pitchFamily="34" charset="0"/>
              <a:cs typeface="Calibri" panose="020F0502020204030204" pitchFamily="34" charset="0"/>
            </a:defRPr>
          </a:pPr>
          <a:endParaRPr lang="en-US"/>
        </a:p>
      </c:txPr>
    </c:title>
    <c:autoTitleDeleted val="0"/>
    <c:plotArea>
      <c:layout>
        <c:manualLayout>
          <c:layoutTarget val="inner"/>
          <c:xMode val="edge"/>
          <c:yMode val="edge"/>
          <c:x val="0.35349669980449555"/>
          <c:y val="0.24156725918242256"/>
          <c:w val="0.26956421422121996"/>
          <c:h val="0.68857246137645955"/>
        </c:manualLayout>
      </c:layout>
      <c:doughnutChart>
        <c:varyColors val="1"/>
        <c:ser>
          <c:idx val="0"/>
          <c:order val="0"/>
          <c:tx>
            <c:strRef>
              <c:f>Sheet1!$B$1</c:f>
              <c:strCache>
                <c:ptCount val="1"/>
                <c:pt idx="0">
                  <c:v>Category 3 Response Target Met</c:v>
                </c:pt>
              </c:strCache>
            </c:strRef>
          </c:tx>
          <c:spPr>
            <a:ln>
              <a:solidFill>
                <a:schemeClr val="accent2"/>
              </a:solidFill>
            </a:ln>
          </c:spPr>
          <c:dPt>
            <c:idx val="0"/>
            <c:bubble3D val="0"/>
            <c:spPr>
              <a:solidFill>
                <a:srgbClr val="EE0000"/>
              </a:solidFill>
              <a:ln w="19050">
                <a:solidFill>
                  <a:schemeClr val="tx1">
                    <a:lumMod val="50000"/>
                    <a:lumOff val="50000"/>
                  </a:schemeClr>
                </a:solidFill>
              </a:ln>
              <a:effectLst/>
            </c:spPr>
            <c:extLst>
              <c:ext xmlns:c16="http://schemas.microsoft.com/office/drawing/2014/chart" uri="{C3380CC4-5D6E-409C-BE32-E72D297353CC}">
                <c16:uniqueId val="{00000001-0A84-428E-ABB7-FAEE46CC5B95}"/>
              </c:ext>
            </c:extLst>
          </c:dPt>
          <c:dPt>
            <c:idx val="1"/>
            <c:bubble3D val="0"/>
            <c:spPr>
              <a:solidFill>
                <a:schemeClr val="bg2">
                  <a:lumMod val="90000"/>
                </a:schemeClr>
              </a:solidFill>
              <a:ln w="19050">
                <a:solidFill>
                  <a:schemeClr val="tx1">
                    <a:lumMod val="50000"/>
                    <a:lumOff val="50000"/>
                  </a:schemeClr>
                </a:solidFill>
              </a:ln>
              <a:effectLst/>
            </c:spPr>
            <c:extLst>
              <c:ext xmlns:c16="http://schemas.microsoft.com/office/drawing/2014/chart" uri="{C3380CC4-5D6E-409C-BE32-E72D297353CC}">
                <c16:uniqueId val="{00000002-0A84-428E-ABB7-FAEE46CC5B95}"/>
              </c:ext>
            </c:extLst>
          </c:dPt>
          <c:cat>
            <c:strRef>
              <c:f>Sheet1!$A$2:$A$3</c:f>
              <c:strCache>
                <c:ptCount val="1"/>
                <c:pt idx="0">
                  <c:v>Category 3 patients seen within 2 hours</c:v>
                </c:pt>
              </c:strCache>
            </c:strRef>
          </c:cat>
          <c:val>
            <c:numRef>
              <c:f>Sheet1!$B$2:$B$3</c:f>
              <c:numCache>
                <c:formatCode>General</c:formatCode>
                <c:ptCount val="2"/>
                <c:pt idx="0" formatCode="0%">
                  <c:v>90</c:v>
                </c:pt>
                <c:pt idx="1">
                  <c:v>10</c:v>
                </c:pt>
              </c:numCache>
            </c:numRef>
          </c:val>
          <c:extLst>
            <c:ext xmlns:c16="http://schemas.microsoft.com/office/drawing/2014/chart" uri="{C3380CC4-5D6E-409C-BE32-E72D297353CC}">
              <c16:uniqueId val="{00000000-0A84-428E-ABB7-FAEE46CC5B95}"/>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r"/>
      <c:legendEntry>
        <c:idx val="1"/>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US" sz="1000">
                <a:latin typeface="Arial" panose="020B0604020202020204" pitchFamily="34" charset="0"/>
                <a:cs typeface="Arial" panose="020B0604020202020204" pitchFamily="34" charset="0"/>
              </a:rPr>
              <a:t>NHS Ambulance Response Time Targets by Category (min)</a:t>
            </a:r>
          </a:p>
        </c:rich>
      </c:tx>
      <c:overlay val="0"/>
      <c:spPr>
        <a:noFill/>
        <a:ln>
          <a:noFill/>
        </a:ln>
        <a:effectLst/>
      </c:spPr>
      <c:txPr>
        <a:bodyPr rot="0" spcFirstLastPara="1" vertOverflow="ellipsis" vert="horz" wrap="square" anchor="ctr" anchorCtr="1"/>
        <a:lstStyle/>
        <a:p>
          <a:pPr>
            <a:defRPr sz="10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manualLayout>
          <c:layoutTarget val="inner"/>
          <c:xMode val="edge"/>
          <c:yMode val="edge"/>
          <c:x val="7.0487491511113554E-2"/>
          <c:y val="0.21031746031746032"/>
          <c:w val="0.90620248517886315"/>
          <c:h val="0.38497312835895514"/>
        </c:manualLayout>
      </c:layout>
      <c:barChart>
        <c:barDir val="col"/>
        <c:grouping val="clustered"/>
        <c:varyColors val="0"/>
        <c:ser>
          <c:idx val="0"/>
          <c:order val="0"/>
          <c:tx>
            <c:strRef>
              <c:f>Sheet1!$B$1</c:f>
              <c:strCache>
                <c:ptCount val="1"/>
                <c:pt idx="0">
                  <c:v>NHS Ambulance Response Time Targets by Category</c:v>
                </c:pt>
              </c:strCache>
            </c:strRef>
          </c:tx>
          <c:spPr>
            <a:solidFill>
              <a:srgbClr val="EE0000"/>
            </a:solidFill>
            <a:ln>
              <a:noFill/>
            </a:ln>
            <a:effectLst/>
          </c:spPr>
          <c:invertIfNegative val="0"/>
          <c:dPt>
            <c:idx val="1"/>
            <c:invertIfNegative val="0"/>
            <c:bubble3D val="0"/>
            <c:spPr>
              <a:solidFill>
                <a:schemeClr val="accent1">
                  <a:lumMod val="50000"/>
                </a:schemeClr>
              </a:solidFill>
              <a:ln>
                <a:noFill/>
              </a:ln>
              <a:effectLst/>
            </c:spPr>
            <c:extLst>
              <c:ext xmlns:c16="http://schemas.microsoft.com/office/drawing/2014/chart" uri="{C3380CC4-5D6E-409C-BE32-E72D297353CC}">
                <c16:uniqueId val="{00000003-188D-4956-98E1-FAE06ECD540F}"/>
              </c:ext>
            </c:extLst>
          </c:dPt>
          <c:dPt>
            <c:idx val="3"/>
            <c:invertIfNegative val="0"/>
            <c:bubble3D val="0"/>
            <c:spPr>
              <a:solidFill>
                <a:schemeClr val="accent1">
                  <a:lumMod val="50000"/>
                </a:schemeClr>
              </a:solidFill>
              <a:ln>
                <a:noFill/>
              </a:ln>
              <a:effectLst/>
            </c:spPr>
            <c:extLst>
              <c:ext xmlns:c16="http://schemas.microsoft.com/office/drawing/2014/chart" uri="{C3380CC4-5D6E-409C-BE32-E72D297353CC}">
                <c16:uniqueId val="{00000004-188D-4956-98E1-FAE06ECD540F}"/>
              </c:ext>
            </c:extLst>
          </c:dPt>
          <c:dLbls>
            <c:dLbl>
              <c:idx val="0"/>
              <c:tx>
                <c:rich>
                  <a:bodyPr/>
                  <a:lstStyle/>
                  <a:p>
                    <a:r>
                      <a:rPr lang="en-US"/>
                      <a:t>7min</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5-188D-4956-98E1-FAE06ECD540F}"/>
                </c:ext>
              </c:extLst>
            </c:dLbl>
            <c:dLbl>
              <c:idx val="1"/>
              <c:tx>
                <c:rich>
                  <a:bodyPr/>
                  <a:lstStyle/>
                  <a:p>
                    <a:r>
                      <a:rPr lang="en-US"/>
                      <a:t>18min</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188D-4956-98E1-FAE06ECD540F}"/>
                </c:ext>
              </c:extLst>
            </c:dLbl>
            <c:dLbl>
              <c:idx val="2"/>
              <c:tx>
                <c:rich>
                  <a:bodyPr/>
                  <a:lstStyle/>
                  <a:p>
                    <a:fld id="{3BF3DD81-29CC-475B-9657-BCDB4AFA5CC1}" type="VALUE">
                      <a:rPr lang="en-US"/>
                      <a:pPr/>
                      <a:t>[VALUE]</a:t>
                    </a:fld>
                    <a:r>
                      <a:rPr lang="en-US"/>
                      <a:t>min</a:t>
                    </a:r>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6-188D-4956-98E1-FAE06ECD540F}"/>
                </c:ext>
              </c:extLst>
            </c:dLbl>
            <c:dLbl>
              <c:idx val="3"/>
              <c:tx>
                <c:rich>
                  <a:bodyPr/>
                  <a:lstStyle/>
                  <a:p>
                    <a:fld id="{6B3752B6-6E3E-4320-8E16-BE753AF88D32}" type="VALUE">
                      <a:rPr lang="en-US"/>
                      <a:pPr/>
                      <a:t>[VALUE]</a:t>
                    </a:fld>
                    <a:r>
                      <a:rPr lang="en-US"/>
                      <a:t>min</a:t>
                    </a:r>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188D-4956-98E1-FAE06ECD540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Category 1</c:v>
                </c:pt>
                <c:pt idx="1">
                  <c:v>Category 2</c:v>
                </c:pt>
                <c:pt idx="2">
                  <c:v>Category 3</c:v>
                </c:pt>
                <c:pt idx="3">
                  <c:v>Category 4</c:v>
                </c:pt>
              </c:strCache>
            </c:strRef>
          </c:cat>
          <c:val>
            <c:numRef>
              <c:f>Sheet1!$B$2:$B$5</c:f>
              <c:numCache>
                <c:formatCode>General</c:formatCode>
                <c:ptCount val="4"/>
                <c:pt idx="0">
                  <c:v>7</c:v>
                </c:pt>
                <c:pt idx="1">
                  <c:v>18</c:v>
                </c:pt>
                <c:pt idx="2">
                  <c:v>120</c:v>
                </c:pt>
                <c:pt idx="3">
                  <c:v>180</c:v>
                </c:pt>
              </c:numCache>
            </c:numRef>
          </c:val>
          <c:extLst>
            <c:ext xmlns:c16="http://schemas.microsoft.com/office/drawing/2014/chart" uri="{C3380CC4-5D6E-409C-BE32-E72D297353CC}">
              <c16:uniqueId val="{00000000-188D-4956-98E1-FAE06ECD540F}"/>
            </c:ext>
          </c:extLst>
        </c:ser>
        <c:dLbls>
          <c:dLblPos val="outEnd"/>
          <c:showLegendKey val="0"/>
          <c:showVal val="1"/>
          <c:showCatName val="0"/>
          <c:showSerName val="0"/>
          <c:showPercent val="0"/>
          <c:showBubbleSize val="0"/>
        </c:dLbls>
        <c:gapWidth val="219"/>
        <c:overlap val="-27"/>
        <c:axId val="1099459048"/>
        <c:axId val="1099457608"/>
      </c:barChart>
      <c:catAx>
        <c:axId val="10994590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457608"/>
        <c:crosses val="autoZero"/>
        <c:auto val="1"/>
        <c:lblAlgn val="ctr"/>
        <c:lblOffset val="100"/>
        <c:noMultiLvlLbl val="0"/>
      </c:catAx>
      <c:valAx>
        <c:axId val="10994576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4590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a:t>Hospital Handover Time: Target vs Guidance Maximum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Hospital Handover Time: Target vs Guidance Maximum</c:v>
                </c:pt>
              </c:strCache>
            </c:strRef>
          </c:tx>
          <c:spPr>
            <a:solidFill>
              <a:schemeClr val="tx2"/>
            </a:solidFill>
            <a:ln>
              <a:noFill/>
            </a:ln>
            <a:effectLst/>
          </c:spPr>
          <c:invertIfNegative val="0"/>
          <c:dPt>
            <c:idx val="1"/>
            <c:invertIfNegative val="0"/>
            <c:bubble3D val="0"/>
            <c:spPr>
              <a:solidFill>
                <a:srgbClr val="C00000"/>
              </a:solidFill>
              <a:ln>
                <a:noFill/>
              </a:ln>
              <a:effectLst/>
            </c:spPr>
            <c:extLst>
              <c:ext xmlns:c16="http://schemas.microsoft.com/office/drawing/2014/chart" uri="{C3380CC4-5D6E-409C-BE32-E72D297353CC}">
                <c16:uniqueId val="{00000003-E579-4F1B-88E3-8717B9BE1E5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National Target</c:v>
                </c:pt>
                <c:pt idx="1">
                  <c:v>Maximum under Guidance</c:v>
                </c:pt>
              </c:strCache>
            </c:strRef>
          </c:cat>
          <c:val>
            <c:numRef>
              <c:f>Sheet1!$B$2:$B$3</c:f>
              <c:numCache>
                <c:formatCode>General</c:formatCode>
                <c:ptCount val="2"/>
                <c:pt idx="0">
                  <c:v>15</c:v>
                </c:pt>
                <c:pt idx="1">
                  <c:v>45</c:v>
                </c:pt>
              </c:numCache>
            </c:numRef>
          </c:val>
          <c:extLst>
            <c:ext xmlns:c16="http://schemas.microsoft.com/office/drawing/2014/chart" uri="{C3380CC4-5D6E-409C-BE32-E72D297353CC}">
              <c16:uniqueId val="{00000000-E579-4F1B-88E3-8717B9BE1E57}"/>
            </c:ext>
          </c:extLst>
        </c:ser>
        <c:dLbls>
          <c:dLblPos val="outEnd"/>
          <c:showLegendKey val="0"/>
          <c:showVal val="1"/>
          <c:showCatName val="0"/>
          <c:showSerName val="0"/>
          <c:showPercent val="0"/>
          <c:showBubbleSize val="0"/>
        </c:dLbls>
        <c:gapWidth val="219"/>
        <c:overlap val="-27"/>
        <c:axId val="1101052584"/>
        <c:axId val="1101053304"/>
      </c:barChart>
      <c:catAx>
        <c:axId val="11010525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1053304"/>
        <c:crosses val="autoZero"/>
        <c:auto val="1"/>
        <c:lblAlgn val="ctr"/>
        <c:lblOffset val="100"/>
        <c:noMultiLvlLbl val="0"/>
      </c:catAx>
      <c:valAx>
        <c:axId val="11010533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1052584"/>
        <c:crosses val="autoZero"/>
        <c:crossBetween val="between"/>
        <c:majorUnit val="10"/>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323AB9E-DFB7-40F3-A447-51F01D9B1313}" type="doc">
      <dgm:prSet loTypeId="urn:microsoft.com/office/officeart/2005/8/layout/hProcess11" loCatId="timeline" qsTypeId="urn:microsoft.com/office/officeart/2005/8/quickstyle/simple1" qsCatId="simple" csTypeId="urn:microsoft.com/office/officeart/2005/8/colors/accent1_2" csCatId="accent1" phldr="1"/>
      <dgm:spPr/>
      <dgm:t>
        <a:bodyPr/>
        <a:lstStyle/>
        <a:p>
          <a:endParaRPr lang="en-GB"/>
        </a:p>
      </dgm:t>
    </dgm:pt>
    <dgm:pt modelId="{4D7781B4-56D9-4C59-B08B-AF802070BFF1}">
      <dgm:prSet phldrT="Add an event"/>
      <dgm:spPr/>
      <dgm:t>
        <a:bodyPr/>
        <a:lstStyle/>
        <a:p>
          <a:r>
            <a:rPr lang="en-GB"/>
            <a:t>Pre-1974</a:t>
          </a:r>
        </a:p>
      </dgm:t>
    </dgm:pt>
    <dgm:pt modelId="{85EF5123-C7EE-4175-B75C-8E4B1118E6F7}" type="parTrans" cxnId="{FF3729F8-DD8E-4C62-83FA-24F49825BC1E}">
      <dgm:prSet/>
      <dgm:spPr/>
      <dgm:t>
        <a:bodyPr/>
        <a:lstStyle/>
        <a:p>
          <a:endParaRPr lang="en-GB"/>
        </a:p>
      </dgm:t>
    </dgm:pt>
    <dgm:pt modelId="{4B5C4C4D-1998-4BD7-8BE4-2C07FEA19CB8}" type="sibTrans" cxnId="{FF3729F8-DD8E-4C62-83FA-24F49825BC1E}">
      <dgm:prSet phldrT="1" phldr="0"/>
      <dgm:spPr/>
    </dgm:pt>
    <dgm:pt modelId="{6FFD6B26-12E6-4DEA-8557-61BF5E25514A}">
      <dgm:prSet phldrT="Write a description of the significance of this event"/>
      <dgm:spPr/>
      <dgm:t>
        <a:bodyPr/>
        <a:lstStyle/>
        <a:p>
          <a:r>
            <a:rPr lang="en-GB"/>
            <a:t>1974</a:t>
          </a:r>
        </a:p>
      </dgm:t>
    </dgm:pt>
    <dgm:pt modelId="{A462E4CD-6FA1-4765-B16A-F5360492FE2E}" type="parTrans" cxnId="{3CCFF7F4-672E-4327-8198-9BF9AD6C6275}">
      <dgm:prSet/>
      <dgm:spPr/>
      <dgm:t>
        <a:bodyPr/>
        <a:lstStyle/>
        <a:p>
          <a:endParaRPr lang="en-GB"/>
        </a:p>
      </dgm:t>
    </dgm:pt>
    <dgm:pt modelId="{1789816B-572B-4584-B391-39D575FD2992}" type="sibTrans" cxnId="{3CCFF7F4-672E-4327-8198-9BF9AD6C6275}">
      <dgm:prSet phldrT="2" phldr="0"/>
      <dgm:spPr/>
    </dgm:pt>
    <dgm:pt modelId="{4AC67C18-4F47-4E5E-AEF1-EA9C0E402823}">
      <dgm:prSet phldrT="Add an event"/>
      <dgm:spPr/>
      <dgm:t>
        <a:bodyPr/>
        <a:lstStyle/>
        <a:p>
          <a:r>
            <a:rPr lang="en-GB"/>
            <a:t>2020s</a:t>
          </a:r>
        </a:p>
      </dgm:t>
    </dgm:pt>
    <dgm:pt modelId="{A9200861-3362-43F6-A7A4-BBAEC529DA08}" type="parTrans" cxnId="{E23D4E64-F9FB-4E87-82D9-8B9C8F58BB51}">
      <dgm:prSet/>
      <dgm:spPr/>
      <dgm:t>
        <a:bodyPr/>
        <a:lstStyle/>
        <a:p>
          <a:endParaRPr lang="en-GB"/>
        </a:p>
      </dgm:t>
    </dgm:pt>
    <dgm:pt modelId="{B4B9B662-6CA1-4626-A605-D4C4449258F8}" type="sibTrans" cxnId="{E23D4E64-F9FB-4E87-82D9-8B9C8F58BB51}">
      <dgm:prSet phldrT="5" phldr="0"/>
      <dgm:spPr/>
    </dgm:pt>
    <dgm:pt modelId="{9CB493FA-9E67-464B-A5B9-AC53CFD9A70E}">
      <dgm:prSet phldrT="Write a description of the significance of this event"/>
      <dgm:spPr/>
      <dgm:t>
        <a:bodyPr/>
        <a:lstStyle/>
        <a:p>
          <a:r>
            <a:rPr lang="en-GB"/>
            <a:t>1990s-2000s</a:t>
          </a:r>
        </a:p>
      </dgm:t>
    </dgm:pt>
    <dgm:pt modelId="{59459187-5071-4941-BE67-F3D8976B50C5}" type="parTrans" cxnId="{16BBE425-E64F-4422-B644-05DD42139BDB}">
      <dgm:prSet/>
      <dgm:spPr/>
      <dgm:t>
        <a:bodyPr/>
        <a:lstStyle/>
        <a:p>
          <a:endParaRPr lang="en-GB"/>
        </a:p>
      </dgm:t>
    </dgm:pt>
    <dgm:pt modelId="{124D5FDE-4071-4DF2-BCA1-A5FAF29A2873}" type="sibTrans" cxnId="{16BBE425-E64F-4422-B644-05DD42139BDB}">
      <dgm:prSet phldrT="3" phldr="0"/>
      <dgm:spPr/>
    </dgm:pt>
    <dgm:pt modelId="{4AEC84EF-1B0F-4A0D-BC05-789849C925D7}">
      <dgm:prSet phldrT="Write a description of the significance of this event"/>
      <dgm:spPr/>
      <dgm:t>
        <a:bodyPr/>
        <a:lstStyle/>
        <a:p>
          <a:r>
            <a:rPr lang="en-GB"/>
            <a:t>2017</a:t>
          </a:r>
        </a:p>
      </dgm:t>
    </dgm:pt>
    <dgm:pt modelId="{EA09F99D-556D-4348-83F6-C4BCC09A0D23}" type="parTrans" cxnId="{7BFC5CFD-4167-48D5-9032-6E5A4C4A0AF9}">
      <dgm:prSet/>
      <dgm:spPr/>
      <dgm:t>
        <a:bodyPr/>
        <a:lstStyle/>
        <a:p>
          <a:endParaRPr lang="en-GB"/>
        </a:p>
      </dgm:t>
    </dgm:pt>
    <dgm:pt modelId="{4F8276B4-11DB-4C24-9A73-BAABBDB9B409}" type="sibTrans" cxnId="{7BFC5CFD-4167-48D5-9032-6E5A4C4A0AF9}">
      <dgm:prSet phldrT="4" phldr="0"/>
      <dgm:spPr/>
    </dgm:pt>
    <dgm:pt modelId="{552D3A1A-9F04-489B-9083-F609E19EC0E9}" type="pres">
      <dgm:prSet presAssocID="{C323AB9E-DFB7-40F3-A447-51F01D9B1313}" presName="Name0" presStyleCnt="0">
        <dgm:presLayoutVars>
          <dgm:dir/>
          <dgm:resizeHandles val="exact"/>
        </dgm:presLayoutVars>
      </dgm:prSet>
      <dgm:spPr/>
    </dgm:pt>
    <dgm:pt modelId="{0B7AE7B9-09C0-48F6-B41C-C88F4F29EF63}" type="pres">
      <dgm:prSet presAssocID="{C323AB9E-DFB7-40F3-A447-51F01D9B1313}" presName="arrow" presStyleLbl="bgShp" presStyleIdx="0" presStyleCnt="1"/>
      <dgm:spPr/>
    </dgm:pt>
    <dgm:pt modelId="{4441932C-FD15-4501-A047-4E7FEB9A48EB}" type="pres">
      <dgm:prSet presAssocID="{C323AB9E-DFB7-40F3-A447-51F01D9B1313}" presName="points" presStyleCnt="0"/>
      <dgm:spPr/>
    </dgm:pt>
    <dgm:pt modelId="{04AFE2CA-EE98-4D0A-A122-FBC33311EA34}" type="pres">
      <dgm:prSet presAssocID="{4D7781B4-56D9-4C59-B08B-AF802070BFF1}" presName="compositeA" presStyleCnt="0"/>
      <dgm:spPr/>
    </dgm:pt>
    <dgm:pt modelId="{AD90E315-9310-4E69-9D55-3A4EBD5CC596}" type="pres">
      <dgm:prSet presAssocID="{4D7781B4-56D9-4C59-B08B-AF802070BFF1}" presName="textA" presStyleLbl="revTx" presStyleIdx="0" presStyleCnt="5">
        <dgm:presLayoutVars>
          <dgm:bulletEnabled val="1"/>
        </dgm:presLayoutVars>
      </dgm:prSet>
      <dgm:spPr/>
    </dgm:pt>
    <dgm:pt modelId="{A8F3E58B-599E-4B1D-AA03-CE40D8380E02}" type="pres">
      <dgm:prSet presAssocID="{4D7781B4-56D9-4C59-B08B-AF802070BFF1}" presName="circleA" presStyleLbl="node1" presStyleIdx="0" presStyleCnt="5"/>
      <dgm:spPr/>
    </dgm:pt>
    <dgm:pt modelId="{3B8A5004-F07B-4650-BF35-FB3C3BB93B14}" type="pres">
      <dgm:prSet presAssocID="{4D7781B4-56D9-4C59-B08B-AF802070BFF1}" presName="spaceA" presStyleCnt="0"/>
      <dgm:spPr/>
    </dgm:pt>
    <dgm:pt modelId="{27C91CF5-A968-4459-9F36-5994FDFFFA4A}" type="pres">
      <dgm:prSet presAssocID="{4B5C4C4D-1998-4BD7-8BE4-2C07FEA19CB8}" presName="space" presStyleCnt="0"/>
      <dgm:spPr/>
    </dgm:pt>
    <dgm:pt modelId="{62ACDC39-8B6F-489F-AC12-E8F0B61B59EC}" type="pres">
      <dgm:prSet presAssocID="{6FFD6B26-12E6-4DEA-8557-61BF5E25514A}" presName="compositeB" presStyleCnt="0"/>
      <dgm:spPr/>
    </dgm:pt>
    <dgm:pt modelId="{C48FB45B-E72A-4D3F-B9C1-20C1277D3E10}" type="pres">
      <dgm:prSet presAssocID="{6FFD6B26-12E6-4DEA-8557-61BF5E25514A}" presName="textB" presStyleLbl="revTx" presStyleIdx="1" presStyleCnt="5">
        <dgm:presLayoutVars>
          <dgm:bulletEnabled val="1"/>
        </dgm:presLayoutVars>
      </dgm:prSet>
      <dgm:spPr/>
    </dgm:pt>
    <dgm:pt modelId="{9AA4FEE3-B6B7-47FF-8F9F-04640CAC146B}" type="pres">
      <dgm:prSet presAssocID="{6FFD6B26-12E6-4DEA-8557-61BF5E25514A}" presName="circleB" presStyleLbl="node1" presStyleIdx="1" presStyleCnt="5"/>
      <dgm:spPr/>
    </dgm:pt>
    <dgm:pt modelId="{C682927C-149D-445C-956A-91C598A1B4DF}" type="pres">
      <dgm:prSet presAssocID="{6FFD6B26-12E6-4DEA-8557-61BF5E25514A}" presName="spaceB" presStyleCnt="0"/>
      <dgm:spPr/>
    </dgm:pt>
    <dgm:pt modelId="{89ABD769-FB7C-4F92-A11E-5A6631569208}" type="pres">
      <dgm:prSet presAssocID="{1789816B-572B-4584-B391-39D575FD2992}" presName="space" presStyleCnt="0"/>
      <dgm:spPr/>
    </dgm:pt>
    <dgm:pt modelId="{CAB437CB-CAF9-433C-810C-6A4BF3D9888F}" type="pres">
      <dgm:prSet presAssocID="{9CB493FA-9E67-464B-A5B9-AC53CFD9A70E}" presName="compositeA" presStyleCnt="0"/>
      <dgm:spPr/>
    </dgm:pt>
    <dgm:pt modelId="{3F42DADE-8C9B-4282-8048-82348076158B}" type="pres">
      <dgm:prSet presAssocID="{9CB493FA-9E67-464B-A5B9-AC53CFD9A70E}" presName="textA" presStyleLbl="revTx" presStyleIdx="2" presStyleCnt="5">
        <dgm:presLayoutVars>
          <dgm:bulletEnabled val="1"/>
        </dgm:presLayoutVars>
      </dgm:prSet>
      <dgm:spPr/>
    </dgm:pt>
    <dgm:pt modelId="{61E94A7D-A687-450A-A2E1-4376B6A33AA1}" type="pres">
      <dgm:prSet presAssocID="{9CB493FA-9E67-464B-A5B9-AC53CFD9A70E}" presName="circleA" presStyleLbl="node1" presStyleIdx="2" presStyleCnt="5"/>
      <dgm:spPr/>
    </dgm:pt>
    <dgm:pt modelId="{1F00DB0E-105B-4C4B-868A-D645AECBF500}" type="pres">
      <dgm:prSet presAssocID="{9CB493FA-9E67-464B-A5B9-AC53CFD9A70E}" presName="spaceA" presStyleCnt="0"/>
      <dgm:spPr/>
    </dgm:pt>
    <dgm:pt modelId="{F7EC0912-A064-4917-8EF8-EF127476AD5F}" type="pres">
      <dgm:prSet presAssocID="{124D5FDE-4071-4DF2-BCA1-A5FAF29A2873}" presName="space" presStyleCnt="0"/>
      <dgm:spPr/>
    </dgm:pt>
    <dgm:pt modelId="{3C6C2EC2-9C25-4A79-98BA-5C97A1BAB4B3}" type="pres">
      <dgm:prSet presAssocID="{4AEC84EF-1B0F-4A0D-BC05-789849C925D7}" presName="compositeB" presStyleCnt="0"/>
      <dgm:spPr/>
    </dgm:pt>
    <dgm:pt modelId="{03DDC8F1-849B-46D9-B8EB-A9B42D126195}" type="pres">
      <dgm:prSet presAssocID="{4AEC84EF-1B0F-4A0D-BC05-789849C925D7}" presName="textB" presStyleLbl="revTx" presStyleIdx="3" presStyleCnt="5">
        <dgm:presLayoutVars>
          <dgm:bulletEnabled val="1"/>
        </dgm:presLayoutVars>
      </dgm:prSet>
      <dgm:spPr/>
    </dgm:pt>
    <dgm:pt modelId="{729CF979-109B-4416-B346-3788724C06C8}" type="pres">
      <dgm:prSet presAssocID="{4AEC84EF-1B0F-4A0D-BC05-789849C925D7}" presName="circleB" presStyleLbl="node1" presStyleIdx="3" presStyleCnt="5"/>
      <dgm:spPr/>
    </dgm:pt>
    <dgm:pt modelId="{B8C3D8BA-3EF7-4973-90FD-CBF240FFD8BC}" type="pres">
      <dgm:prSet presAssocID="{4AEC84EF-1B0F-4A0D-BC05-789849C925D7}" presName="spaceB" presStyleCnt="0"/>
      <dgm:spPr/>
    </dgm:pt>
    <dgm:pt modelId="{2AA792C3-F7B0-44AC-B91A-5B3A68D129E2}" type="pres">
      <dgm:prSet presAssocID="{4F8276B4-11DB-4C24-9A73-BAABBDB9B409}" presName="space" presStyleCnt="0"/>
      <dgm:spPr/>
    </dgm:pt>
    <dgm:pt modelId="{937ACC3A-838A-4395-97B2-4D3A64EBFF67}" type="pres">
      <dgm:prSet presAssocID="{4AC67C18-4F47-4E5E-AEF1-EA9C0E402823}" presName="compositeA" presStyleCnt="0"/>
      <dgm:spPr/>
    </dgm:pt>
    <dgm:pt modelId="{F24FBFEC-50CD-4EAD-BF0A-2315C235D71C}" type="pres">
      <dgm:prSet presAssocID="{4AC67C18-4F47-4E5E-AEF1-EA9C0E402823}" presName="textA" presStyleLbl="revTx" presStyleIdx="4" presStyleCnt="5">
        <dgm:presLayoutVars>
          <dgm:bulletEnabled val="1"/>
        </dgm:presLayoutVars>
      </dgm:prSet>
      <dgm:spPr/>
    </dgm:pt>
    <dgm:pt modelId="{C32AF36D-9EDD-4A46-87E2-7AA04E532B37}" type="pres">
      <dgm:prSet presAssocID="{4AC67C18-4F47-4E5E-AEF1-EA9C0E402823}" presName="circleA" presStyleLbl="node1" presStyleIdx="4" presStyleCnt="5"/>
      <dgm:spPr/>
    </dgm:pt>
    <dgm:pt modelId="{995F6959-4400-4752-8CE5-48266FD2170A}" type="pres">
      <dgm:prSet presAssocID="{4AC67C18-4F47-4E5E-AEF1-EA9C0E402823}" presName="spaceA" presStyleCnt="0"/>
      <dgm:spPr/>
    </dgm:pt>
  </dgm:ptLst>
  <dgm:cxnLst>
    <dgm:cxn modelId="{16BBE425-E64F-4422-B644-05DD42139BDB}" srcId="{C323AB9E-DFB7-40F3-A447-51F01D9B1313}" destId="{9CB493FA-9E67-464B-A5B9-AC53CFD9A70E}" srcOrd="2" destOrd="0" parTransId="{59459187-5071-4941-BE67-F3D8976B50C5}" sibTransId="{124D5FDE-4071-4DF2-BCA1-A5FAF29A2873}"/>
    <dgm:cxn modelId="{E23D4E64-F9FB-4E87-82D9-8B9C8F58BB51}" srcId="{C323AB9E-DFB7-40F3-A447-51F01D9B1313}" destId="{4AC67C18-4F47-4E5E-AEF1-EA9C0E402823}" srcOrd="4" destOrd="0" parTransId="{A9200861-3362-43F6-A7A4-BBAEC529DA08}" sibTransId="{B4B9B662-6CA1-4626-A605-D4C4449258F8}"/>
    <dgm:cxn modelId="{7087C16B-1C7B-4A45-952A-33CECD70634B}" type="presOf" srcId="{6FFD6B26-12E6-4DEA-8557-61BF5E25514A}" destId="{C48FB45B-E72A-4D3F-B9C1-20C1277D3E10}" srcOrd="0" destOrd="0" presId="urn:microsoft.com/office/officeart/2005/8/layout/hProcess11"/>
    <dgm:cxn modelId="{A2D85B88-65FB-4043-A0D6-12F5C6E1104C}" type="presOf" srcId="{4D7781B4-56D9-4C59-B08B-AF802070BFF1}" destId="{AD90E315-9310-4E69-9D55-3A4EBD5CC596}" srcOrd="0" destOrd="0" presId="urn:microsoft.com/office/officeart/2005/8/layout/hProcess11"/>
    <dgm:cxn modelId="{B80C51AD-A80B-45EE-BFB4-A387D55B166E}" type="presOf" srcId="{4AEC84EF-1B0F-4A0D-BC05-789849C925D7}" destId="{03DDC8F1-849B-46D9-B8EB-A9B42D126195}" srcOrd="0" destOrd="0" presId="urn:microsoft.com/office/officeart/2005/8/layout/hProcess11"/>
    <dgm:cxn modelId="{66A25BBE-61D0-4699-888A-028FAC086943}" type="presOf" srcId="{C323AB9E-DFB7-40F3-A447-51F01D9B1313}" destId="{552D3A1A-9F04-489B-9083-F609E19EC0E9}" srcOrd="0" destOrd="0" presId="urn:microsoft.com/office/officeart/2005/8/layout/hProcess11"/>
    <dgm:cxn modelId="{39FB13C4-07D1-4F3D-BA1B-1FB58D5B79CB}" type="presOf" srcId="{9CB493FA-9E67-464B-A5B9-AC53CFD9A70E}" destId="{3F42DADE-8C9B-4282-8048-82348076158B}" srcOrd="0" destOrd="0" presId="urn:microsoft.com/office/officeart/2005/8/layout/hProcess11"/>
    <dgm:cxn modelId="{3CCFF7F4-672E-4327-8198-9BF9AD6C6275}" srcId="{C323AB9E-DFB7-40F3-A447-51F01D9B1313}" destId="{6FFD6B26-12E6-4DEA-8557-61BF5E25514A}" srcOrd="1" destOrd="0" parTransId="{A462E4CD-6FA1-4765-B16A-F5360492FE2E}" sibTransId="{1789816B-572B-4584-B391-39D575FD2992}"/>
    <dgm:cxn modelId="{F1D0CFF6-9105-49AB-B1B7-908D949A7AE9}" type="presOf" srcId="{4AC67C18-4F47-4E5E-AEF1-EA9C0E402823}" destId="{F24FBFEC-50CD-4EAD-BF0A-2315C235D71C}" srcOrd="0" destOrd="0" presId="urn:microsoft.com/office/officeart/2005/8/layout/hProcess11"/>
    <dgm:cxn modelId="{FF3729F8-DD8E-4C62-83FA-24F49825BC1E}" srcId="{C323AB9E-DFB7-40F3-A447-51F01D9B1313}" destId="{4D7781B4-56D9-4C59-B08B-AF802070BFF1}" srcOrd="0" destOrd="0" parTransId="{85EF5123-C7EE-4175-B75C-8E4B1118E6F7}" sibTransId="{4B5C4C4D-1998-4BD7-8BE4-2C07FEA19CB8}"/>
    <dgm:cxn modelId="{7BFC5CFD-4167-48D5-9032-6E5A4C4A0AF9}" srcId="{C323AB9E-DFB7-40F3-A447-51F01D9B1313}" destId="{4AEC84EF-1B0F-4A0D-BC05-789849C925D7}" srcOrd="3" destOrd="0" parTransId="{EA09F99D-556D-4348-83F6-C4BCC09A0D23}" sibTransId="{4F8276B4-11DB-4C24-9A73-BAABBDB9B409}"/>
    <dgm:cxn modelId="{28CABBB5-FAE4-4A17-80BF-196C4DD91D02}" type="presParOf" srcId="{552D3A1A-9F04-489B-9083-F609E19EC0E9}" destId="{0B7AE7B9-09C0-48F6-B41C-C88F4F29EF63}" srcOrd="0" destOrd="0" presId="urn:microsoft.com/office/officeart/2005/8/layout/hProcess11"/>
    <dgm:cxn modelId="{939F5129-BD10-433C-8F41-77137A942EB0}" type="presParOf" srcId="{552D3A1A-9F04-489B-9083-F609E19EC0E9}" destId="{4441932C-FD15-4501-A047-4E7FEB9A48EB}" srcOrd="1" destOrd="0" presId="urn:microsoft.com/office/officeart/2005/8/layout/hProcess11"/>
    <dgm:cxn modelId="{809BCC34-C0AB-4C98-B154-E1A1E0FFC50A}" type="presParOf" srcId="{4441932C-FD15-4501-A047-4E7FEB9A48EB}" destId="{04AFE2CA-EE98-4D0A-A122-FBC33311EA34}" srcOrd="0" destOrd="0" presId="urn:microsoft.com/office/officeart/2005/8/layout/hProcess11"/>
    <dgm:cxn modelId="{C8CC165C-1B31-468B-A6A5-F4C64AEF9529}" type="presParOf" srcId="{04AFE2CA-EE98-4D0A-A122-FBC33311EA34}" destId="{AD90E315-9310-4E69-9D55-3A4EBD5CC596}" srcOrd="0" destOrd="0" presId="urn:microsoft.com/office/officeart/2005/8/layout/hProcess11"/>
    <dgm:cxn modelId="{93B07C17-F4CC-472D-BDC0-E870BAB96DC1}" type="presParOf" srcId="{04AFE2CA-EE98-4D0A-A122-FBC33311EA34}" destId="{A8F3E58B-599E-4B1D-AA03-CE40D8380E02}" srcOrd="1" destOrd="0" presId="urn:microsoft.com/office/officeart/2005/8/layout/hProcess11"/>
    <dgm:cxn modelId="{D45B2A39-520C-4255-AD68-8AE8E2011453}" type="presParOf" srcId="{04AFE2CA-EE98-4D0A-A122-FBC33311EA34}" destId="{3B8A5004-F07B-4650-BF35-FB3C3BB93B14}" srcOrd="2" destOrd="0" presId="urn:microsoft.com/office/officeart/2005/8/layout/hProcess11"/>
    <dgm:cxn modelId="{7A00FB04-E688-4753-BC32-A9227E189567}" type="presParOf" srcId="{4441932C-FD15-4501-A047-4E7FEB9A48EB}" destId="{27C91CF5-A968-4459-9F36-5994FDFFFA4A}" srcOrd="1" destOrd="0" presId="urn:microsoft.com/office/officeart/2005/8/layout/hProcess11"/>
    <dgm:cxn modelId="{BCF26BA8-F998-4F70-AD01-CE1099AD9EA6}" type="presParOf" srcId="{4441932C-FD15-4501-A047-4E7FEB9A48EB}" destId="{62ACDC39-8B6F-489F-AC12-E8F0B61B59EC}" srcOrd="2" destOrd="0" presId="urn:microsoft.com/office/officeart/2005/8/layout/hProcess11"/>
    <dgm:cxn modelId="{2F8196EC-3268-4BA1-85E5-9E4C542CFB2B}" type="presParOf" srcId="{62ACDC39-8B6F-489F-AC12-E8F0B61B59EC}" destId="{C48FB45B-E72A-4D3F-B9C1-20C1277D3E10}" srcOrd="0" destOrd="0" presId="urn:microsoft.com/office/officeart/2005/8/layout/hProcess11"/>
    <dgm:cxn modelId="{A9547C57-65C5-43F0-A11E-CDED612C62E3}" type="presParOf" srcId="{62ACDC39-8B6F-489F-AC12-E8F0B61B59EC}" destId="{9AA4FEE3-B6B7-47FF-8F9F-04640CAC146B}" srcOrd="1" destOrd="0" presId="urn:microsoft.com/office/officeart/2005/8/layout/hProcess11"/>
    <dgm:cxn modelId="{B5662127-843E-49F2-AE1C-97A9376BC2EE}" type="presParOf" srcId="{62ACDC39-8B6F-489F-AC12-E8F0B61B59EC}" destId="{C682927C-149D-445C-956A-91C598A1B4DF}" srcOrd="2" destOrd="0" presId="urn:microsoft.com/office/officeart/2005/8/layout/hProcess11"/>
    <dgm:cxn modelId="{ED7EB645-7B51-4ED6-84F5-59766B9DE1A4}" type="presParOf" srcId="{4441932C-FD15-4501-A047-4E7FEB9A48EB}" destId="{89ABD769-FB7C-4F92-A11E-5A6631569208}" srcOrd="3" destOrd="0" presId="urn:microsoft.com/office/officeart/2005/8/layout/hProcess11"/>
    <dgm:cxn modelId="{D5865223-0A9C-4C71-B2DE-9942C9E9CAAB}" type="presParOf" srcId="{4441932C-FD15-4501-A047-4E7FEB9A48EB}" destId="{CAB437CB-CAF9-433C-810C-6A4BF3D9888F}" srcOrd="4" destOrd="0" presId="urn:microsoft.com/office/officeart/2005/8/layout/hProcess11"/>
    <dgm:cxn modelId="{E2BCEB79-B78A-49BC-8DE4-397C284A9F16}" type="presParOf" srcId="{CAB437CB-CAF9-433C-810C-6A4BF3D9888F}" destId="{3F42DADE-8C9B-4282-8048-82348076158B}" srcOrd="0" destOrd="0" presId="urn:microsoft.com/office/officeart/2005/8/layout/hProcess11"/>
    <dgm:cxn modelId="{34655F07-5C77-47A3-911B-07509F5FA603}" type="presParOf" srcId="{CAB437CB-CAF9-433C-810C-6A4BF3D9888F}" destId="{61E94A7D-A687-450A-A2E1-4376B6A33AA1}" srcOrd="1" destOrd="0" presId="urn:microsoft.com/office/officeart/2005/8/layout/hProcess11"/>
    <dgm:cxn modelId="{B7251715-1E2C-4130-8209-94C02BD53D9C}" type="presParOf" srcId="{CAB437CB-CAF9-433C-810C-6A4BF3D9888F}" destId="{1F00DB0E-105B-4C4B-868A-D645AECBF500}" srcOrd="2" destOrd="0" presId="urn:microsoft.com/office/officeart/2005/8/layout/hProcess11"/>
    <dgm:cxn modelId="{031B0C85-B193-4804-B179-9F08CE77649F}" type="presParOf" srcId="{4441932C-FD15-4501-A047-4E7FEB9A48EB}" destId="{F7EC0912-A064-4917-8EF8-EF127476AD5F}" srcOrd="5" destOrd="0" presId="urn:microsoft.com/office/officeart/2005/8/layout/hProcess11"/>
    <dgm:cxn modelId="{18FA4146-66E0-4DA8-9091-A45BEE9919C3}" type="presParOf" srcId="{4441932C-FD15-4501-A047-4E7FEB9A48EB}" destId="{3C6C2EC2-9C25-4A79-98BA-5C97A1BAB4B3}" srcOrd="6" destOrd="0" presId="urn:microsoft.com/office/officeart/2005/8/layout/hProcess11"/>
    <dgm:cxn modelId="{BD6F84A8-070A-484C-B6E5-2D5F91EF0C25}" type="presParOf" srcId="{3C6C2EC2-9C25-4A79-98BA-5C97A1BAB4B3}" destId="{03DDC8F1-849B-46D9-B8EB-A9B42D126195}" srcOrd="0" destOrd="0" presId="urn:microsoft.com/office/officeart/2005/8/layout/hProcess11"/>
    <dgm:cxn modelId="{A198B950-B11E-4D28-94C2-5276BB8316A0}" type="presParOf" srcId="{3C6C2EC2-9C25-4A79-98BA-5C97A1BAB4B3}" destId="{729CF979-109B-4416-B346-3788724C06C8}" srcOrd="1" destOrd="0" presId="urn:microsoft.com/office/officeart/2005/8/layout/hProcess11"/>
    <dgm:cxn modelId="{616A793A-8064-4CFE-86F5-9369F3D85AF0}" type="presParOf" srcId="{3C6C2EC2-9C25-4A79-98BA-5C97A1BAB4B3}" destId="{B8C3D8BA-3EF7-4973-90FD-CBF240FFD8BC}" srcOrd="2" destOrd="0" presId="urn:microsoft.com/office/officeart/2005/8/layout/hProcess11"/>
    <dgm:cxn modelId="{34875751-A0BE-4436-B4BE-BA47B36DA731}" type="presParOf" srcId="{4441932C-FD15-4501-A047-4E7FEB9A48EB}" destId="{2AA792C3-F7B0-44AC-B91A-5B3A68D129E2}" srcOrd="7" destOrd="0" presId="urn:microsoft.com/office/officeart/2005/8/layout/hProcess11"/>
    <dgm:cxn modelId="{A5D95CAC-B6FF-4F11-B017-A29C895C1F73}" type="presParOf" srcId="{4441932C-FD15-4501-A047-4E7FEB9A48EB}" destId="{937ACC3A-838A-4395-97B2-4D3A64EBFF67}" srcOrd="8" destOrd="0" presId="urn:microsoft.com/office/officeart/2005/8/layout/hProcess11"/>
    <dgm:cxn modelId="{47B67B7B-0CBB-472E-8889-912C84CCF26C}" type="presParOf" srcId="{937ACC3A-838A-4395-97B2-4D3A64EBFF67}" destId="{F24FBFEC-50CD-4EAD-BF0A-2315C235D71C}" srcOrd="0" destOrd="0" presId="urn:microsoft.com/office/officeart/2005/8/layout/hProcess11"/>
    <dgm:cxn modelId="{D941011F-D548-475A-BDDC-B4D88B818252}" type="presParOf" srcId="{937ACC3A-838A-4395-97B2-4D3A64EBFF67}" destId="{C32AF36D-9EDD-4A46-87E2-7AA04E532B37}" srcOrd="1" destOrd="0" presId="urn:microsoft.com/office/officeart/2005/8/layout/hProcess11"/>
    <dgm:cxn modelId="{7F6D5FF0-DA81-4C4E-9936-E5969BA1818D}" type="presParOf" srcId="{937ACC3A-838A-4395-97B2-4D3A64EBFF67}" destId="{995F6959-4400-4752-8CE5-48266FD2170A}" srcOrd="2" destOrd="0" presId="urn:microsoft.com/office/officeart/2005/8/layout/hProcess1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1F66196-DD7B-43E8-88A2-5718EB1AD829}" type="doc">
      <dgm:prSet loTypeId="urn:microsoft.com/office/officeart/2024/layout/BulletTimelineInverted" loCatId="timeline" qsTypeId="urn:microsoft.com/office/officeart/2005/8/quickstyle/simple1" qsCatId="simple" csTypeId="urn:microsoft.com/office/officeart/2005/8/colors/accent2_1" csCatId="accent2" phldr="1"/>
      <dgm:spPr/>
      <dgm:t>
        <a:bodyPr/>
        <a:lstStyle/>
        <a:p>
          <a:endParaRPr lang="en-GB"/>
        </a:p>
      </dgm:t>
    </dgm:pt>
    <dgm:pt modelId="{0B85A805-0E02-49EB-A736-E15EE7068BA4}">
      <dgm:prSet phldrT="Add an event" custT="1"/>
      <dgm:spPr/>
      <dgm:t>
        <a:bodyPr/>
        <a:lstStyle/>
        <a:p>
          <a:pPr algn="ctr">
            <a:defRPr b="1"/>
          </a:pPr>
          <a:r>
            <a:rPr lang="en-GB" sz="800"/>
            <a:t>999 Call</a:t>
          </a:r>
        </a:p>
      </dgm:t>
    </dgm:pt>
    <dgm:pt modelId="{1ACB1E43-D119-4B20-A46B-F8B8EF87C6A3}" type="parTrans" cxnId="{A753C618-52DB-4862-BB1C-EB72CA8ED60A}">
      <dgm:prSet/>
      <dgm:spPr/>
      <dgm:t>
        <a:bodyPr/>
        <a:lstStyle/>
        <a:p>
          <a:pPr algn="ctr"/>
          <a:endParaRPr lang="en-GB" sz="800"/>
        </a:p>
      </dgm:t>
    </dgm:pt>
    <dgm:pt modelId="{AE8AD8DC-7EEB-45BB-8400-CD4DE000AEC9}" type="sibTrans" cxnId="{A753C618-52DB-4862-BB1C-EB72CA8ED60A}">
      <dgm:prSet/>
      <dgm:spPr/>
      <dgm:t>
        <a:bodyPr/>
        <a:lstStyle/>
        <a:p>
          <a:pPr algn="ctr"/>
          <a:endParaRPr lang="en-GB" sz="800"/>
        </a:p>
      </dgm:t>
    </dgm:pt>
    <dgm:pt modelId="{3A6729B0-C218-4D01-9E99-2DA65D5A46FE}">
      <dgm:prSet phldrT="Write a description of the significance of this event" custT="1"/>
      <dgm:spPr/>
      <dgm:t>
        <a:bodyPr/>
        <a:lstStyle/>
        <a:p>
          <a:pPr algn="ctr">
            <a:defRPr b="1"/>
          </a:pPr>
          <a:r>
            <a:rPr lang="en-GB" sz="800"/>
            <a:t>Triage</a:t>
          </a:r>
        </a:p>
      </dgm:t>
    </dgm:pt>
    <dgm:pt modelId="{30B4B015-2CAE-43D9-AE95-D0A181D7F5C3}" type="parTrans" cxnId="{004AA1CF-575B-4C42-83F0-870B5486BE64}">
      <dgm:prSet/>
      <dgm:spPr/>
      <dgm:t>
        <a:bodyPr/>
        <a:lstStyle/>
        <a:p>
          <a:pPr algn="ctr"/>
          <a:endParaRPr lang="en-GB" sz="800"/>
        </a:p>
      </dgm:t>
    </dgm:pt>
    <dgm:pt modelId="{3C9FFFC9-ACD9-46D0-BF7D-819241B6CC00}" type="sibTrans" cxnId="{004AA1CF-575B-4C42-83F0-870B5486BE64}">
      <dgm:prSet/>
      <dgm:spPr/>
      <dgm:t>
        <a:bodyPr/>
        <a:lstStyle/>
        <a:p>
          <a:pPr algn="ctr"/>
          <a:endParaRPr lang="en-GB" sz="800"/>
        </a:p>
      </dgm:t>
    </dgm:pt>
    <dgm:pt modelId="{23C13152-87EE-41F1-8C88-D98C5D6D0A0F}">
      <dgm:prSet phldrT="Write a description of the significance of this event" custT="1"/>
      <dgm:spPr/>
      <dgm:t>
        <a:bodyPr/>
        <a:lstStyle/>
        <a:p>
          <a:pPr algn="ctr">
            <a:defRPr b="1"/>
          </a:pPr>
          <a:r>
            <a:rPr lang="en-GB" sz="800"/>
            <a:t>Ambulance Dispatched</a:t>
          </a:r>
        </a:p>
      </dgm:t>
    </dgm:pt>
    <dgm:pt modelId="{F0F99CBE-361D-42F8-8ABE-0827C5B9ADC3}" type="parTrans" cxnId="{25C2D00A-5A43-4769-9A05-971A0B9D1C2A}">
      <dgm:prSet/>
      <dgm:spPr/>
      <dgm:t>
        <a:bodyPr/>
        <a:lstStyle/>
        <a:p>
          <a:pPr algn="ctr"/>
          <a:endParaRPr lang="en-GB" sz="800"/>
        </a:p>
      </dgm:t>
    </dgm:pt>
    <dgm:pt modelId="{036004BA-EDA6-4BDD-9867-4E5D08AB703E}" type="sibTrans" cxnId="{25C2D00A-5A43-4769-9A05-971A0B9D1C2A}">
      <dgm:prSet/>
      <dgm:spPr/>
      <dgm:t>
        <a:bodyPr/>
        <a:lstStyle/>
        <a:p>
          <a:pPr algn="ctr"/>
          <a:endParaRPr lang="en-GB" sz="800"/>
        </a:p>
      </dgm:t>
    </dgm:pt>
    <dgm:pt modelId="{5CAC1D8D-566D-4740-9ED6-1D6555ADBD33}">
      <dgm:prSet phldrT="Write a description of the significance of this event" custT="1"/>
      <dgm:spPr/>
      <dgm:t>
        <a:bodyPr/>
        <a:lstStyle/>
        <a:p>
          <a:pPr algn="ctr">
            <a:defRPr b="1"/>
          </a:pPr>
          <a:r>
            <a:rPr lang="en-GB" sz="800"/>
            <a:t>Patient Care</a:t>
          </a:r>
        </a:p>
      </dgm:t>
    </dgm:pt>
    <dgm:pt modelId="{1303714C-64F7-4C7D-B809-C35FDA376753}" type="parTrans" cxnId="{D6A51E80-7037-4451-8EE0-83310D2CDDEA}">
      <dgm:prSet/>
      <dgm:spPr/>
      <dgm:t>
        <a:bodyPr/>
        <a:lstStyle/>
        <a:p>
          <a:pPr algn="ctr"/>
          <a:endParaRPr lang="en-GB" sz="800"/>
        </a:p>
      </dgm:t>
    </dgm:pt>
    <dgm:pt modelId="{F496B7EA-94F5-4745-8C53-98B16268E56A}" type="sibTrans" cxnId="{D6A51E80-7037-4451-8EE0-83310D2CDDEA}">
      <dgm:prSet/>
      <dgm:spPr/>
      <dgm:t>
        <a:bodyPr/>
        <a:lstStyle/>
        <a:p>
          <a:pPr algn="ctr"/>
          <a:endParaRPr lang="en-GB" sz="800"/>
        </a:p>
      </dgm:t>
    </dgm:pt>
    <dgm:pt modelId="{1A62DA63-7889-464D-AB4A-AB2ABEB126F1}" type="pres">
      <dgm:prSet presAssocID="{01F66196-DD7B-43E8-88A2-5718EB1AD829}" presName="root" presStyleCnt="0">
        <dgm:presLayoutVars>
          <dgm:dir/>
          <dgm:animLvl val="lvl"/>
        </dgm:presLayoutVars>
      </dgm:prSet>
      <dgm:spPr/>
    </dgm:pt>
    <dgm:pt modelId="{A6D4315F-B985-4BC8-BCA9-7D3CED783920}" type="pres">
      <dgm:prSet presAssocID="{01F66196-DD7B-43E8-88A2-5718EB1AD829}" presName="divider" presStyleCnt="0"/>
      <dgm:spPr/>
    </dgm:pt>
    <dgm:pt modelId="{F51030CB-CFFD-43CC-9AB6-913997230FF0}" type="pres">
      <dgm:prSet presAssocID="{01F66196-DD7B-43E8-88A2-5718EB1AD829}" presName="rectBar" presStyleLbl="dkBgShp" presStyleIdx="0" presStyleCnt="6"/>
      <dgm:spPr>
        <a:gradFill rotWithShape="0">
          <a:gsLst>
            <a:gs pos="0">
              <a:schemeClr val="accent2">
                <a:tint val="76000"/>
              </a:schemeClr>
            </a:gs>
            <a:gs pos="100000">
              <a:schemeClr val="accent2">
                <a:tint val="76000"/>
              </a:schemeClr>
            </a:gs>
          </a:gsLst>
          <a:lin ang="0" scaled="0"/>
        </a:gradFill>
        <a:ln>
          <a:noFill/>
        </a:ln>
        <a:effectLst/>
      </dgm:spPr>
    </dgm:pt>
    <dgm:pt modelId="{662CD87B-2AA8-4307-BB2D-4684C18ED74B}" type="pres">
      <dgm:prSet presAssocID="{01F66196-DD7B-43E8-88A2-5718EB1AD829}" presName="chevronArrow" presStyleLbl="dkBgShp" presStyleIdx="1" presStyleCnt="6"/>
      <dgm:spPr>
        <a:gradFill rotWithShape="0">
          <a:gsLst>
            <a:gs pos="0">
              <a:schemeClr val="accent2">
                <a:tint val="76000"/>
              </a:schemeClr>
            </a:gs>
            <a:gs pos="100000">
              <a:schemeClr val="accent2">
                <a:tint val="76000"/>
              </a:schemeClr>
            </a:gs>
          </a:gsLst>
          <a:lin ang="0" scaled="0"/>
        </a:gradFill>
        <a:ln>
          <a:noFill/>
        </a:ln>
        <a:effectLst/>
      </dgm:spPr>
    </dgm:pt>
    <dgm:pt modelId="{8DD11EA8-1545-4652-8A21-6F2B82A459AF}" type="pres">
      <dgm:prSet presAssocID="{01F66196-DD7B-43E8-88A2-5718EB1AD829}" presName="nodes" presStyleCnt="0">
        <dgm:presLayoutVars>
          <dgm:chMax/>
          <dgm:chPref/>
          <dgm:animLvl val="lvl"/>
        </dgm:presLayoutVars>
      </dgm:prSet>
      <dgm:spPr/>
    </dgm:pt>
    <dgm:pt modelId="{0D01256B-1F9F-47BD-B090-2333BC34F07D}" type="pres">
      <dgm:prSet presAssocID="{0B85A805-0E02-49EB-A736-E15EE7068BA4}" presName="composite" presStyleCnt="0"/>
      <dgm:spPr/>
    </dgm:pt>
    <dgm:pt modelId="{F10B7BE8-F6CE-4E75-ABA4-9AC024681145}" type="pres">
      <dgm:prSet presAssocID="{0B85A805-0E02-49EB-A736-E15EE7068BA4}" presName="DropPinPlaceHolder" presStyleCnt="0"/>
      <dgm:spPr/>
    </dgm:pt>
    <dgm:pt modelId="{81CF0352-9B9C-4E52-8861-947C9E3E17F7}" type="pres">
      <dgm:prSet presAssocID="{0B85A805-0E02-49EB-A736-E15EE7068BA4}" presName="DropPin" presStyleLbl="alignNode1" presStyleIdx="0" presStyleCnt="4"/>
      <dgm:spPr/>
    </dgm:pt>
    <dgm:pt modelId="{2A4F2A4D-DDC0-4A7C-93F7-4309CF3B34B4}" type="pres">
      <dgm:prSet presAssocID="{0B85A805-0E02-49EB-A736-E15EE7068BA4}" presName="Ellipse" presStyleLbl="fgAcc1" presStyleIdx="0" presStyleCnt="4"/>
      <dgm:spPr/>
    </dgm:pt>
    <dgm:pt modelId="{ED7F40A2-6153-4633-9C39-A5963DD957B2}" type="pres">
      <dgm:prSet presAssocID="{0B85A805-0E02-49EB-A736-E15EE7068BA4}" presName="L2TextContainer" presStyleLbl="revTx" presStyleIdx="0" presStyleCnt="8">
        <dgm:presLayoutVars>
          <dgm:bulletEnabled val="1"/>
        </dgm:presLayoutVars>
      </dgm:prSet>
      <dgm:spPr/>
    </dgm:pt>
    <dgm:pt modelId="{C2FE322F-A50C-4629-87D5-2757006B47F8}" type="pres">
      <dgm:prSet presAssocID="{0B85A805-0E02-49EB-A736-E15EE7068BA4}" presName="L1TextContainer" presStyleLbl="revTx" presStyleIdx="1" presStyleCnt="8">
        <dgm:presLayoutVars>
          <dgm:chMax val="1"/>
          <dgm:chPref val="1"/>
          <dgm:bulletEnabled val="1"/>
        </dgm:presLayoutVars>
      </dgm:prSet>
      <dgm:spPr/>
    </dgm:pt>
    <dgm:pt modelId="{78CED4CC-CF74-40F0-95C6-461A63F6FFAE}" type="pres">
      <dgm:prSet presAssocID="{0B85A805-0E02-49EB-A736-E15EE7068BA4}" presName="ConnectLine" presStyleLbl="dkBgShp" presStyleIdx="2" presStyleCnt="6"/>
      <dgm:spPr/>
    </dgm:pt>
    <dgm:pt modelId="{AE047ADF-35BF-41A7-ACE0-DE0D9AE31404}" type="pres">
      <dgm:prSet presAssocID="{0B85A805-0E02-49EB-A736-E15EE7068BA4}" presName="ConnectorPoint" presStyleCnt="0"/>
      <dgm:spPr/>
    </dgm:pt>
    <dgm:pt modelId="{F9997A25-F152-4B65-9750-6E3CD5F2E44C}" type="pres">
      <dgm:prSet presAssocID="{0B85A805-0E02-49EB-A736-E15EE7068BA4}" presName="Bullet" presStyleLbl="lnNode1" presStyleIdx="0" presStyleCnt="4"/>
      <dgm:spPr/>
    </dgm:pt>
    <dgm:pt modelId="{0090FD53-76AA-42F6-84B9-7688F4E008B7}" type="pres">
      <dgm:prSet presAssocID="{0B85A805-0E02-49EB-A736-E15EE7068BA4}" presName="EmptyPlaceHolder" presStyleCnt="0"/>
      <dgm:spPr/>
    </dgm:pt>
    <dgm:pt modelId="{5E53AFA5-AE18-4993-840A-600875D39D0D}" type="pres">
      <dgm:prSet presAssocID="{AE8AD8DC-7EEB-45BB-8400-CD4DE000AEC9}" presName="spaceBetweenRectangles" presStyleCnt="0"/>
      <dgm:spPr/>
    </dgm:pt>
    <dgm:pt modelId="{F2E0EA36-50C7-4AD1-A11D-FF46C332A5F5}" type="pres">
      <dgm:prSet presAssocID="{3A6729B0-C218-4D01-9E99-2DA65D5A46FE}" presName="composite" presStyleCnt="0"/>
      <dgm:spPr/>
    </dgm:pt>
    <dgm:pt modelId="{0AC7021F-E392-4495-B0F6-4791C3E08C09}" type="pres">
      <dgm:prSet presAssocID="{3A6729B0-C218-4D01-9E99-2DA65D5A46FE}" presName="DropPinPlaceHolder" presStyleCnt="0"/>
      <dgm:spPr/>
    </dgm:pt>
    <dgm:pt modelId="{6D5BC3B8-34FE-4C67-AD40-857FAECA3CB5}" type="pres">
      <dgm:prSet presAssocID="{3A6729B0-C218-4D01-9E99-2DA65D5A46FE}" presName="DropPin" presStyleLbl="alignNode1" presStyleIdx="1" presStyleCnt="4"/>
      <dgm:spPr/>
    </dgm:pt>
    <dgm:pt modelId="{6F9DE2B9-2EA1-4233-8560-8C8E649DBABC}" type="pres">
      <dgm:prSet presAssocID="{3A6729B0-C218-4D01-9E99-2DA65D5A46FE}" presName="Ellipse" presStyleLbl="fgAcc1" presStyleIdx="1" presStyleCnt="4"/>
      <dgm:spPr/>
    </dgm:pt>
    <dgm:pt modelId="{B22C2212-C8CA-41B8-86B0-3DC39A1BFD2C}" type="pres">
      <dgm:prSet presAssocID="{3A6729B0-C218-4D01-9E99-2DA65D5A46FE}" presName="L2TextContainer" presStyleLbl="revTx" presStyleIdx="2" presStyleCnt="8">
        <dgm:presLayoutVars>
          <dgm:bulletEnabled val="1"/>
        </dgm:presLayoutVars>
      </dgm:prSet>
      <dgm:spPr/>
    </dgm:pt>
    <dgm:pt modelId="{192CB435-6D35-424E-BC26-86953DF3E339}" type="pres">
      <dgm:prSet presAssocID="{3A6729B0-C218-4D01-9E99-2DA65D5A46FE}" presName="L1TextContainer" presStyleLbl="revTx" presStyleIdx="3" presStyleCnt="8">
        <dgm:presLayoutVars>
          <dgm:chMax val="1"/>
          <dgm:chPref val="1"/>
          <dgm:bulletEnabled val="1"/>
        </dgm:presLayoutVars>
      </dgm:prSet>
      <dgm:spPr/>
    </dgm:pt>
    <dgm:pt modelId="{86A8706D-556F-4426-9851-9B5E78F385D3}" type="pres">
      <dgm:prSet presAssocID="{3A6729B0-C218-4D01-9E99-2DA65D5A46FE}" presName="ConnectLine" presStyleLbl="dkBgShp" presStyleIdx="3" presStyleCnt="6"/>
      <dgm:spPr/>
    </dgm:pt>
    <dgm:pt modelId="{D1A67A9E-70BC-4EFD-978B-CC396C5E11D2}" type="pres">
      <dgm:prSet presAssocID="{3A6729B0-C218-4D01-9E99-2DA65D5A46FE}" presName="ConnectorPoint" presStyleCnt="0"/>
      <dgm:spPr/>
    </dgm:pt>
    <dgm:pt modelId="{A7BE6F9C-2D6B-4C75-870C-A3C340097656}" type="pres">
      <dgm:prSet presAssocID="{3A6729B0-C218-4D01-9E99-2DA65D5A46FE}" presName="Bullet" presStyleLbl="lnNode1" presStyleIdx="1" presStyleCnt="4"/>
      <dgm:spPr/>
    </dgm:pt>
    <dgm:pt modelId="{EB6104F4-53B3-49F4-BEE6-69B574CF0367}" type="pres">
      <dgm:prSet presAssocID="{3A6729B0-C218-4D01-9E99-2DA65D5A46FE}" presName="EmptyPlaceHolder" presStyleCnt="0"/>
      <dgm:spPr/>
    </dgm:pt>
    <dgm:pt modelId="{AB6EA6F6-A2FF-4337-A143-5E60AFCAEB9B}" type="pres">
      <dgm:prSet presAssocID="{3C9FFFC9-ACD9-46D0-BF7D-819241B6CC00}" presName="spaceBetweenRectangles" presStyleCnt="0"/>
      <dgm:spPr/>
    </dgm:pt>
    <dgm:pt modelId="{1489AB57-73A5-4072-A551-5C5A8D024BA1}" type="pres">
      <dgm:prSet presAssocID="{23C13152-87EE-41F1-8C88-D98C5D6D0A0F}" presName="composite" presStyleCnt="0"/>
      <dgm:spPr/>
    </dgm:pt>
    <dgm:pt modelId="{0FB95123-EA8A-4492-8BC0-6F16873B9AC1}" type="pres">
      <dgm:prSet presAssocID="{23C13152-87EE-41F1-8C88-D98C5D6D0A0F}" presName="DropPinPlaceHolder" presStyleCnt="0"/>
      <dgm:spPr/>
    </dgm:pt>
    <dgm:pt modelId="{05162EDE-A671-444D-9D2B-F54A22DF34AD}" type="pres">
      <dgm:prSet presAssocID="{23C13152-87EE-41F1-8C88-D98C5D6D0A0F}" presName="DropPin" presStyleLbl="alignNode1" presStyleIdx="2" presStyleCnt="4"/>
      <dgm:spPr/>
    </dgm:pt>
    <dgm:pt modelId="{359CF321-CC45-482B-AA25-06B14C07C651}" type="pres">
      <dgm:prSet presAssocID="{23C13152-87EE-41F1-8C88-D98C5D6D0A0F}" presName="Ellipse" presStyleLbl="fgAcc1" presStyleIdx="2" presStyleCnt="4"/>
      <dgm:spPr/>
    </dgm:pt>
    <dgm:pt modelId="{0657FA2E-AC02-4A99-9336-489F94A12920}" type="pres">
      <dgm:prSet presAssocID="{23C13152-87EE-41F1-8C88-D98C5D6D0A0F}" presName="L2TextContainer" presStyleLbl="revTx" presStyleIdx="4" presStyleCnt="8">
        <dgm:presLayoutVars>
          <dgm:bulletEnabled val="1"/>
        </dgm:presLayoutVars>
      </dgm:prSet>
      <dgm:spPr/>
    </dgm:pt>
    <dgm:pt modelId="{D11A5B80-C17B-4A37-9F72-3DEDD5ED8F07}" type="pres">
      <dgm:prSet presAssocID="{23C13152-87EE-41F1-8C88-D98C5D6D0A0F}" presName="L1TextContainer" presStyleLbl="revTx" presStyleIdx="5" presStyleCnt="8">
        <dgm:presLayoutVars>
          <dgm:chMax val="1"/>
          <dgm:chPref val="1"/>
          <dgm:bulletEnabled val="1"/>
        </dgm:presLayoutVars>
      </dgm:prSet>
      <dgm:spPr/>
    </dgm:pt>
    <dgm:pt modelId="{62444CE9-D406-445D-8ADC-DFF1810C8827}" type="pres">
      <dgm:prSet presAssocID="{23C13152-87EE-41F1-8C88-D98C5D6D0A0F}" presName="ConnectLine" presStyleLbl="dkBgShp" presStyleIdx="4" presStyleCnt="6"/>
      <dgm:spPr/>
    </dgm:pt>
    <dgm:pt modelId="{4F0DBF09-BF4B-439C-9DD6-6964955D6B2E}" type="pres">
      <dgm:prSet presAssocID="{23C13152-87EE-41F1-8C88-D98C5D6D0A0F}" presName="ConnectorPoint" presStyleCnt="0"/>
      <dgm:spPr/>
    </dgm:pt>
    <dgm:pt modelId="{FCADB6A9-D8FD-49B6-AC8B-7349A8E351D8}" type="pres">
      <dgm:prSet presAssocID="{23C13152-87EE-41F1-8C88-D98C5D6D0A0F}" presName="Bullet" presStyleLbl="lnNode1" presStyleIdx="2" presStyleCnt="4"/>
      <dgm:spPr/>
    </dgm:pt>
    <dgm:pt modelId="{6A1A0B48-CD50-472C-9F0F-DBE01B925EA4}" type="pres">
      <dgm:prSet presAssocID="{23C13152-87EE-41F1-8C88-D98C5D6D0A0F}" presName="EmptyPlaceHolder" presStyleCnt="0"/>
      <dgm:spPr/>
    </dgm:pt>
    <dgm:pt modelId="{ABF86C93-B060-4F40-9AD6-A978CA57C2C5}" type="pres">
      <dgm:prSet presAssocID="{036004BA-EDA6-4BDD-9867-4E5D08AB703E}" presName="spaceBetweenRectangles" presStyleCnt="0"/>
      <dgm:spPr/>
    </dgm:pt>
    <dgm:pt modelId="{B9CB8CB1-8C2A-4AD2-9846-831693C04FF8}" type="pres">
      <dgm:prSet presAssocID="{5CAC1D8D-566D-4740-9ED6-1D6555ADBD33}" presName="composite" presStyleCnt="0"/>
      <dgm:spPr/>
    </dgm:pt>
    <dgm:pt modelId="{A30EA991-20E9-4311-8222-73596EB9B312}" type="pres">
      <dgm:prSet presAssocID="{5CAC1D8D-566D-4740-9ED6-1D6555ADBD33}" presName="DropPinPlaceHolder" presStyleCnt="0"/>
      <dgm:spPr/>
    </dgm:pt>
    <dgm:pt modelId="{667A73F6-B0BF-438C-A03D-C188512F2FEF}" type="pres">
      <dgm:prSet presAssocID="{5CAC1D8D-566D-4740-9ED6-1D6555ADBD33}" presName="DropPin" presStyleLbl="alignNode1" presStyleIdx="3" presStyleCnt="4"/>
      <dgm:spPr/>
    </dgm:pt>
    <dgm:pt modelId="{33CC4E15-78C5-4679-8EDB-1BF69252164A}" type="pres">
      <dgm:prSet presAssocID="{5CAC1D8D-566D-4740-9ED6-1D6555ADBD33}" presName="Ellipse" presStyleLbl="fgAcc1" presStyleIdx="3" presStyleCnt="4"/>
      <dgm:spPr/>
    </dgm:pt>
    <dgm:pt modelId="{7BABA38A-7DBF-4A6A-AEF1-1D611D3AAE15}" type="pres">
      <dgm:prSet presAssocID="{5CAC1D8D-566D-4740-9ED6-1D6555ADBD33}" presName="L2TextContainer" presStyleLbl="revTx" presStyleIdx="6" presStyleCnt="8">
        <dgm:presLayoutVars>
          <dgm:bulletEnabled val="1"/>
        </dgm:presLayoutVars>
      </dgm:prSet>
      <dgm:spPr/>
    </dgm:pt>
    <dgm:pt modelId="{EFEFDB52-9DF9-4B16-A2CC-93BEBB483249}" type="pres">
      <dgm:prSet presAssocID="{5CAC1D8D-566D-4740-9ED6-1D6555ADBD33}" presName="L1TextContainer" presStyleLbl="revTx" presStyleIdx="7" presStyleCnt="8">
        <dgm:presLayoutVars>
          <dgm:chMax val="1"/>
          <dgm:chPref val="1"/>
          <dgm:bulletEnabled val="1"/>
        </dgm:presLayoutVars>
      </dgm:prSet>
      <dgm:spPr/>
    </dgm:pt>
    <dgm:pt modelId="{F90A6A37-083D-47E5-A33F-715AABF776B7}" type="pres">
      <dgm:prSet presAssocID="{5CAC1D8D-566D-4740-9ED6-1D6555ADBD33}" presName="ConnectLine" presStyleLbl="dkBgShp" presStyleIdx="5" presStyleCnt="6"/>
      <dgm:spPr/>
    </dgm:pt>
    <dgm:pt modelId="{1A7F2300-85DD-481A-ABC0-CE1B0CFFAD06}" type="pres">
      <dgm:prSet presAssocID="{5CAC1D8D-566D-4740-9ED6-1D6555ADBD33}" presName="ConnectorPoint" presStyleCnt="0"/>
      <dgm:spPr/>
    </dgm:pt>
    <dgm:pt modelId="{0327D2EB-C2AB-471C-8516-EDFDC9DB3D62}" type="pres">
      <dgm:prSet presAssocID="{5CAC1D8D-566D-4740-9ED6-1D6555ADBD33}" presName="Bullet" presStyleLbl="lnNode1" presStyleIdx="3" presStyleCnt="4"/>
      <dgm:spPr/>
    </dgm:pt>
    <dgm:pt modelId="{EDEDC050-4AB9-4DD6-86F3-ABC5F5138D5A}" type="pres">
      <dgm:prSet presAssocID="{5CAC1D8D-566D-4740-9ED6-1D6555ADBD33}" presName="EmptyPlaceHolder" presStyleCnt="0"/>
      <dgm:spPr/>
    </dgm:pt>
  </dgm:ptLst>
  <dgm:cxnLst>
    <dgm:cxn modelId="{25C2D00A-5A43-4769-9A05-971A0B9D1C2A}" srcId="{01F66196-DD7B-43E8-88A2-5718EB1AD829}" destId="{23C13152-87EE-41F1-8C88-D98C5D6D0A0F}" srcOrd="2" destOrd="0" parTransId="{F0F99CBE-361D-42F8-8ABE-0827C5B9ADC3}" sibTransId="{036004BA-EDA6-4BDD-9867-4E5D08AB703E}"/>
    <dgm:cxn modelId="{A753C618-52DB-4862-BB1C-EB72CA8ED60A}" srcId="{01F66196-DD7B-43E8-88A2-5718EB1AD829}" destId="{0B85A805-0E02-49EB-A736-E15EE7068BA4}" srcOrd="0" destOrd="0" parTransId="{1ACB1E43-D119-4B20-A46B-F8B8EF87C6A3}" sibTransId="{AE8AD8DC-7EEB-45BB-8400-CD4DE000AEC9}"/>
    <dgm:cxn modelId="{84B8C97E-40C5-4AFF-87BC-EA5ADAC9276F}" type="presOf" srcId="{23C13152-87EE-41F1-8C88-D98C5D6D0A0F}" destId="{D11A5B80-C17B-4A37-9F72-3DEDD5ED8F07}" srcOrd="0" destOrd="0" presId="urn:microsoft.com/office/officeart/2024/layout/BulletTimelineInverted"/>
    <dgm:cxn modelId="{D6A51E80-7037-4451-8EE0-83310D2CDDEA}" srcId="{01F66196-DD7B-43E8-88A2-5718EB1AD829}" destId="{5CAC1D8D-566D-4740-9ED6-1D6555ADBD33}" srcOrd="3" destOrd="0" parTransId="{1303714C-64F7-4C7D-B809-C35FDA376753}" sibTransId="{F496B7EA-94F5-4745-8C53-98B16268E56A}"/>
    <dgm:cxn modelId="{8B302C8C-2E8C-4A3C-97B2-63130C97C3DE}" type="presOf" srcId="{01F66196-DD7B-43E8-88A2-5718EB1AD829}" destId="{1A62DA63-7889-464D-AB4A-AB2ABEB126F1}" srcOrd="0" destOrd="0" presId="urn:microsoft.com/office/officeart/2024/layout/BulletTimelineInverted"/>
    <dgm:cxn modelId="{AA64F5A9-7F4C-43A7-B341-168CBCA1989B}" type="presOf" srcId="{0B85A805-0E02-49EB-A736-E15EE7068BA4}" destId="{C2FE322F-A50C-4629-87D5-2757006B47F8}" srcOrd="0" destOrd="0" presId="urn:microsoft.com/office/officeart/2024/layout/BulletTimelineInverted"/>
    <dgm:cxn modelId="{1285D6C5-1695-428A-845F-B28C8C13D349}" type="presOf" srcId="{5CAC1D8D-566D-4740-9ED6-1D6555ADBD33}" destId="{EFEFDB52-9DF9-4B16-A2CC-93BEBB483249}" srcOrd="0" destOrd="0" presId="urn:microsoft.com/office/officeart/2024/layout/BulletTimelineInverted"/>
    <dgm:cxn modelId="{004AA1CF-575B-4C42-83F0-870B5486BE64}" srcId="{01F66196-DD7B-43E8-88A2-5718EB1AD829}" destId="{3A6729B0-C218-4D01-9E99-2DA65D5A46FE}" srcOrd="1" destOrd="0" parTransId="{30B4B015-2CAE-43D9-AE95-D0A181D7F5C3}" sibTransId="{3C9FFFC9-ACD9-46D0-BF7D-819241B6CC00}"/>
    <dgm:cxn modelId="{999059DC-8D5D-47D8-8A4F-F8CF7435FE0E}" type="presOf" srcId="{3A6729B0-C218-4D01-9E99-2DA65D5A46FE}" destId="{192CB435-6D35-424E-BC26-86953DF3E339}" srcOrd="0" destOrd="0" presId="urn:microsoft.com/office/officeart/2024/layout/BulletTimelineInverted"/>
    <dgm:cxn modelId="{1FAD5C36-2A51-4A52-B3A6-41C70F2E218F}" type="presParOf" srcId="{1A62DA63-7889-464D-AB4A-AB2ABEB126F1}" destId="{A6D4315F-B985-4BC8-BCA9-7D3CED783920}" srcOrd="0" destOrd="0" presId="urn:microsoft.com/office/officeart/2024/layout/BulletTimelineInverted"/>
    <dgm:cxn modelId="{78465B20-BC73-492F-911E-1AFE72B25BC6}" type="presParOf" srcId="{A6D4315F-B985-4BC8-BCA9-7D3CED783920}" destId="{F51030CB-CFFD-43CC-9AB6-913997230FF0}" srcOrd="0" destOrd="0" presId="urn:microsoft.com/office/officeart/2024/layout/BulletTimelineInverted"/>
    <dgm:cxn modelId="{743CB0E5-5E85-4BB6-8526-334909744B98}" type="presParOf" srcId="{A6D4315F-B985-4BC8-BCA9-7D3CED783920}" destId="{662CD87B-2AA8-4307-BB2D-4684C18ED74B}" srcOrd="1" destOrd="0" presId="urn:microsoft.com/office/officeart/2024/layout/BulletTimelineInverted"/>
    <dgm:cxn modelId="{B03DBC6A-4938-403B-9BED-3F5C9A7706AD}" type="presParOf" srcId="{1A62DA63-7889-464D-AB4A-AB2ABEB126F1}" destId="{8DD11EA8-1545-4652-8A21-6F2B82A459AF}" srcOrd="1" destOrd="0" presId="urn:microsoft.com/office/officeart/2024/layout/BulletTimelineInverted"/>
    <dgm:cxn modelId="{FF7AF854-78C9-4635-9C29-8A02FCB0F2F4}" type="presParOf" srcId="{8DD11EA8-1545-4652-8A21-6F2B82A459AF}" destId="{0D01256B-1F9F-47BD-B090-2333BC34F07D}" srcOrd="0" destOrd="0" presId="urn:microsoft.com/office/officeart/2024/layout/BulletTimelineInverted"/>
    <dgm:cxn modelId="{DA7EE547-8C83-43D0-84DB-691A320C6566}" type="presParOf" srcId="{0D01256B-1F9F-47BD-B090-2333BC34F07D}" destId="{F10B7BE8-F6CE-4E75-ABA4-9AC024681145}" srcOrd="0" destOrd="0" presId="urn:microsoft.com/office/officeart/2024/layout/BulletTimelineInverted"/>
    <dgm:cxn modelId="{A2B90B92-1205-4C61-A71C-5115F088E1EA}" type="presParOf" srcId="{F10B7BE8-F6CE-4E75-ABA4-9AC024681145}" destId="{81CF0352-9B9C-4E52-8861-947C9E3E17F7}" srcOrd="0" destOrd="0" presId="urn:microsoft.com/office/officeart/2024/layout/BulletTimelineInverted"/>
    <dgm:cxn modelId="{752CB1C8-BC8C-42B0-98D0-81BBD68036EF}" type="presParOf" srcId="{F10B7BE8-F6CE-4E75-ABA4-9AC024681145}" destId="{2A4F2A4D-DDC0-4A7C-93F7-4309CF3B34B4}" srcOrd="1" destOrd="0" presId="urn:microsoft.com/office/officeart/2024/layout/BulletTimelineInverted"/>
    <dgm:cxn modelId="{ADCCC5F5-FE30-432D-9398-A905F6AE69AF}" type="presParOf" srcId="{0D01256B-1F9F-47BD-B090-2333BC34F07D}" destId="{ED7F40A2-6153-4633-9C39-A5963DD957B2}" srcOrd="1" destOrd="0" presId="urn:microsoft.com/office/officeart/2024/layout/BulletTimelineInverted"/>
    <dgm:cxn modelId="{D8B2668E-0D4A-4AF1-A915-0D8F23783EA8}" type="presParOf" srcId="{0D01256B-1F9F-47BD-B090-2333BC34F07D}" destId="{C2FE322F-A50C-4629-87D5-2757006B47F8}" srcOrd="2" destOrd="0" presId="urn:microsoft.com/office/officeart/2024/layout/BulletTimelineInverted"/>
    <dgm:cxn modelId="{E1A84A84-797F-42B9-80E9-0476240A69E2}" type="presParOf" srcId="{0D01256B-1F9F-47BD-B090-2333BC34F07D}" destId="{78CED4CC-CF74-40F0-95C6-461A63F6FFAE}" srcOrd="3" destOrd="0" presId="urn:microsoft.com/office/officeart/2024/layout/BulletTimelineInverted"/>
    <dgm:cxn modelId="{30749703-31BB-4B49-BD68-B5D6EE45ACE9}" type="presParOf" srcId="{0D01256B-1F9F-47BD-B090-2333BC34F07D}" destId="{AE047ADF-35BF-41A7-ACE0-DE0D9AE31404}" srcOrd="4" destOrd="0" presId="urn:microsoft.com/office/officeart/2024/layout/BulletTimelineInverted"/>
    <dgm:cxn modelId="{6D929A15-F992-44BF-998C-CA5062FB87DE}" type="presParOf" srcId="{AE047ADF-35BF-41A7-ACE0-DE0D9AE31404}" destId="{F9997A25-F152-4B65-9750-6E3CD5F2E44C}" srcOrd="0" destOrd="0" presId="urn:microsoft.com/office/officeart/2024/layout/BulletTimelineInverted"/>
    <dgm:cxn modelId="{81F138E3-7A7A-4EB5-9F1E-AD4310C18CEA}" type="presParOf" srcId="{0D01256B-1F9F-47BD-B090-2333BC34F07D}" destId="{0090FD53-76AA-42F6-84B9-7688F4E008B7}" srcOrd="5" destOrd="0" presId="urn:microsoft.com/office/officeart/2024/layout/BulletTimelineInverted"/>
    <dgm:cxn modelId="{53883B4C-636D-48C4-9152-DAC5F181C8F4}" type="presParOf" srcId="{8DD11EA8-1545-4652-8A21-6F2B82A459AF}" destId="{5E53AFA5-AE18-4993-840A-600875D39D0D}" srcOrd="1" destOrd="0" presId="urn:microsoft.com/office/officeart/2024/layout/BulletTimelineInverted"/>
    <dgm:cxn modelId="{D63387D1-7DF0-4B62-A1A8-EB7567F21E3D}" type="presParOf" srcId="{8DD11EA8-1545-4652-8A21-6F2B82A459AF}" destId="{F2E0EA36-50C7-4AD1-A11D-FF46C332A5F5}" srcOrd="2" destOrd="0" presId="urn:microsoft.com/office/officeart/2024/layout/BulletTimelineInverted"/>
    <dgm:cxn modelId="{0777B3F2-B84F-4235-B569-A3B213F645E2}" type="presParOf" srcId="{F2E0EA36-50C7-4AD1-A11D-FF46C332A5F5}" destId="{0AC7021F-E392-4495-B0F6-4791C3E08C09}" srcOrd="0" destOrd="0" presId="urn:microsoft.com/office/officeart/2024/layout/BulletTimelineInverted"/>
    <dgm:cxn modelId="{4FDB3988-8AC0-494F-AB92-5EFC66EC8D4B}" type="presParOf" srcId="{0AC7021F-E392-4495-B0F6-4791C3E08C09}" destId="{6D5BC3B8-34FE-4C67-AD40-857FAECA3CB5}" srcOrd="0" destOrd="0" presId="urn:microsoft.com/office/officeart/2024/layout/BulletTimelineInverted"/>
    <dgm:cxn modelId="{412D9683-6A4D-4C73-9112-1EAADF96884F}" type="presParOf" srcId="{0AC7021F-E392-4495-B0F6-4791C3E08C09}" destId="{6F9DE2B9-2EA1-4233-8560-8C8E649DBABC}" srcOrd="1" destOrd="0" presId="urn:microsoft.com/office/officeart/2024/layout/BulletTimelineInverted"/>
    <dgm:cxn modelId="{6A0891F1-8DC5-4E0F-AB6C-B39E63F0CAE5}" type="presParOf" srcId="{F2E0EA36-50C7-4AD1-A11D-FF46C332A5F5}" destId="{B22C2212-C8CA-41B8-86B0-3DC39A1BFD2C}" srcOrd="1" destOrd="0" presId="urn:microsoft.com/office/officeart/2024/layout/BulletTimelineInverted"/>
    <dgm:cxn modelId="{4E869FC9-6F48-4377-8914-078CFF555985}" type="presParOf" srcId="{F2E0EA36-50C7-4AD1-A11D-FF46C332A5F5}" destId="{192CB435-6D35-424E-BC26-86953DF3E339}" srcOrd="2" destOrd="0" presId="urn:microsoft.com/office/officeart/2024/layout/BulletTimelineInverted"/>
    <dgm:cxn modelId="{4C32406E-5E55-4954-AB32-4248EAEA8C17}" type="presParOf" srcId="{F2E0EA36-50C7-4AD1-A11D-FF46C332A5F5}" destId="{86A8706D-556F-4426-9851-9B5E78F385D3}" srcOrd="3" destOrd="0" presId="urn:microsoft.com/office/officeart/2024/layout/BulletTimelineInverted"/>
    <dgm:cxn modelId="{7628B4A9-0DC3-4056-B2AA-ADEDA67AF99E}" type="presParOf" srcId="{F2E0EA36-50C7-4AD1-A11D-FF46C332A5F5}" destId="{D1A67A9E-70BC-4EFD-978B-CC396C5E11D2}" srcOrd="4" destOrd="0" presId="urn:microsoft.com/office/officeart/2024/layout/BulletTimelineInverted"/>
    <dgm:cxn modelId="{41EC3BAF-928B-4F8B-AD98-C714ACE93E34}" type="presParOf" srcId="{D1A67A9E-70BC-4EFD-978B-CC396C5E11D2}" destId="{A7BE6F9C-2D6B-4C75-870C-A3C340097656}" srcOrd="0" destOrd="0" presId="urn:microsoft.com/office/officeart/2024/layout/BulletTimelineInverted"/>
    <dgm:cxn modelId="{42216803-A8C1-4C19-BEAF-4EC4245BAE9E}" type="presParOf" srcId="{F2E0EA36-50C7-4AD1-A11D-FF46C332A5F5}" destId="{EB6104F4-53B3-49F4-BEE6-69B574CF0367}" srcOrd="5" destOrd="0" presId="urn:microsoft.com/office/officeart/2024/layout/BulletTimelineInverted"/>
    <dgm:cxn modelId="{2A8C805B-B473-4F8E-A5A6-159FCB647FF1}" type="presParOf" srcId="{8DD11EA8-1545-4652-8A21-6F2B82A459AF}" destId="{AB6EA6F6-A2FF-4337-A143-5E60AFCAEB9B}" srcOrd="3" destOrd="0" presId="urn:microsoft.com/office/officeart/2024/layout/BulletTimelineInverted"/>
    <dgm:cxn modelId="{D093BC41-9884-44A4-AE36-96C177AD5D15}" type="presParOf" srcId="{8DD11EA8-1545-4652-8A21-6F2B82A459AF}" destId="{1489AB57-73A5-4072-A551-5C5A8D024BA1}" srcOrd="4" destOrd="0" presId="urn:microsoft.com/office/officeart/2024/layout/BulletTimelineInverted"/>
    <dgm:cxn modelId="{4DE8D604-B76B-4557-8B0C-9C4DAA3A722C}" type="presParOf" srcId="{1489AB57-73A5-4072-A551-5C5A8D024BA1}" destId="{0FB95123-EA8A-4492-8BC0-6F16873B9AC1}" srcOrd="0" destOrd="0" presId="urn:microsoft.com/office/officeart/2024/layout/BulletTimelineInverted"/>
    <dgm:cxn modelId="{482612E4-CFDC-4A73-ACBA-365C34288FEF}" type="presParOf" srcId="{0FB95123-EA8A-4492-8BC0-6F16873B9AC1}" destId="{05162EDE-A671-444D-9D2B-F54A22DF34AD}" srcOrd="0" destOrd="0" presId="urn:microsoft.com/office/officeart/2024/layout/BulletTimelineInverted"/>
    <dgm:cxn modelId="{B6C12A8A-C9E9-406C-AF39-51790C578FDB}" type="presParOf" srcId="{0FB95123-EA8A-4492-8BC0-6F16873B9AC1}" destId="{359CF321-CC45-482B-AA25-06B14C07C651}" srcOrd="1" destOrd="0" presId="urn:microsoft.com/office/officeart/2024/layout/BulletTimelineInverted"/>
    <dgm:cxn modelId="{F856E50B-ADCE-4522-814D-981593DB3EAF}" type="presParOf" srcId="{1489AB57-73A5-4072-A551-5C5A8D024BA1}" destId="{0657FA2E-AC02-4A99-9336-489F94A12920}" srcOrd="1" destOrd="0" presId="urn:microsoft.com/office/officeart/2024/layout/BulletTimelineInverted"/>
    <dgm:cxn modelId="{F40B5F1F-0769-4D8F-A85F-DA7A184A41BE}" type="presParOf" srcId="{1489AB57-73A5-4072-A551-5C5A8D024BA1}" destId="{D11A5B80-C17B-4A37-9F72-3DEDD5ED8F07}" srcOrd="2" destOrd="0" presId="urn:microsoft.com/office/officeart/2024/layout/BulletTimelineInverted"/>
    <dgm:cxn modelId="{0D1C3F73-03E1-4AD5-A25F-F2491CE7AED1}" type="presParOf" srcId="{1489AB57-73A5-4072-A551-5C5A8D024BA1}" destId="{62444CE9-D406-445D-8ADC-DFF1810C8827}" srcOrd="3" destOrd="0" presId="urn:microsoft.com/office/officeart/2024/layout/BulletTimelineInverted"/>
    <dgm:cxn modelId="{09998978-CE3A-4261-8DCB-3FC2AAA1DD4A}" type="presParOf" srcId="{1489AB57-73A5-4072-A551-5C5A8D024BA1}" destId="{4F0DBF09-BF4B-439C-9DD6-6964955D6B2E}" srcOrd="4" destOrd="0" presId="urn:microsoft.com/office/officeart/2024/layout/BulletTimelineInverted"/>
    <dgm:cxn modelId="{F9E75582-3885-46BF-BA75-D95C773C8B19}" type="presParOf" srcId="{4F0DBF09-BF4B-439C-9DD6-6964955D6B2E}" destId="{FCADB6A9-D8FD-49B6-AC8B-7349A8E351D8}" srcOrd="0" destOrd="0" presId="urn:microsoft.com/office/officeart/2024/layout/BulletTimelineInverted"/>
    <dgm:cxn modelId="{4CE34D97-15D4-4794-9F8C-139C56B069D6}" type="presParOf" srcId="{1489AB57-73A5-4072-A551-5C5A8D024BA1}" destId="{6A1A0B48-CD50-472C-9F0F-DBE01B925EA4}" srcOrd="5" destOrd="0" presId="urn:microsoft.com/office/officeart/2024/layout/BulletTimelineInverted"/>
    <dgm:cxn modelId="{02B76C6B-A063-4298-BE42-564A9FB9B452}" type="presParOf" srcId="{8DD11EA8-1545-4652-8A21-6F2B82A459AF}" destId="{ABF86C93-B060-4F40-9AD6-A978CA57C2C5}" srcOrd="5" destOrd="0" presId="urn:microsoft.com/office/officeart/2024/layout/BulletTimelineInverted"/>
    <dgm:cxn modelId="{CF23AC58-E0BA-46CF-8426-F119285136C4}" type="presParOf" srcId="{8DD11EA8-1545-4652-8A21-6F2B82A459AF}" destId="{B9CB8CB1-8C2A-4AD2-9846-831693C04FF8}" srcOrd="6" destOrd="0" presId="urn:microsoft.com/office/officeart/2024/layout/BulletTimelineInverted"/>
    <dgm:cxn modelId="{4AB81259-870E-44F2-A354-6244445E97D9}" type="presParOf" srcId="{B9CB8CB1-8C2A-4AD2-9846-831693C04FF8}" destId="{A30EA991-20E9-4311-8222-73596EB9B312}" srcOrd="0" destOrd="0" presId="urn:microsoft.com/office/officeart/2024/layout/BulletTimelineInverted"/>
    <dgm:cxn modelId="{2248208F-6BA3-4017-870A-3DBE9BD34AC6}" type="presParOf" srcId="{A30EA991-20E9-4311-8222-73596EB9B312}" destId="{667A73F6-B0BF-438C-A03D-C188512F2FEF}" srcOrd="0" destOrd="0" presId="urn:microsoft.com/office/officeart/2024/layout/BulletTimelineInverted"/>
    <dgm:cxn modelId="{7AEC7676-B11B-4437-9B3C-D3E05C770388}" type="presParOf" srcId="{A30EA991-20E9-4311-8222-73596EB9B312}" destId="{33CC4E15-78C5-4679-8EDB-1BF69252164A}" srcOrd="1" destOrd="0" presId="urn:microsoft.com/office/officeart/2024/layout/BulletTimelineInverted"/>
    <dgm:cxn modelId="{282CDDA2-A5B4-409A-9BA2-37C022FEC8A9}" type="presParOf" srcId="{B9CB8CB1-8C2A-4AD2-9846-831693C04FF8}" destId="{7BABA38A-7DBF-4A6A-AEF1-1D611D3AAE15}" srcOrd="1" destOrd="0" presId="urn:microsoft.com/office/officeart/2024/layout/BulletTimelineInverted"/>
    <dgm:cxn modelId="{A50A93A0-C650-4DE1-9FAE-DB9795229EA2}" type="presParOf" srcId="{B9CB8CB1-8C2A-4AD2-9846-831693C04FF8}" destId="{EFEFDB52-9DF9-4B16-A2CC-93BEBB483249}" srcOrd="2" destOrd="0" presId="urn:microsoft.com/office/officeart/2024/layout/BulletTimelineInverted"/>
    <dgm:cxn modelId="{A0FCB4C9-C142-4635-A9E0-5F6995DF4585}" type="presParOf" srcId="{B9CB8CB1-8C2A-4AD2-9846-831693C04FF8}" destId="{F90A6A37-083D-47E5-A33F-715AABF776B7}" srcOrd="3" destOrd="0" presId="urn:microsoft.com/office/officeart/2024/layout/BulletTimelineInverted"/>
    <dgm:cxn modelId="{5F5B440E-1418-4FD0-81C9-DB7A41AB1120}" type="presParOf" srcId="{B9CB8CB1-8C2A-4AD2-9846-831693C04FF8}" destId="{1A7F2300-85DD-481A-ABC0-CE1B0CFFAD06}" srcOrd="4" destOrd="0" presId="urn:microsoft.com/office/officeart/2024/layout/BulletTimelineInverted"/>
    <dgm:cxn modelId="{633493C4-48D7-45C7-A39D-B4D60943ED00}" type="presParOf" srcId="{1A7F2300-85DD-481A-ABC0-CE1B0CFFAD06}" destId="{0327D2EB-C2AB-471C-8516-EDFDC9DB3D62}" srcOrd="0" destOrd="0" presId="urn:microsoft.com/office/officeart/2024/layout/BulletTimelineInverted"/>
    <dgm:cxn modelId="{F66A2A4A-101F-4702-AE0D-6B27514DA00E}" type="presParOf" srcId="{B9CB8CB1-8C2A-4AD2-9846-831693C04FF8}" destId="{EDEDC050-4AB9-4DD6-86F3-ABC5F5138D5A}" srcOrd="5" destOrd="0" presId="urn:microsoft.com/office/officeart/2024/layout/BulletTimelineInverted"/>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B7AE7B9-09C0-48F6-B41C-C88F4F29EF63}">
      <dsp:nvSpPr>
        <dsp:cNvPr id="0" name=""/>
        <dsp:cNvSpPr/>
      </dsp:nvSpPr>
      <dsp:spPr>
        <a:xfrm>
          <a:off x="0" y="255079"/>
          <a:ext cx="2990850" cy="340106"/>
        </a:xfrm>
        <a:prstGeom prst="notched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D90E315-9310-4E69-9D55-3A4EBD5CC596}">
      <dsp:nvSpPr>
        <dsp:cNvPr id="0" name=""/>
        <dsp:cNvSpPr/>
      </dsp:nvSpPr>
      <dsp:spPr>
        <a:xfrm>
          <a:off x="1182" y="0"/>
          <a:ext cx="517192" cy="34010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b" anchorCtr="0">
          <a:noAutofit/>
        </a:bodyPr>
        <a:lstStyle/>
        <a:p>
          <a:pPr marL="0" lvl="0" indent="0" algn="ctr" defTabSz="355600">
            <a:lnSpc>
              <a:spcPct val="90000"/>
            </a:lnSpc>
            <a:spcBef>
              <a:spcPct val="0"/>
            </a:spcBef>
            <a:spcAft>
              <a:spcPct val="35000"/>
            </a:spcAft>
            <a:buNone/>
          </a:pPr>
          <a:r>
            <a:rPr lang="en-GB" sz="800" kern="1200"/>
            <a:t>Pre-1974</a:t>
          </a:r>
        </a:p>
      </dsp:txBody>
      <dsp:txXfrm>
        <a:off x="1182" y="0"/>
        <a:ext cx="517192" cy="340106"/>
      </dsp:txXfrm>
    </dsp:sp>
    <dsp:sp modelId="{A8F3E58B-599E-4B1D-AA03-CE40D8380E02}">
      <dsp:nvSpPr>
        <dsp:cNvPr id="0" name=""/>
        <dsp:cNvSpPr/>
      </dsp:nvSpPr>
      <dsp:spPr>
        <a:xfrm>
          <a:off x="217265" y="382619"/>
          <a:ext cx="85026" cy="85026"/>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48FB45B-E72A-4D3F-B9C1-20C1277D3E10}">
      <dsp:nvSpPr>
        <dsp:cNvPr id="0" name=""/>
        <dsp:cNvSpPr/>
      </dsp:nvSpPr>
      <dsp:spPr>
        <a:xfrm>
          <a:off x="544234" y="510159"/>
          <a:ext cx="517192" cy="34010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t" anchorCtr="0">
          <a:noAutofit/>
        </a:bodyPr>
        <a:lstStyle/>
        <a:p>
          <a:pPr marL="0" lvl="0" indent="0" algn="ctr" defTabSz="355600">
            <a:lnSpc>
              <a:spcPct val="90000"/>
            </a:lnSpc>
            <a:spcBef>
              <a:spcPct val="0"/>
            </a:spcBef>
            <a:spcAft>
              <a:spcPct val="35000"/>
            </a:spcAft>
            <a:buNone/>
          </a:pPr>
          <a:r>
            <a:rPr lang="en-GB" sz="800" kern="1200"/>
            <a:t>1974</a:t>
          </a:r>
        </a:p>
      </dsp:txBody>
      <dsp:txXfrm>
        <a:off x="544234" y="510159"/>
        <a:ext cx="517192" cy="340106"/>
      </dsp:txXfrm>
    </dsp:sp>
    <dsp:sp modelId="{9AA4FEE3-B6B7-47FF-8F9F-04640CAC146B}">
      <dsp:nvSpPr>
        <dsp:cNvPr id="0" name=""/>
        <dsp:cNvSpPr/>
      </dsp:nvSpPr>
      <dsp:spPr>
        <a:xfrm>
          <a:off x="760317" y="382619"/>
          <a:ext cx="85026" cy="85026"/>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F42DADE-8C9B-4282-8048-82348076158B}">
      <dsp:nvSpPr>
        <dsp:cNvPr id="0" name=""/>
        <dsp:cNvSpPr/>
      </dsp:nvSpPr>
      <dsp:spPr>
        <a:xfrm>
          <a:off x="1087286" y="0"/>
          <a:ext cx="517192" cy="34010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b" anchorCtr="0">
          <a:noAutofit/>
        </a:bodyPr>
        <a:lstStyle/>
        <a:p>
          <a:pPr marL="0" lvl="0" indent="0" algn="ctr" defTabSz="355600">
            <a:lnSpc>
              <a:spcPct val="90000"/>
            </a:lnSpc>
            <a:spcBef>
              <a:spcPct val="0"/>
            </a:spcBef>
            <a:spcAft>
              <a:spcPct val="35000"/>
            </a:spcAft>
            <a:buNone/>
          </a:pPr>
          <a:r>
            <a:rPr lang="en-GB" sz="800" kern="1200"/>
            <a:t>1990s-2000s</a:t>
          </a:r>
        </a:p>
      </dsp:txBody>
      <dsp:txXfrm>
        <a:off x="1087286" y="0"/>
        <a:ext cx="517192" cy="340106"/>
      </dsp:txXfrm>
    </dsp:sp>
    <dsp:sp modelId="{61E94A7D-A687-450A-A2E1-4376B6A33AA1}">
      <dsp:nvSpPr>
        <dsp:cNvPr id="0" name=""/>
        <dsp:cNvSpPr/>
      </dsp:nvSpPr>
      <dsp:spPr>
        <a:xfrm>
          <a:off x="1303369" y="382619"/>
          <a:ext cx="85026" cy="85026"/>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3DDC8F1-849B-46D9-B8EB-A9B42D126195}">
      <dsp:nvSpPr>
        <dsp:cNvPr id="0" name=""/>
        <dsp:cNvSpPr/>
      </dsp:nvSpPr>
      <dsp:spPr>
        <a:xfrm>
          <a:off x="1630338" y="510159"/>
          <a:ext cx="517192" cy="34010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t" anchorCtr="0">
          <a:noAutofit/>
        </a:bodyPr>
        <a:lstStyle/>
        <a:p>
          <a:pPr marL="0" lvl="0" indent="0" algn="ctr" defTabSz="355600">
            <a:lnSpc>
              <a:spcPct val="90000"/>
            </a:lnSpc>
            <a:spcBef>
              <a:spcPct val="0"/>
            </a:spcBef>
            <a:spcAft>
              <a:spcPct val="35000"/>
            </a:spcAft>
            <a:buNone/>
          </a:pPr>
          <a:r>
            <a:rPr lang="en-GB" sz="800" kern="1200"/>
            <a:t>2017</a:t>
          </a:r>
        </a:p>
      </dsp:txBody>
      <dsp:txXfrm>
        <a:off x="1630338" y="510159"/>
        <a:ext cx="517192" cy="340106"/>
      </dsp:txXfrm>
    </dsp:sp>
    <dsp:sp modelId="{729CF979-109B-4416-B346-3788724C06C8}">
      <dsp:nvSpPr>
        <dsp:cNvPr id="0" name=""/>
        <dsp:cNvSpPr/>
      </dsp:nvSpPr>
      <dsp:spPr>
        <a:xfrm>
          <a:off x="1846421" y="382619"/>
          <a:ext cx="85026" cy="85026"/>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24FBFEC-50CD-4EAD-BF0A-2315C235D71C}">
      <dsp:nvSpPr>
        <dsp:cNvPr id="0" name=""/>
        <dsp:cNvSpPr/>
      </dsp:nvSpPr>
      <dsp:spPr>
        <a:xfrm>
          <a:off x="2173389" y="0"/>
          <a:ext cx="517192" cy="34010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b" anchorCtr="0">
          <a:noAutofit/>
        </a:bodyPr>
        <a:lstStyle/>
        <a:p>
          <a:pPr marL="0" lvl="0" indent="0" algn="ctr" defTabSz="355600">
            <a:lnSpc>
              <a:spcPct val="90000"/>
            </a:lnSpc>
            <a:spcBef>
              <a:spcPct val="0"/>
            </a:spcBef>
            <a:spcAft>
              <a:spcPct val="35000"/>
            </a:spcAft>
            <a:buNone/>
          </a:pPr>
          <a:r>
            <a:rPr lang="en-GB" sz="800" kern="1200"/>
            <a:t>2020s</a:t>
          </a:r>
        </a:p>
      </dsp:txBody>
      <dsp:txXfrm>
        <a:off x="2173389" y="0"/>
        <a:ext cx="517192" cy="340106"/>
      </dsp:txXfrm>
    </dsp:sp>
    <dsp:sp modelId="{C32AF36D-9EDD-4A46-87E2-7AA04E532B37}">
      <dsp:nvSpPr>
        <dsp:cNvPr id="0" name=""/>
        <dsp:cNvSpPr/>
      </dsp:nvSpPr>
      <dsp:spPr>
        <a:xfrm>
          <a:off x="2389472" y="382619"/>
          <a:ext cx="85026" cy="85026"/>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51030CB-CFFD-43CC-9AB6-913997230FF0}">
      <dsp:nvSpPr>
        <dsp:cNvPr id="0" name=""/>
        <dsp:cNvSpPr/>
      </dsp:nvSpPr>
      <dsp:spPr>
        <a:xfrm>
          <a:off x="0" y="429053"/>
          <a:ext cx="3699891" cy="8667"/>
        </a:xfrm>
        <a:prstGeom prst="rect">
          <a:avLst/>
        </a:prstGeom>
        <a:gradFill rotWithShape="0">
          <a:gsLst>
            <a:gs pos="0">
              <a:schemeClr val="accent2">
                <a:tint val="76000"/>
              </a:schemeClr>
            </a:gs>
            <a:gs pos="100000">
              <a:schemeClr val="accent2">
                <a:tint val="76000"/>
              </a:schemeClr>
            </a:gs>
          </a:gsLst>
          <a:lin ang="0" scaled="0"/>
        </a:gradFill>
        <a:ln>
          <a:noFill/>
        </a:ln>
        <a:effectLst/>
      </dsp:spPr>
      <dsp:style>
        <a:lnRef idx="0">
          <a:scrgbClr r="0" g="0" b="0"/>
        </a:lnRef>
        <a:fillRef idx="1">
          <a:scrgbClr r="0" g="0" b="0"/>
        </a:fillRef>
        <a:effectRef idx="0">
          <a:scrgbClr r="0" g="0" b="0"/>
        </a:effectRef>
        <a:fontRef idx="minor"/>
      </dsp:style>
    </dsp:sp>
    <dsp:sp modelId="{662CD87B-2AA8-4307-BB2D-4684C18ED74B}">
      <dsp:nvSpPr>
        <dsp:cNvPr id="0" name=""/>
        <dsp:cNvSpPr/>
      </dsp:nvSpPr>
      <dsp:spPr>
        <a:xfrm>
          <a:off x="3662743" y="398716"/>
          <a:ext cx="52006" cy="69342"/>
        </a:xfrm>
        <a:prstGeom prst="chevron">
          <a:avLst>
            <a:gd name="adj" fmla="val 75000"/>
          </a:avLst>
        </a:prstGeom>
        <a:gradFill rotWithShape="0">
          <a:gsLst>
            <a:gs pos="0">
              <a:schemeClr val="accent2">
                <a:tint val="76000"/>
              </a:schemeClr>
            </a:gs>
            <a:gs pos="100000">
              <a:schemeClr val="accent2">
                <a:tint val="76000"/>
              </a:schemeClr>
            </a:gs>
          </a:gsLst>
          <a:lin ang="0" scaled="0"/>
        </a:gradFill>
        <a:ln>
          <a:noFill/>
        </a:ln>
        <a:effectLst/>
      </dsp:spPr>
      <dsp:style>
        <a:lnRef idx="0">
          <a:scrgbClr r="0" g="0" b="0"/>
        </a:lnRef>
        <a:fillRef idx="1">
          <a:scrgbClr r="0" g="0" b="0"/>
        </a:fillRef>
        <a:effectRef idx="0">
          <a:scrgbClr r="0" g="0" b="0"/>
        </a:effectRef>
        <a:fontRef idx="minor"/>
      </dsp:style>
    </dsp:sp>
    <dsp:sp modelId="{ED7F40A2-6153-4633-9C39-A5963DD957B2}">
      <dsp:nvSpPr>
        <dsp:cNvPr id="0" name=""/>
        <dsp:cNvSpPr/>
      </dsp:nvSpPr>
      <dsp:spPr>
        <a:xfrm>
          <a:off x="111400" y="217922"/>
          <a:ext cx="1232995" cy="191085"/>
        </a:xfrm>
        <a:prstGeom prst="rect">
          <a:avLst/>
        </a:prstGeom>
        <a:noFill/>
        <a:ln>
          <a:noFill/>
        </a:ln>
        <a:effectLst/>
      </dsp:spPr>
      <dsp:style>
        <a:lnRef idx="0">
          <a:scrgbClr r="0" g="0" b="0"/>
        </a:lnRef>
        <a:fillRef idx="0">
          <a:scrgbClr r="0" g="0" b="0"/>
        </a:fillRef>
        <a:effectRef idx="0">
          <a:scrgbClr r="0" g="0" b="0"/>
        </a:effectRef>
        <a:fontRef idx="minor"/>
      </dsp:style>
    </dsp:sp>
    <dsp:sp modelId="{C2FE322F-A50C-4629-87D5-2757006B47F8}">
      <dsp:nvSpPr>
        <dsp:cNvPr id="0" name=""/>
        <dsp:cNvSpPr/>
      </dsp:nvSpPr>
      <dsp:spPr>
        <a:xfrm>
          <a:off x="111400" y="119085"/>
          <a:ext cx="1232995" cy="9883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defRPr b="1"/>
          </a:pPr>
          <a:r>
            <a:rPr lang="en-GB" sz="800" kern="1200"/>
            <a:t>999 Call</a:t>
          </a:r>
        </a:p>
      </dsp:txBody>
      <dsp:txXfrm>
        <a:off x="111400" y="119085"/>
        <a:ext cx="1232995" cy="98837"/>
      </dsp:txXfrm>
    </dsp:sp>
    <dsp:sp modelId="{78CED4CC-CF74-40F0-95C6-461A63F6FFAE}">
      <dsp:nvSpPr>
        <dsp:cNvPr id="0" name=""/>
        <dsp:cNvSpPr/>
      </dsp:nvSpPr>
      <dsp:spPr>
        <a:xfrm>
          <a:off x="52459" y="112496"/>
          <a:ext cx="6934" cy="322868"/>
        </a:xfrm>
        <a:prstGeom prst="rect">
          <a:avLst/>
        </a:prstGeom>
        <a:solidFill>
          <a:schemeClr val="accent2">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22C2212-C8CA-41B8-86B0-3DC39A1BFD2C}">
      <dsp:nvSpPr>
        <dsp:cNvPr id="0" name=""/>
        <dsp:cNvSpPr/>
      </dsp:nvSpPr>
      <dsp:spPr>
        <a:xfrm>
          <a:off x="854169" y="596942"/>
          <a:ext cx="1232995" cy="158824"/>
        </a:xfrm>
        <a:prstGeom prst="rect">
          <a:avLst/>
        </a:prstGeom>
        <a:noFill/>
        <a:ln>
          <a:noFill/>
        </a:ln>
        <a:effectLst/>
      </dsp:spPr>
      <dsp:style>
        <a:lnRef idx="0">
          <a:scrgbClr r="0" g="0" b="0"/>
        </a:lnRef>
        <a:fillRef idx="0">
          <a:scrgbClr r="0" g="0" b="0"/>
        </a:fillRef>
        <a:effectRef idx="0">
          <a:scrgbClr r="0" g="0" b="0"/>
        </a:effectRef>
        <a:fontRef idx="minor"/>
      </dsp:style>
    </dsp:sp>
    <dsp:sp modelId="{192CB435-6D35-424E-BC26-86953DF3E339}">
      <dsp:nvSpPr>
        <dsp:cNvPr id="0" name=""/>
        <dsp:cNvSpPr/>
      </dsp:nvSpPr>
      <dsp:spPr>
        <a:xfrm>
          <a:off x="854169" y="492186"/>
          <a:ext cx="1232995" cy="10475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defRPr b="1"/>
          </a:pPr>
          <a:r>
            <a:rPr lang="en-GB" sz="800" kern="1200"/>
            <a:t>Triage</a:t>
          </a:r>
        </a:p>
      </dsp:txBody>
      <dsp:txXfrm>
        <a:off x="854169" y="492186"/>
        <a:ext cx="1232995" cy="104756"/>
      </dsp:txXfrm>
    </dsp:sp>
    <dsp:sp modelId="{86A8706D-556F-4426-9851-9B5E78F385D3}">
      <dsp:nvSpPr>
        <dsp:cNvPr id="0" name=""/>
        <dsp:cNvSpPr/>
      </dsp:nvSpPr>
      <dsp:spPr>
        <a:xfrm>
          <a:off x="795228" y="431359"/>
          <a:ext cx="6934" cy="331165"/>
        </a:xfrm>
        <a:prstGeom prst="rect">
          <a:avLst/>
        </a:prstGeom>
        <a:solidFill>
          <a:schemeClr val="accent2">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9997A25-F152-4B65-9750-6E3CD5F2E44C}">
      <dsp:nvSpPr>
        <dsp:cNvPr id="0" name=""/>
        <dsp:cNvSpPr/>
      </dsp:nvSpPr>
      <dsp:spPr>
        <a:xfrm>
          <a:off x="37898" y="95364"/>
          <a:ext cx="36057" cy="34263"/>
        </a:xfrm>
        <a:prstGeom prst="ellipse">
          <a:avLst/>
        </a:prstGeom>
        <a:solidFill>
          <a:schemeClr val="lt1">
            <a:hueOff val="0"/>
            <a:satOff val="0"/>
            <a:lumOff val="0"/>
            <a:alphaOff val="0"/>
          </a:schemeClr>
        </a:solidFill>
        <a:ln w="1905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7BE6F9C-2D6B-4C75-870C-A3C340097656}">
      <dsp:nvSpPr>
        <dsp:cNvPr id="0" name=""/>
        <dsp:cNvSpPr/>
      </dsp:nvSpPr>
      <dsp:spPr>
        <a:xfrm>
          <a:off x="780666" y="744953"/>
          <a:ext cx="36057" cy="35144"/>
        </a:xfrm>
        <a:prstGeom prst="ellipse">
          <a:avLst/>
        </a:prstGeom>
        <a:solidFill>
          <a:schemeClr val="lt1">
            <a:hueOff val="0"/>
            <a:satOff val="0"/>
            <a:lumOff val="0"/>
            <a:alphaOff val="0"/>
          </a:schemeClr>
        </a:solidFill>
        <a:ln w="1905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657FA2E-AC02-4A99-9336-489F94A12920}">
      <dsp:nvSpPr>
        <dsp:cNvPr id="0" name=""/>
        <dsp:cNvSpPr/>
      </dsp:nvSpPr>
      <dsp:spPr>
        <a:xfrm>
          <a:off x="1596937" y="217922"/>
          <a:ext cx="1232995" cy="191085"/>
        </a:xfrm>
        <a:prstGeom prst="rect">
          <a:avLst/>
        </a:prstGeom>
        <a:noFill/>
        <a:ln>
          <a:noFill/>
        </a:ln>
        <a:effectLst/>
      </dsp:spPr>
      <dsp:style>
        <a:lnRef idx="0">
          <a:scrgbClr r="0" g="0" b="0"/>
        </a:lnRef>
        <a:fillRef idx="0">
          <a:scrgbClr r="0" g="0" b="0"/>
        </a:fillRef>
        <a:effectRef idx="0">
          <a:scrgbClr r="0" g="0" b="0"/>
        </a:effectRef>
        <a:fontRef idx="minor"/>
      </dsp:style>
    </dsp:sp>
    <dsp:sp modelId="{D11A5B80-C17B-4A37-9F72-3DEDD5ED8F07}">
      <dsp:nvSpPr>
        <dsp:cNvPr id="0" name=""/>
        <dsp:cNvSpPr/>
      </dsp:nvSpPr>
      <dsp:spPr>
        <a:xfrm>
          <a:off x="1596937" y="119085"/>
          <a:ext cx="1232995" cy="9883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defRPr b="1"/>
          </a:pPr>
          <a:r>
            <a:rPr lang="en-GB" sz="800" kern="1200"/>
            <a:t>Ambulance Dispatched</a:t>
          </a:r>
        </a:p>
      </dsp:txBody>
      <dsp:txXfrm>
        <a:off x="1596937" y="119085"/>
        <a:ext cx="1232995" cy="98837"/>
      </dsp:txXfrm>
    </dsp:sp>
    <dsp:sp modelId="{62444CE9-D406-445D-8ADC-DFF1810C8827}">
      <dsp:nvSpPr>
        <dsp:cNvPr id="0" name=""/>
        <dsp:cNvSpPr/>
      </dsp:nvSpPr>
      <dsp:spPr>
        <a:xfrm>
          <a:off x="1537997" y="112496"/>
          <a:ext cx="6934" cy="322868"/>
        </a:xfrm>
        <a:prstGeom prst="rect">
          <a:avLst/>
        </a:prstGeom>
        <a:solidFill>
          <a:schemeClr val="accent2">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BABA38A-7DBF-4A6A-AEF1-1D611D3AAE15}">
      <dsp:nvSpPr>
        <dsp:cNvPr id="0" name=""/>
        <dsp:cNvSpPr/>
      </dsp:nvSpPr>
      <dsp:spPr>
        <a:xfrm>
          <a:off x="2339706" y="596942"/>
          <a:ext cx="1232995" cy="158824"/>
        </a:xfrm>
        <a:prstGeom prst="rect">
          <a:avLst/>
        </a:prstGeom>
        <a:noFill/>
        <a:ln>
          <a:noFill/>
        </a:ln>
        <a:effectLst/>
      </dsp:spPr>
      <dsp:style>
        <a:lnRef idx="0">
          <a:scrgbClr r="0" g="0" b="0"/>
        </a:lnRef>
        <a:fillRef idx="0">
          <a:scrgbClr r="0" g="0" b="0"/>
        </a:fillRef>
        <a:effectRef idx="0">
          <a:scrgbClr r="0" g="0" b="0"/>
        </a:effectRef>
        <a:fontRef idx="minor"/>
      </dsp:style>
    </dsp:sp>
    <dsp:sp modelId="{EFEFDB52-9DF9-4B16-A2CC-93BEBB483249}">
      <dsp:nvSpPr>
        <dsp:cNvPr id="0" name=""/>
        <dsp:cNvSpPr/>
      </dsp:nvSpPr>
      <dsp:spPr>
        <a:xfrm>
          <a:off x="2339706" y="492186"/>
          <a:ext cx="1232995" cy="10475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defRPr b="1"/>
          </a:pPr>
          <a:r>
            <a:rPr lang="en-GB" sz="800" kern="1200"/>
            <a:t>Patient Care</a:t>
          </a:r>
        </a:p>
      </dsp:txBody>
      <dsp:txXfrm>
        <a:off x="2339706" y="492186"/>
        <a:ext cx="1232995" cy="104756"/>
      </dsp:txXfrm>
    </dsp:sp>
    <dsp:sp modelId="{F90A6A37-083D-47E5-A33F-715AABF776B7}">
      <dsp:nvSpPr>
        <dsp:cNvPr id="0" name=""/>
        <dsp:cNvSpPr/>
      </dsp:nvSpPr>
      <dsp:spPr>
        <a:xfrm>
          <a:off x="2280765" y="431359"/>
          <a:ext cx="6934" cy="331165"/>
        </a:xfrm>
        <a:prstGeom prst="rect">
          <a:avLst/>
        </a:prstGeom>
        <a:solidFill>
          <a:schemeClr val="accent2">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CADB6A9-D8FD-49B6-AC8B-7349A8E351D8}">
      <dsp:nvSpPr>
        <dsp:cNvPr id="0" name=""/>
        <dsp:cNvSpPr/>
      </dsp:nvSpPr>
      <dsp:spPr>
        <a:xfrm>
          <a:off x="1523435" y="95364"/>
          <a:ext cx="36057" cy="34263"/>
        </a:xfrm>
        <a:prstGeom prst="ellipse">
          <a:avLst/>
        </a:prstGeom>
        <a:solidFill>
          <a:schemeClr val="lt1">
            <a:hueOff val="0"/>
            <a:satOff val="0"/>
            <a:lumOff val="0"/>
            <a:alphaOff val="0"/>
          </a:schemeClr>
        </a:solidFill>
        <a:ln w="1905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327D2EB-C2AB-471C-8516-EDFDC9DB3D62}">
      <dsp:nvSpPr>
        <dsp:cNvPr id="0" name=""/>
        <dsp:cNvSpPr/>
      </dsp:nvSpPr>
      <dsp:spPr>
        <a:xfrm>
          <a:off x="2266203" y="744953"/>
          <a:ext cx="36057" cy="35144"/>
        </a:xfrm>
        <a:prstGeom prst="ellipse">
          <a:avLst/>
        </a:prstGeom>
        <a:solidFill>
          <a:schemeClr val="lt1">
            <a:hueOff val="0"/>
            <a:satOff val="0"/>
            <a:lumOff val="0"/>
            <a:alphaOff val="0"/>
          </a:schemeClr>
        </a:solidFill>
        <a:ln w="1905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hProcess11">
  <dgm:title val=""/>
  <dgm:desc val=""/>
  <dgm:catLst>
    <dgm:cat type="process" pri="8000"/>
    <dgm:cat type="timeline" pri="103"/>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Vert" val="b"/>
                  <dgm:param type="txAnchorVertCh" val="b"/>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Vert" val="t"/>
                  <dgm:param type="txAnchorVertCh" val="t"/>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24/layout/BulletTimelineInverted">
  <dgm:title val=""/>
  <dgm:desc val=""/>
  <dgm:catLst>
    <dgm:cat type="process" pri="7451"/>
    <dgm:cat type="timeline" pri="101"/>
  </dgm:catLst>
  <dgm:sampData>
    <dgm:dataModel>
      <dgm:ptLst>
        <dgm:pt modelId="0" type="doc"/>
        <dgm:pt modelId="10">
          <dgm:prSet phldrT="Add an event" phldr="1"/>
        </dgm:pt>
        <dgm:pt modelId="11">
          <dgm:prSet phldrT="Write a description of the significance of this event" phldr="1"/>
        </dgm:pt>
        <dgm:pt modelId="20">
          <dgm:prSet phldrT="Add an event" phldr="1"/>
        </dgm:pt>
        <dgm:pt modelId="21">
          <dgm:prSet phldrT="Write a description of the significance of this event" phldr="1"/>
        </dgm:pt>
        <dgm:pt modelId="30">
          <dgm:prSet phldrT="Add an event" phldr="1"/>
        </dgm:pt>
        <dgm:pt modelId="31">
          <dgm:prSet phldrT="Write a description of the significance of this event" phldr="1"/>
        </dgm:pt>
        <dgm:pt modelId="40">
          <dgm:prSet phldrT="Add an event" phldr="1"/>
        </dgm:pt>
        <dgm:pt modelId="41">
          <dgm:prSet phldrT="Write a description of the significance of this event" phldr="1"/>
        </dgm:pt>
        <dgm:pt modelId="50">
          <dgm:prSet phldrT="Add an event" phldr="1"/>
        </dgm:pt>
        <dgm:pt modelId="51">
          <dgm:prSet phldrT="Write a description of the significance of this event" phldr="1"/>
        </dgm:pt>
      </dgm:ptLst>
      <dgm:cxnLst>
        <dgm:cxn modelId="100" srcId="0" destId="10" srcOrd="0" destOrd="0"/>
        <dgm:cxn modelId="12" srcId="10" destId="11" srcOrd="0" destOrd="0"/>
        <dgm:cxn modelId="101" srcId="0" destId="20" srcOrd="1" destOrd="0"/>
        <dgm:cxn modelId="22" srcId="20" destId="21" srcOrd="0" destOrd="0"/>
        <dgm:cxn modelId="102" srcId="0" destId="30" srcOrd="2" destOrd="0"/>
        <dgm:cxn modelId="32" srcId="30" destId="31" srcOrd="0" destOrd="0"/>
        <dgm:cxn modelId="103" srcId="0" destId="40" srcOrd="3" destOrd="0"/>
        <dgm:cxn modelId="42" srcId="40" destId="41" srcOrd="0" destOrd="0"/>
        <dgm:cxn modelId="104" srcId="0" destId="50" srcOrd="4" destOrd="0"/>
        <dgm:cxn modelId="52" srcId="50" destId="5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
    <dgm:varLst>
      <dgm:dir/>
      <dgm:animLvl val="lvl"/>
    </dgm:varLst>
    <dgm:alg type="composite"/>
    <dgm:shape xmlns:r="http://schemas.openxmlformats.org/officeDocument/2006/relationships" r:blip="">
      <dgm:adjLst/>
    </dgm:shape>
    <dgm:constrLst>
      <dgm:constr type="w" for="ch" forName="divider" refType="w"/>
      <dgm:constr type="h" for="ch" forName="divider" refType="h" fact="0.1"/>
      <dgm:constr type="ctrY" for="ch" forName="divider" refType="h" fact="0.5"/>
      <dgm:constr type="l" for="ch" forName="divider"/>
      <dgm:constr type="w" for="ch" forName="nodes" refType="w"/>
      <dgm:constr type="h" for="ch" forName="nodes" refType="h" fact="0.8"/>
      <dgm:constr type="ctrY" for="ch" forName="nodes" refType="h" fact="0.5"/>
    </dgm:constrLst>
    <dgm:layoutNode name="divider">
      <dgm:alg type="composite"/>
      <dgm:shape xmlns:r="http://schemas.openxmlformats.org/officeDocument/2006/relationships" r:blip="">
        <dgm:adjLst/>
      </dgm:shape>
      <dgm:presOf/>
      <dgm:choose name="DividerDirection">
        <dgm:if name="DividerLTR" func="var" arg="dir" op="equ" val="norm">
          <dgm:constrLst>
            <dgm:constr type="w" for="ch" forName="rectBar" refType="w" fact="0.996"/>
            <dgm:constr type="h" for="ch" forName="rectBar" refType="h" fact="0.1"/>
            <dgm:constr type="l" for="ch" forName="rectBar"/>
            <dgm:constr type="ctrY" for="ch" forName="rectBar" refType="h" fact="0.5"/>
            <dgm:constr type="w" for="ch" forName="chevronArrow" refType="h" fact="0.6"/>
            <dgm:constr type="h" for="ch" forName="chevronArrow" refType="h" fact="0.8"/>
            <dgm:constr type="r" for="ch" forName="chevronArrow" refType="w"/>
            <dgm:constr type="ctrY" for="ch" forName="chevronArrow" refType="h" fact="0.5"/>
          </dgm:constrLst>
        </dgm:if>
        <dgm:else name="DividerRTL">
          <dgm:constrLst>
            <dgm:constr type="w" for="ch" forName="rectBar" refType="w" fact="0.996"/>
            <dgm:constr type="h" for="ch" forName="rectBar" refType="h" fact="0.1"/>
            <dgm:constr type="r" for="ch" forName="rectBar" refType="w"/>
            <dgm:constr type="ctrY" for="ch" forName="rectBar" refType="h" fact="0.5"/>
            <dgm:constr type="w" for="ch" forName="chevronArrow" refType="h" fact="0.6"/>
            <dgm:constr type="h" for="ch" forName="chevronArrow" refType="h" fact="0.8"/>
            <dgm:constr type="l" for="ch" forName="chevronArrow"/>
            <dgm:constr type="ctrY" for="ch" forName="chevronArrow" refType="h" fact="0.5"/>
          </dgm:constrLst>
        </dgm:else>
      </dgm:choose>
      <dgm:ruleLst/>
      <dgm:layoutNode name="rectBar" styleLbl="dkBgShp">
        <dgm:alg type="sp"/>
        <dgm:shape xmlns:r="http://schemas.openxmlformats.org/officeDocument/2006/relationships" type="rect" r:blip="" zOrderOff="-1">
          <dgm:adjLst/>
          <dgm:extLst>
            <a:ext uri="{B698B0E9-8C71-41B9-8309-B3DCBF30829C}">
              <dgm1612:spPr xmlns:dgm1612="http://schemas.microsoft.com/office/drawing/2016/12/diagram">
                <a:gradFill rotWithShape="0">
                  <a:gsLst>
                    <a:gs pos="0">
                      <a:schemeClr val="accent1">
                        <a:tint val="76000"/>
                      </a:schemeClr>
                    </a:gs>
                    <a:gs pos="100000">
                      <a:schemeClr val="accent1">
                        <a:tint val="76000"/>
                      </a:schemeClr>
                    </a:gs>
                  </a:gsLst>
                  <a:lin ang="0" scaled="0"/>
                </a:gradFill>
              </dgm1612:spPr>
            </a:ext>
          </dgm:extLst>
        </dgm:shape>
        <dgm:presOf/>
        <dgm:constrLst/>
        <dgm:ruleLst/>
      </dgm:layoutNode>
      <dgm:layoutNode name="chevronArrow" styleLbl="dkBgShp">
        <dgm:alg type="sp"/>
        <dgm:choose name="ChevronDir">
          <dgm:if name="ChevronLTR" func="var" arg="dir" op="equ" val="norm">
            <dgm:shape xmlns:r="http://schemas.openxmlformats.org/officeDocument/2006/relationships" type="chevron" r:blip="" zOrderOff="-1">
              <dgm:adjLst>
                <dgm:adj idx="1" val="0.75"/>
              </dgm:adjLst>
              <dgm:extLst>
                <a:ext uri="{B698B0E9-8C71-41B9-8309-B3DCBF30829C}">
                  <dgm1612:spPr xmlns:dgm1612="http://schemas.microsoft.com/office/drawing/2016/12/diagram">
                    <a:gradFill rotWithShape="0">
                      <a:gsLst>
                        <a:gs pos="0">
                          <a:schemeClr val="accent1">
                            <a:tint val="76000"/>
                          </a:schemeClr>
                        </a:gs>
                        <a:gs pos="100000">
                          <a:schemeClr val="accent1">
                            <a:tint val="76000"/>
                          </a:schemeClr>
                        </a:gs>
                      </a:gsLst>
                      <a:lin ang="0" scaled="0"/>
                    </a:gradFill>
                  </dgm1612:spPr>
                </a:ext>
              </dgm:extLst>
            </dgm:shape>
          </dgm:if>
          <dgm:else name="ChevronRTL">
            <dgm:shape xmlns:r="http://schemas.openxmlformats.org/officeDocument/2006/relationships" rot="180" type="chevron" r:blip="" zOrderOff="-1">
              <dgm:adjLst>
                <dgm:adj idx="1" val="0.75"/>
              </dgm:adjLst>
              <dgm:extLst>
                <a:ext uri="{B698B0E9-8C71-41B9-8309-B3DCBF30829C}">
                  <dgm1612:spPr xmlns:dgm1612="http://schemas.microsoft.com/office/drawing/2016/12/diagram">
                    <a:gradFill rotWithShape="0">
                      <a:gsLst>
                        <a:gs pos="0">
                          <a:schemeClr val="accent1">
                            <a:tint val="76000"/>
                          </a:schemeClr>
                        </a:gs>
                        <a:gs pos="100000">
                          <a:schemeClr val="accent1">
                            <a:tint val="76000"/>
                          </a:schemeClr>
                        </a:gs>
                      </a:gsLst>
                      <a:lin ang="0" scaled="0"/>
                    </a:gradFill>
                  </dgm1612:spPr>
                </a:ext>
              </dgm:extLst>
            </dgm:shape>
          </dgm:else>
        </dgm:choose>
        <dgm:presOf/>
        <dgm:constrLst/>
        <dgm:ruleLst/>
      </dgm:layoutNode>
    </dgm:layoutNode>
    <dgm:layoutNode name="nodes">
      <dgm:varLst>
        <dgm:chMax/>
        <dgm:chPref/>
        <dgm:animLvl val="lvl"/>
      </dgm:varLst>
      <dgm:choose name="Name1">
        <dgm:if name="Name2" func="var" arg="dir" op="equ" val="norm">
          <dgm:alg type="lin">
            <dgm:param type="fallback" val="1D"/>
          </dgm:alg>
        </dgm:if>
        <dgm:else name="Name3">
          <dgm:alg type="lin">
            <dgm:param type="linDir" val="fromR"/>
            <dgm:param type="fallback" val="1D"/>
          </dgm:alg>
        </dgm:else>
      </dgm:choose>
      <dgm:shape xmlns:r="http://schemas.openxmlformats.org/officeDocument/2006/relationships" r:blip="">
        <dgm:adjLst/>
      </dgm:shape>
      <dgm:constrLst>
        <dgm:constr type="primFontSz" for="des" forName="L1TextContainer" val="20"/>
        <dgm:constr type="primFontSz" for="des" forName="L2TextContainer" refType="primFontSz" refFor="des" refForName="L1TextContainer" op="equ" fact="0.75"/>
        <dgm:constr type="w" for="ch" forName="composite" refType="w"/>
        <dgm:constr type="h" for="ch" forName="composite" refType="h"/>
        <dgm:constr type="w" for="ch" forName="spaceBetweenRectangles" refType="w" refFor="ch" refForName="composite" fact="-0.5"/>
        <dgm:constr type="w" for="ch" ptType="sibTrans" op="equ"/>
        <dgm:constr type="primFontSz" for="des" forName="L1TextContainer" op="equ"/>
        <dgm:constr type="primFontSz" for="des" forName="L2TextContainer" op="equ"/>
        <dgm:constr type="primFontSz" for="des" forName="L1TextContainer1" val="20"/>
        <dgm:constr type="primFontSz" for="des" forName="L2TextContainer1" refType="primFontSz" refFor="des" refForName="L1TextContainer1" op="equ" fact="0.75"/>
        <dgm:constr type="w" for="ch" forName="composite1" refType="w"/>
        <dgm:constr type="h" for="ch" forName="composite1" refType="h"/>
        <dgm:constr type="w" for="ch" forName="spaceBetweenRectangles1" refType="w" refFor="ch" refForName="composite1" fact="0.28"/>
        <dgm:constr type="primFontSz" for="des" forName="L1TextContainer1" op="equ"/>
        <dgm:constr type="primFontSz" for="des" forName="L2TextContainer1" op="equ"/>
      </dgm:constrLst>
      <dgm:choose name="LayoutBasedOnCountOfNodes">
        <dgm:if name="LessThanOrEqualToTwoNodes" axis="ch" ptType="node" func="cnt" op="lte" val="2">
          <dgm:forEach name="nodesForEach1" axis="ch" ptType="node">
            <dgm:layoutNode name="composite1">
              <dgm:alg type="composite"/>
              <dgm:shape xmlns:r="http://schemas.openxmlformats.org/officeDocument/2006/relationships" r:blip="">
                <dgm:adjLst/>
              </dgm:shape>
              <dgm:choose name="CaseForLayoutDirection1">
                <dgm:if name="CaseForLayoutDirectionLTR1" func="var" arg="dir" op="equ" val="norm">
                  <dgm:choose name="CaseForPlacingNodesAboveAndBelowDividerLTR1">
                    <dgm:if name="CaseForPlacingNodeAboveDividerLTR1" axis="self" ptType="node" func="posOdd" op="equ" val="1">
                      <dgm:constrLst>
                        <dgm:constr type="w" for="ch" forName="ConnectorPoint1" refType="h" refFor="ch" refForName="DropPinPlaceHolder1" fact="0.325"/>
                        <dgm:constr type="h" for="ch" forName="ConnectorPoint1" refType="h" refFor="ch" refForName="DropPinPlaceHolder1" fact="0.325"/>
                        <dgm:constr type="ctrX" for="ch" forName="ConnectorPoint1" refType="ctrX" refFor="ch" refForName="ConnectLine1"/>
                        <dgm:constr type="ctrY" for="ch" forName="ConnectorPoint1" refType="t" refFor="ch" refForName="DropPinPlaceHolder1"/>
                        <dgm:constr type="w" for="ch" forName="DropPinPlaceHolder1" refType="h" fact="0.16"/>
                        <dgm:constr type="h" for="ch" forName="DropPinPlaceHolder1" refType="h" fact="0.16"/>
                        <dgm:constr type="t" for="ch" forName="DropPinPlaceHolder1" refType="h" fact="0"/>
                        <dgm:constr type="l" for="ch" forName="DropPinPlaceHolder1" refType="w" fact="0"/>
                        <dgm:constr type="w" for="ch" forName="L2TextContainer1" refType="w" fact="0.83"/>
                        <dgm:constr type="l" for="ch" forName="L2TextContainer1" refType="r" refFor="ch" refForName="DropPinPlaceHolder1"/>
                        <dgm:constr type="t" for="ch" forName="L2TextContainer1" refType="h" fact="0.16"/>
                        <dgm:constr type="b" for="ch" forName="L2TextContainer1" refType="h" fact="0.45"/>
                        <dgm:constr type="w" for="ch" forName="L1TextContainer1" refType="w" fact="0.83"/>
                        <dgm:constr type="l" for="ch" forName="L1TextContainer1" refType="r" refFor="ch" refForName="DropPinPlaceHolder1"/>
                        <dgm:constr type="t" for="ch" forName="L1TextContainer1" refType="h" fact="0.01"/>
                        <dgm:constr type="b" for="ch" forName="L1TextContainer1" refType="h" fact="0.16"/>
                        <dgm:constr type="w" for="ch" forName="ConnectLine1" refType="h" fact="0.01"/>
                        <dgm:constr type="ctrX" for="ch" forName="ConnectLine1" refType="ctrX" refFor="ch" refForName="DropPinPlaceHolder1"/>
                        <dgm:constr type="b" for="ch" forName="ConnectLine1" refType="h" fact="0.49"/>
                        <dgm:constr type="t" for="ch" forName="ConnectLine1" refType="b" refFor="ch" refForName="DropPinPlaceHolder1" fact="0"/>
                        <dgm:constr type="w" for="ch" forName="EmptyPlaceHolder1" refType="w"/>
                        <dgm:constr type="h" for="ch" forName="EmptyPlaceHolder1" refType="h" fact="0.5"/>
                        <dgm:constr type="t" for="ch" forName="EmptyPlaceHolder1" refType="h" fact="0.5"/>
                      </dgm:constrLst>
                    </dgm:if>
                    <dgm:else name="CaseForPlacingNodeBelowDividerLTR1">
                      <dgm:constrLst>
                        <dgm:constr type="w" for="ch" forName="ConnectorPoint1" refType="h" refFor="ch" refForName="DropPinPlaceHolder1" fact="0.325"/>
                        <dgm:constr type="h" for="ch" forName="ConnectorPoint1" refType="h" refFor="ch" refForName="DropPinPlaceHolder1" fact="0.325"/>
                        <dgm:constr type="ctrX" for="ch" forName="ConnectorPoint1" refType="ctrX" refFor="ch" refForName="ConnectLine1"/>
                        <dgm:constr type="ctrY" for="ch" forName="ConnectorPoint1" refType="b" refFor="ch" refForName="DropPinPlaceHolder1"/>
                        <dgm:constr type="w" for="ch" forName="DropPinPlaceHolder1" refType="h" fact="0.16"/>
                        <dgm:constr type="h" for="ch" forName="DropPinPlaceHolder1" refType="h" fact="0.16"/>
                        <dgm:constr type="b" for="ch" forName="DropPinPlaceHolder1" refType="h"/>
                        <dgm:constr type="l" for="ch" forName="DropPinPlaceHolder1" refType="w" fact="0"/>
                        <dgm:constr type="w" for="ch" forName="L1TextContainer1" refType="w" fact="0.83"/>
                        <dgm:constr type="l" for="ch" forName="L1TextContainer1" refType="r" refFor="ch" refForName="DropPinPlaceHolder1"/>
                        <dgm:constr type="b" for="ch" forName="L1TextContainer1" refType="h" fact="0.755"/>
                        <dgm:constr type="t" for="ch" forName="L1TextContainer1" refType="h" fact="0.6"/>
                        <dgm:constr type="w" for="ch" forName="L2TextContainer1" refType="w" fact="0.83"/>
                        <dgm:constr type="l" for="ch" forName="L2TextContainer1" refType="r" refFor="ch" refForName="DropPinPlaceHolder1"/>
                        <dgm:constr type="b" for="ch" forName="L2TextContainer1" refType="h" fact="0.99"/>
                        <dgm:constr type="t" for="ch" forName="L2TextContainer1" refType="h" fact="0.755"/>
                        <dgm:constr type="w" for="ch" forName="ConnectLine1" refType="h" fact="0.01"/>
                        <dgm:constr type="ctrX" for="ch" forName="ConnectLine1" refType="ctrX" refFor="ch" refForName="DropPinPlaceHolder1"/>
                        <dgm:constr type="t" for="ch" forName="ConnectLine1" refType="h" fact="0.51"/>
                        <dgm:constr type="b" for="ch" forName="ConnectLine1" refType="b" refFor="ch" refForName="DropPinPlaceHolder1"/>
                        <dgm:constr type="w" for="ch" forName="EmptyPlaceHolder1" refType="w"/>
                        <dgm:constr type="h" for="ch" forName="EmptyPlaceHolder1" refType="h" fact="0.5"/>
                        <dgm:constr type="t" for="ch" forName="EmptyPlaceHolder1" refType="h" fact="0"/>
                      </dgm:constrLst>
                    </dgm:else>
                  </dgm:choose>
                </dgm:if>
                <dgm:else name="CaseForLayoutDirectionRTL1">
                  <dgm:choose name="CaseForPlacingNodesAboveAndBelowDividerRTL1">
                    <dgm:if name="CaseForPlacingNodeAboveDividerRTL1" axis="self" ptType="node" func="posOdd" op="equ" val="1">
                      <dgm:constrLst>
                        <dgm:constr type="w" for="ch" forName="L1TextContainer1" refType="w" fact="0.83"/>
                        <dgm:constr type="l" for="ch" forName="L1TextContainer1" refType="w" fact="0"/>
                        <dgm:constr type="t" for="ch" forName="L1TextContainer1" refType="h" fact="0.01"/>
                        <dgm:constr type="b" for="ch" forName="L1TextContainer1" refType="h" fact="0.16"/>
                        <dgm:constr type="w" for="ch" forName="L2TextContainer1" refType="w" fact="0.83"/>
                        <dgm:constr type="l" for="ch" forName="L2TextContainer1" refType="w" fact="0"/>
                        <dgm:constr type="t" for="ch" forName="L2TextContainer1" refType="h" fact="0.16"/>
                        <dgm:constr type="b" for="ch" forName="L2TextContainer1" refType="h" fact="0.45"/>
                        <dgm:constr type="w" for="ch" forName="DropPinPlaceHolder1" refType="h" fact="0.16"/>
                        <dgm:constr type="h" for="ch" forName="DropPinPlaceHolder1" refType="h" fact="0.16"/>
                        <dgm:constr type="t" for="ch" forName="DropPinPlaceHolder1" refType="h" fact="0"/>
                        <dgm:constr type="r" for="ch" forName="DropPinPlaceHolder1" refType="w"/>
                        <dgm:constr type="w" for="ch" forName="ConnectLine1" refType="h" fact="0.01"/>
                        <dgm:constr type="ctrX" for="ch" forName="ConnectLine1" refType="ctrX" refFor="ch" refForName="DropPinPlaceHolder1"/>
                        <dgm:constr type="b" for="ch" forName="ConnectLine1" refType="h" fact="0.49"/>
                        <dgm:constr type="t" for="ch" forName="ConnectLine1" refType="b" refFor="ch" refForName="DropPinPlaceHolder1" fact="0"/>
                        <dgm:constr type="w" for="ch" forName="ConnectorPoint1" refType="h" refFor="ch" refForName="DropPinPlaceHolder1" fact="0.325"/>
                        <dgm:constr type="h" for="ch" forName="ConnectorPoint1" refType="h" refFor="ch" refForName="DropPinPlaceHolder1" fact="0.325"/>
                        <dgm:constr type="ctrX" for="ch" forName="ConnectorPoint1" refType="ctrX" refFor="ch" refForName="ConnectLine1"/>
                        <dgm:constr type="ctrY" for="ch" forName="ConnectorPoint1" refType="t" refFor="ch" refForName="DropPinPlaceHolder1"/>
                        <dgm:constr type="w" for="ch" forName="EmptyPlaceHolder1" refType="w"/>
                        <dgm:constr type="h" for="ch" forName="EmptyPlaceHolder1" refType="h" fact="0.5"/>
                        <dgm:constr type="t" for="ch" forName="EmptyPlaceHolder1" refType="h" fact="0.5"/>
                      </dgm:constrLst>
                    </dgm:if>
                    <dgm:else name="CaseForPlacingNodeBelowDividerRTL1">
                      <dgm:constrLst>
                        <dgm:constr type="w" for="ch" forName="L1TextContainer1" refType="w" fact="0.83"/>
                        <dgm:constr type="l" for="ch" forName="L1TextContainer1" refType="w" fact="0"/>
                        <dgm:constr type="b" for="ch" forName="L1TextContainer1" refType="h" fact="0.755"/>
                        <dgm:constr type="t" for="ch" forName="L1TextContainer1" refType="h" fact="0.6"/>
                        <dgm:constr type="w" for="ch" forName="L2TextContainer1" refType="w" fact="0.83"/>
                        <dgm:constr type="l" for="ch" forName="L2TextContainer1" refType="w" fact="0"/>
                        <dgm:constr type="b" for="ch" forName="L2TextContainer1" refType="h" fact="0.99"/>
                        <dgm:constr type="t" for="ch" forName="L2TextContainer1" refType="h" fact="0.755"/>
                        <dgm:constr type="w" for="ch" forName="DropPinPlaceHolder1" refType="h" fact="0.16"/>
                        <dgm:constr type="h" for="ch" forName="DropPinPlaceHolder1" refType="h" fact="0.16"/>
                        <dgm:constr type="b" for="ch" forName="DropPinPlaceHolder1" refType="h"/>
                        <dgm:constr type="r" for="ch" forName="DropPinPlaceHolder1" refType="w"/>
                        <dgm:constr type="w" for="ch" forName="ConnectLine1" refType="h" fact="0.01"/>
                        <dgm:constr type="ctrX" for="ch" forName="ConnectLine1" refType="ctrX" refFor="ch" refForName="DropPinPlaceHolder1"/>
                        <dgm:constr type="t" for="ch" forName="ConnectLine1" refType="h" fact="0.51"/>
                        <dgm:constr type="b" for="ch" forName="ConnectLine1" refType="b" refFor="ch" refForName="DropPinPlaceHolder1"/>
                        <dgm:constr type="w" for="ch" forName="ConnectorPoint1" refType="h" refFor="ch" refForName="DropPinPlaceHolder1" fact="0.325"/>
                        <dgm:constr type="h" for="ch" forName="ConnectorPoint1" refType="h" refFor="ch" refForName="DropPinPlaceHolder1" fact="0.325"/>
                        <dgm:constr type="ctrX" for="ch" forName="ConnectorPoint1" refType="ctrX" refFor="ch" refForName="ConnectLine1"/>
                        <dgm:constr type="ctrY" for="ch" forName="ConnectorPoint1" refType="b" refFor="ch" refForName="DropPinPlaceHolder1"/>
                        <dgm:constr type="w" for="ch" forName="EmptyPlaceHolder1" refType="w"/>
                        <dgm:constr type="h" for="ch" forName="EmptyPlaceHolder1" refType="h" fact="0.5"/>
                        <dgm:constr type="t" for="ch" forName="EmptyPlaceHolder1" refType="h" fact="0"/>
                      </dgm:constrLst>
                    </dgm:else>
                  </dgm:choose>
                </dgm:else>
              </dgm:choose>
              <dgm:layoutNode name="DropPinPlaceHolder1">
                <dgm:alg type="composite"/>
                <dgm:shape xmlns:r="http://schemas.openxmlformats.org/officeDocument/2006/relationships" r:blip="">
                  <dgm:adjLst/>
                </dgm:shape>
                <dgm:constrLst>
                  <dgm:constr type="w" for="ch" forName="DropPin1" refType="w" fact="0"/>
                  <dgm:constr type="h" for="ch" forName="DropPin1" refType="h" fact="0"/>
                  <dgm:constr type="ctrX" for="ch" forName="DropPin1" refType="w" fact="0"/>
                  <dgm:constr type="ctrY" for="ch" forName="DropPin1" refType="h" fact="0"/>
                  <dgm:constr type="w" for="ch" forName="Ellipse1" refType="w" refFor="ch" refForName="DropPin1" fact="0"/>
                  <dgm:constr type="h" for="ch" forName="Ellipse1" refType="w" refFor="ch" refForName="DropPin1" fact="0"/>
                  <dgm:constr type="ctrX" for="ch" forName="Ellipse1" refType="ctrX" refFor="ch" refForName="DropPin1" fact="0"/>
                  <dgm:constr type="ctrY" for="ch" forName="Ellipse1" refType="ctrY" refFor="ch" refForName="DropPin1" fact="0"/>
                </dgm:constrLst>
                <dgm:layoutNode name="DropPin1" styleLbl="alignNode1">
                  <dgm:alg type="sp"/>
                  <dgm:choose name="CaseForPlacingTearDropAboveAndBelowDivider1">
                    <dgm:if name="CaseForPlacingTearDropAboveDivider1" axis="self" ptType="node" func="posOdd" op="equ" val="1">
                      <dgm:shape xmlns:r="http://schemas.openxmlformats.org/officeDocument/2006/relationships" rot="135" type="teardrop" r:blip="">
                        <dgm:adjLst>
                          <dgm:adj idx="1" val="1.15"/>
                        </dgm:adjLst>
                      </dgm:shape>
                    </dgm:if>
                    <dgm:else name="CaseForPlacingTearDropBelowDivider1">
                      <dgm:shape xmlns:r="http://schemas.openxmlformats.org/officeDocument/2006/relationships" rot="-45" type="teardrop" r:blip="">
                        <dgm:adjLst>
                          <dgm:adj idx="1" val="1.15"/>
                        </dgm:adjLst>
                      </dgm:shape>
                    </dgm:else>
                  </dgm:choose>
                  <dgm:presOf/>
                  <dgm:constrLst/>
                </dgm:layoutNode>
                <dgm:layoutNode name="Ellipse1" styleLbl="fgAcc1" moveWith="DropPin1">
                  <dgm:alg type="sp"/>
                  <dgm:shape xmlns:r="http://schemas.openxmlformats.org/officeDocument/2006/relationships" type="ellipse" r:blip="">
                    <dgm:adjLst/>
                  </dgm:shape>
                  <dgm:presOf/>
                  <dgm:constrLst/>
                </dgm:layoutNode>
              </dgm:layoutNode>
              <dgm:layoutNode name="L2TextContainer1" styleLbl="revTx" moveWith="L1TextContainer">
                <dgm:varLst>
                  <dgm:bulletEnabled val="1"/>
                </dgm:varLst>
                <dgm:choose name="casesForTxtDirLogic1">
                  <dgm:if name="Name771" axis="self" ptType="node" func="posOdd" op="equ" val="1">
                    <dgm:alg type="tx">
                      <dgm:param type="txAnchorVert" val="t"/>
                      <dgm:param type="parTxLTRAlign" val="l"/>
                      <dgm:param type="parTxRTLAlign" val="l"/>
                      <dgm:param type="txAnchorVertCh" val="t"/>
                      <dgm:param type="shpTxRTLAlignCh" val="l"/>
                      <dgm:param type="shpTxLTRAlignCh" val="l"/>
                    </dgm:alg>
                    <dgm:constrLst>
                      <dgm:constr type="lMarg"/>
                      <dgm:constr type="rMarg"/>
                      <dgm:constr type="tMarg"/>
                      <dgm:constr type="bMarg"/>
                    </dgm:constrLst>
                  </dgm:if>
                  <dgm:else name="Name881">
                    <dgm:alg type="tx">
                      <dgm:param type="txAnchorVert" val="t"/>
                      <dgm:param type="parTxLTRAlign" val="l"/>
                      <dgm:param type="parTxRTLAlign" val="l"/>
                      <dgm:param type="txAnchorVertCh" val="t"/>
                      <dgm:param type="shpTxRTLAlignCh" val="l"/>
                      <dgm:param type="shpTxLTRAlignCh" val="l"/>
                    </dgm:alg>
                    <dgm:constrLst>
                      <dgm:constr type="lMarg"/>
                      <dgm:constr type="rMarg"/>
                      <dgm:constr type="tMarg"/>
                      <dgm:constr type="bMarg"/>
                    </dgm:constrLst>
                  </dgm:else>
                </dgm:choose>
                <dgm:shape xmlns:r="http://schemas.openxmlformats.org/officeDocument/2006/relationships" type="rect" r:blip="">
                  <dgm:adjLst/>
                </dgm:shape>
                <dgm:presOf axis="des" ptType="node"/>
                <dgm:ruleLst>
                  <dgm:rule type="primFontSz" val="5" fact="NaN" max="NaN"/>
                </dgm:ruleLst>
              </dgm:layoutNode>
              <dgm:layoutNode name="L1TextContainer1" styleLbl="revTx">
                <dgm:varLst>
                  <dgm:chMax val="1"/>
                  <dgm:chPref val="1"/>
                  <dgm:bulletEnabled val="1"/>
                </dgm:varLst>
                <dgm:alg type="tx">
                  <dgm:param type="txAnchorVert" val="mid"/>
                  <dgm:param type="parTxLTRAlign" val="l"/>
                  <dgm:param type="parTxRTLAlign" val="l"/>
                </dgm:alg>
                <dgm:shape xmlns:r="http://schemas.openxmlformats.org/officeDocument/2006/relationships" type="rect" r:blip="">
                  <dgm:adjLst/>
                </dgm:shape>
                <dgm:presOf axis="self"/>
                <dgm:constrLst>
                  <dgm:constr type="lMarg"/>
                  <dgm:constr type="rMarg"/>
                  <dgm:constr type="tMarg"/>
                  <dgm:constr type="bMarg"/>
                </dgm:constrLst>
                <dgm:ruleLst>
                  <dgm:rule type="primFontSz" val="5" fact="NaN" max="NaN"/>
                </dgm:ruleLst>
              </dgm:layoutNode>
              <dgm:layoutNode name="ConnectLine1" styleLbl="dkBgShp">
                <dgm:alg type="sp"/>
                <dgm:shape xmlns:r="http://schemas.openxmlformats.org/officeDocument/2006/relationships" type="rect" r:blip="">
                  <dgm:adjLst/>
                </dgm:shape>
                <dgm:presOf/>
                <dgm:constrLst/>
              </dgm:layoutNode>
              <dgm:layoutNode name="ConnectorPoint1" moveWith="ConnectLine1">
                <dgm:alg type="composite"/>
                <dgm:shape xmlns:r="http://schemas.openxmlformats.org/officeDocument/2006/relationships" r:blip="">
                  <dgm:adjLst/>
                </dgm:shape>
                <dgm:presOf/>
                <dgm:constrLst>
                  <dgm:constr type="w" for="ch" forName="Bullet1" refType="w"/>
                  <dgm:constr type="h" for="ch" forName="Bullet1" refType="w"/>
                  <dgm:constr type="ctrX" for="ch" forName="Bullet1" refType="w" fact="0.5"/>
                  <dgm:constr type="ctrY" for="ch" forName="Bullet1" refType="h" fact="0.5"/>
                </dgm:constrLst>
                <dgm:layoutNode name="Bullet1" styleLbl="lnNode1">
                  <dgm:alg type="sp"/>
                  <dgm:shape xmlns:r="http://schemas.openxmlformats.org/officeDocument/2006/relationships" type="ellipse" r:blip="" zOrderOff="10">
                    <dgm:adjLst/>
                  </dgm:shape>
                  <dgm:presOf/>
                  <dgm:constrLst/>
                </dgm:layoutNode>
              </dgm:layoutNode>
              <dgm:layoutNode name="EmptyPlaceHolder1">
                <dgm:alg type="sp"/>
                <dgm:shape xmlns:r="http://schemas.openxmlformats.org/officeDocument/2006/relationships" r:blip="">
                  <dgm:adjLst/>
                </dgm:shape>
                <dgm:presOf/>
                <dgm:constrLst/>
              </dgm:layoutNode>
            </dgm:layoutNode>
            <dgm:forEach name="Name281" axis="followSib" ptType="sibTrans" cnt="1">
              <dgm:layoutNode name="spaceBetweenRectangles1">
                <dgm:alg type="sp"/>
                <dgm:shape xmlns:r="http://schemas.openxmlformats.org/officeDocument/2006/relationships" r:blip="">
                  <dgm:adjLst/>
                </dgm:shape>
                <dgm:presOf/>
                <dgm:constrLst/>
                <dgm:ruleLst/>
              </dgm:layoutNode>
            </dgm:forEach>
          </dgm:forEach>
        </dgm:if>
        <dgm:else name="MoreThanTwoNodes">
          <dgm:forEach name="nodesForEach" axis="ch" ptType="node">
            <dgm:layoutNode name="composite">
              <dgm:alg type="composite"/>
              <dgm:shape xmlns:r="http://schemas.openxmlformats.org/officeDocument/2006/relationships" r:blip="">
                <dgm:adjLst/>
              </dgm:shape>
              <dgm:choose name="CaseForLayoutDirection">
                <dgm:if name="CaseForLayoutDirectionLTR" func="var" arg="dir" op="equ" val="norm">
                  <dgm:choose name="CaseForPlacingNodesAboveAndBelowDividerLTR">
                    <dgm:if name="CaseForPlacingNodeAboveDividerLTR" axis="self" ptType="node" func="posOdd" op="equ" val="1">
                      <dgm:constrLst>
                        <dgm:constr type="w" for="ch" forName="ConnectorPoint" refType="h" refFor="ch" refForName="DropPinPlaceHolder" fact="0.325"/>
                        <dgm:constr type="h" for="ch" forName="ConnectorPoint" refType="h" refFor="ch" refForName="DropPinPlaceHolder" fact="0.325"/>
                        <dgm:constr type="ctrX" for="ch" forName="ConnectorPoint" refType="ctrX" refFor="ch" refForName="ConnectLine"/>
                        <dgm:constr type="ctrY" for="ch" forName="ConnectorPoint" refType="t" refFor="ch" refForName="DropPinPlaceHolder"/>
                        <dgm:constr type="w" for="ch" forName="DropPinPlaceHolder" refType="h" fact="0.16"/>
                        <dgm:constr type="h" for="ch" forName="DropPinPlaceHolder" refType="h" fact="0.16"/>
                        <dgm:constr type="t" for="ch" forName="DropPinPlaceHolder" refType="h" fact="0"/>
                        <dgm:constr type="l" for="ch" forName="DropPinPlaceHolder" refType="w" fact="0"/>
                        <dgm:constr type="w" for="ch" forName="L2TextContainer" refType="w" fact="0.83"/>
                        <dgm:constr type="l" for="ch" forName="L2TextContainer" refType="r" refFor="ch" refForName="DropPinPlaceHolder"/>
                        <dgm:constr type="t" for="ch" forName="L2TextContainer" refType="h" fact="0.16"/>
                        <dgm:constr type="b" for="ch" forName="L2TextContainer" refType="h" fact="0.45"/>
                        <dgm:constr type="w" for="ch" forName="L1TextContainer" refType="w" fact="0.83"/>
                        <dgm:constr type="l" for="ch" forName="L1TextContainer" refType="r" refFor="ch" refForName="DropPinPlaceHolder"/>
                        <dgm:constr type="t" for="ch" forName="L1TextContainer" refType="h" fact="0.01"/>
                        <dgm:constr type="b" for="ch" forName="L1TextContainer" refType="h" fact="0.16"/>
                        <dgm:constr type="w" for="ch" forName="ConnectLine" refType="h" fact="0.01"/>
                        <dgm:constr type="ctrX" for="ch" forName="ConnectLine" refType="ctrX" refFor="ch" refForName="DropPinPlaceHolder"/>
                        <dgm:constr type="b" for="ch" forName="ConnectLine" refType="h" fact="0.49"/>
                        <dgm:constr type="t" for="ch" forName="ConnectLine" refType="b" refFor="ch" refForName="DropPinPlaceHolder" fact="0"/>
                        <dgm:constr type="w" for="ch" forName="EmptyPlaceHolder" refType="w"/>
                        <dgm:constr type="h" for="ch" forName="EmptyPlaceHolder" refType="h" fact="0.5"/>
                        <dgm:constr type="t" for="ch" forName="EmptyPlaceHolder" refType="h" fact="0.5"/>
                      </dgm:constrLst>
                    </dgm:if>
                    <dgm:else name="CaseForPlacingNodeBelowDividerLTR">
                      <dgm:constrLst>
                        <dgm:constr type="w" for="ch" forName="ConnectorPoint" refType="h" refFor="ch" refForName="DropPinPlaceHolder" fact="0.325"/>
                        <dgm:constr type="h" for="ch" forName="ConnectorPoint" refType="h" refFor="ch" refForName="DropPinPlaceHolder" fact="0.325"/>
                        <dgm:constr type="ctrX" for="ch" forName="ConnectorPoint" refType="ctrX" refFor="ch" refForName="ConnectLine"/>
                        <dgm:constr type="ctrY" for="ch" forName="ConnectorPoint" refType="b" refFor="ch" refForName="DropPinPlaceHolder"/>
                        <dgm:constr type="w" for="ch" forName="DropPinPlaceHolder" refType="h" fact="0.16"/>
                        <dgm:constr type="h" for="ch" forName="DropPinPlaceHolder" refType="h" fact="0.16"/>
                        <dgm:constr type="b" for="ch" forName="DropPinPlaceHolder" refType="h"/>
                        <dgm:constr type="l" for="ch" forName="DropPinPlaceHolder" refType="w" fact="0"/>
                        <dgm:constr type="w" for="ch" forName="L1TextContainer" refType="w" fact="0.83"/>
                        <dgm:constr type="l" for="ch" forName="L1TextContainer" refType="r" refFor="ch" refForName="DropPinPlaceHolder"/>
                        <dgm:constr type="b" for="ch" forName="L1TextContainer" refType="h" fact="0.755"/>
                        <dgm:constr type="t" for="ch" forName="L1TextContainer" refType="h" fact="0.6"/>
                        <dgm:constr type="w" for="ch" forName="L2TextContainer" refType="w" fact="0.83"/>
                        <dgm:constr type="l" for="ch" forName="L2TextContainer" refType="r" refFor="ch" refForName="DropPinPlaceHolder"/>
                        <dgm:constr type="b" for="ch" forName="L2TextContainer" refType="h" fact="0.99"/>
                        <dgm:constr type="t" for="ch" forName="L2TextContainer" refType="h" fact="0.755"/>
                        <dgm:constr type="w" for="ch" forName="ConnectLine" refType="h" fact="0.01"/>
                        <dgm:constr type="ctrX" for="ch" forName="ConnectLine" refType="ctrX" refFor="ch" refForName="DropPinPlaceHolder"/>
                        <dgm:constr type="t" for="ch" forName="ConnectLine" refType="h" fact="0.51"/>
                        <dgm:constr type="b" for="ch" forName="ConnectLine" refType="b" refFor="ch" refForName="DropPinPlaceHolder"/>
                        <dgm:constr type="w" for="ch" forName="EmptyPlaceHolder" refType="w"/>
                        <dgm:constr type="h" for="ch" forName="EmptyPlaceHolder" refType="h" fact="0.5"/>
                        <dgm:constr type="t" for="ch" forName="EmptyPlaceHolder" refType="h" fact="0"/>
                      </dgm:constrLst>
                    </dgm:else>
                  </dgm:choose>
                </dgm:if>
                <dgm:else name="CaseForLayoutDirectionRTL">
                  <dgm:choose name="CaseForPlacingNodesAboveAndBelowDividerRTL">
                    <dgm:if name="CaseForPlacingNodeAboveDividerRTL" axis="self" ptType="node" func="posOdd" op="equ" val="1">
                      <dgm:constrLst>
                        <dgm:constr type="w" for="ch" forName="L1TextContainer" refType="w" fact="0.83"/>
                        <dgm:constr type="l" for="ch" forName="L1TextContainer" refType="w" fact="0"/>
                        <dgm:constr type="t" for="ch" forName="L1TextContainer" refType="h" fact="0.01"/>
                        <dgm:constr type="b" for="ch" forName="L1TextContainer" refType="h" fact="0.16"/>
                        <dgm:constr type="w" for="ch" forName="L2TextContainer" refType="w" fact="0.83"/>
                        <dgm:constr type="l" for="ch" forName="L2TextContainer" refType="w" fact="0"/>
                        <dgm:constr type="t" for="ch" forName="L2TextContainer" refType="h" fact="0.16"/>
                        <dgm:constr type="b" for="ch" forName="L2TextContainer" refType="h" fact="0.45"/>
                        <dgm:constr type="w" for="ch" forName="DropPinPlaceHolder" refType="h" fact="0.16"/>
                        <dgm:constr type="h" for="ch" forName="DropPinPlaceHolder" refType="h" fact="0.16"/>
                        <dgm:constr type="t" for="ch" forName="DropPinPlaceHolder" refType="h" fact="0"/>
                        <dgm:constr type="r" for="ch" forName="DropPinPlaceHolder" refType="w"/>
                        <dgm:constr type="w" for="ch" forName="ConnectLine" refType="h" fact="0.01"/>
                        <dgm:constr type="ctrX" for="ch" forName="ConnectLine" refType="ctrX" refFor="ch" refForName="DropPinPlaceHolder"/>
                        <dgm:constr type="b" for="ch" forName="ConnectLine" refType="h" fact="0.49"/>
                        <dgm:constr type="t" for="ch" forName="ConnectLine" refType="b" refFor="ch" refForName="DropPinPlaceHolder" fact="0"/>
                        <dgm:constr type="w" for="ch" forName="ConnectorPoint" refType="h" refFor="ch" refForName="DropPinPlaceHolder" fact="0.325"/>
                        <dgm:constr type="h" for="ch" forName="ConnectorPoint" refType="h" refFor="ch" refForName="DropPinPlaceHolder" fact="0.325"/>
                        <dgm:constr type="ctrX" for="ch" forName="ConnectorPoint" refType="ctrX" refFor="ch" refForName="ConnectLine"/>
                        <dgm:constr type="ctrY" for="ch" forName="ConnectorPoint" refType="t" refFor="ch" refForName="DropPinPlaceHolder"/>
                        <dgm:constr type="w" for="ch" forName="EmptyPlaceHolder" refType="w"/>
                        <dgm:constr type="h" for="ch" forName="EmptyPlaceHolder" refType="h" fact="0.5"/>
                        <dgm:constr type="t" for="ch" forName="EmptyPlaceHolder" refType="h" fact="0.5"/>
                      </dgm:constrLst>
                    </dgm:if>
                    <dgm:else name="CaseForPlacingNodeBelowDividerRTL">
                      <dgm:constrLst>
                        <dgm:constr type="w" for="ch" forName="L1TextContainer" refType="w" fact="0.83"/>
                        <dgm:constr type="l" for="ch" forName="L1TextContainer" refType="w" fact="0"/>
                        <dgm:constr type="b" for="ch" forName="L1TextContainer" refType="h" fact="0.755"/>
                        <dgm:constr type="t" for="ch" forName="L1TextContainer" refType="h" fact="0.6"/>
                        <dgm:constr type="w" for="ch" forName="L2TextContainer" refType="w" fact="0.83"/>
                        <dgm:constr type="l" for="ch" forName="L2TextContainer" refType="w" fact="0"/>
                        <dgm:constr type="b" for="ch" forName="L2TextContainer" refType="h" fact="0.99"/>
                        <dgm:constr type="t" for="ch" forName="L2TextContainer" refType="h" fact="0.755"/>
                        <dgm:constr type="w" for="ch" forName="DropPinPlaceHolder" refType="h" fact="0.16"/>
                        <dgm:constr type="h" for="ch" forName="DropPinPlaceHolder" refType="h" fact="0.16"/>
                        <dgm:constr type="b" for="ch" forName="DropPinPlaceHolder" refType="h"/>
                        <dgm:constr type="r" for="ch" forName="DropPinPlaceHolder" refType="w"/>
                        <dgm:constr type="w" for="ch" forName="ConnectLine" refType="h" fact="0.01"/>
                        <dgm:constr type="ctrX" for="ch" forName="ConnectLine" refType="ctrX" refFor="ch" refForName="DropPinPlaceHolder"/>
                        <dgm:constr type="t" for="ch" forName="ConnectLine" refType="h" fact="0.51"/>
                        <dgm:constr type="b" for="ch" forName="ConnectLine" refType="b" refFor="ch" refForName="DropPinPlaceHolder"/>
                        <dgm:constr type="w" for="ch" forName="ConnectorPoint" refType="h" refFor="ch" refForName="DropPinPlaceHolder" fact="0.325"/>
                        <dgm:constr type="h" for="ch" forName="ConnectorPoint" refType="h" refFor="ch" refForName="DropPinPlaceHolder" fact="0.325"/>
                        <dgm:constr type="ctrX" for="ch" forName="ConnectorPoint" refType="ctrX" refFor="ch" refForName="ConnectLine"/>
                        <dgm:constr type="ctrY" for="ch" forName="ConnectorPoint" refType="b" refFor="ch" refForName="DropPinPlaceHolder"/>
                        <dgm:constr type="w" for="ch" forName="EmptyPlaceHolder" refType="w"/>
                        <dgm:constr type="h" for="ch" forName="EmptyPlaceHolder" refType="h" fact="0.5"/>
                        <dgm:constr type="t" for="ch" forName="EmptyPlaceHolder" refType="h" fact="0"/>
                      </dgm:constrLst>
                    </dgm:else>
                  </dgm:choose>
                </dgm:else>
              </dgm:choose>
              <dgm:layoutNode name="DropPinPlaceHolder">
                <dgm:alg type="composite"/>
                <dgm:shape xmlns:r="http://schemas.openxmlformats.org/officeDocument/2006/relationships" r:blip="">
                  <dgm:adjLst/>
                </dgm:shape>
                <dgm:constrLst>
                  <dgm:constr type="w" for="ch" forName="DropPin" refType="w" fact="0"/>
                  <dgm:constr type="h" for="ch" forName="DropPin" refType="h" fact="0"/>
                  <dgm:constr type="ctrX" for="ch" forName="DropPin" refType="w" fact="0"/>
                  <dgm:constr type="ctrY" for="ch" forName="DropPin" refType="h" fact="0"/>
                  <dgm:constr type="w" for="ch" forName="Ellipse" refType="w" refFor="ch" refForName="DropPin" fact="0"/>
                  <dgm:constr type="h" for="ch" forName="Ellipse" refType="w" refFor="ch" refForName="DropPin" fact="0"/>
                  <dgm:constr type="ctrX" for="ch" forName="Ellipse" refType="ctrX" refFor="ch" refForName="DropPin" fact="0"/>
                  <dgm:constr type="ctrY" for="ch" forName="Ellipse" refType="ctrY" refFor="ch" refForName="DropPin" fact="0"/>
                </dgm:constrLst>
                <dgm:layoutNode name="DropPin" styleLbl="alignNode1">
                  <dgm:alg type="sp"/>
                  <dgm:choose name="CaseForPlacingTearDropAboveAndBelowDivider">
                    <dgm:if name="CaseForPlacingTearDropAboveDivider" axis="self" ptType="node" func="posOdd" op="equ" val="1">
                      <dgm:shape xmlns:r="http://schemas.openxmlformats.org/officeDocument/2006/relationships" rot="135" type="teardrop" r:blip="">
                        <dgm:adjLst>
                          <dgm:adj idx="1" val="1.15"/>
                        </dgm:adjLst>
                      </dgm:shape>
                    </dgm:if>
                    <dgm:else name="CaseForPlacingTearDropBelowDivider">
                      <dgm:shape xmlns:r="http://schemas.openxmlformats.org/officeDocument/2006/relationships" rot="-45" type="teardrop" r:blip="">
                        <dgm:adjLst>
                          <dgm:adj idx="1" val="1.15"/>
                        </dgm:adjLst>
                      </dgm:shape>
                    </dgm:else>
                  </dgm:choose>
                  <dgm:presOf/>
                  <dgm:constrLst/>
                </dgm:layoutNode>
                <dgm:layoutNode name="Ellipse" styleLbl="fgAcc1" moveWith="DropPin">
                  <dgm:alg type="sp"/>
                  <dgm:shape xmlns:r="http://schemas.openxmlformats.org/officeDocument/2006/relationships" type="ellipse" r:blip="">
                    <dgm:adjLst/>
                  </dgm:shape>
                  <dgm:presOf/>
                  <dgm:constrLst/>
                </dgm:layoutNode>
              </dgm:layoutNode>
              <dgm:layoutNode name="L2TextContainer" styleLbl="revTx" moveWith="L1TextContainer">
                <dgm:varLst>
                  <dgm:bulletEnabled val="1"/>
                </dgm:varLst>
                <dgm:choose name="casesForTxtDirLogic">
                  <dgm:if name="Name77" axis="self" ptType="node" func="posOdd" op="equ" val="1">
                    <dgm:alg type="tx">
                      <dgm:param type="txAnchorVert" val="t"/>
                      <dgm:param type="parTxLTRAlign" val="l"/>
                      <dgm:param type="parTxRTLAlign" val="l"/>
                      <dgm:param type="txAnchorVertCh" val="t"/>
                      <dgm:param type="shpTxRTLAlignCh" val="l"/>
                      <dgm:param type="shpTxLTRAlignCh" val="l"/>
                    </dgm:alg>
                    <dgm:constrLst>
                      <dgm:constr type="lMarg"/>
                      <dgm:constr type="rMarg"/>
                      <dgm:constr type="tMarg"/>
                      <dgm:constr type="bMarg"/>
                    </dgm:constrLst>
                  </dgm:if>
                  <dgm:else name="Name88">
                    <dgm:alg type="tx">
                      <dgm:param type="txAnchorVert" val="t"/>
                      <dgm:param type="parTxLTRAlign" val="l"/>
                      <dgm:param type="parTxRTLAlign" val="l"/>
                      <dgm:param type="txAnchorVertCh" val="t"/>
                      <dgm:param type="shpTxRTLAlignCh" val="l"/>
                      <dgm:param type="shpTxLTRAlignCh" val="l"/>
                    </dgm:alg>
                    <dgm:constrLst>
                      <dgm:constr type="lMarg"/>
                      <dgm:constr type="rMarg"/>
                      <dgm:constr type="tMarg"/>
                      <dgm:constr type="bMarg"/>
                    </dgm:constrLst>
                  </dgm:else>
                </dgm:choose>
                <dgm:shape xmlns:r="http://schemas.openxmlformats.org/officeDocument/2006/relationships" type="rect" r:blip="">
                  <dgm:adjLst/>
                </dgm:shape>
                <dgm:presOf axis="des" ptType="node"/>
                <dgm:ruleLst>
                  <dgm:rule type="primFontSz" val="5" fact="NaN" max="NaN"/>
                </dgm:ruleLst>
              </dgm:layoutNode>
              <dgm:layoutNode name="L1TextContainer" styleLbl="revTx">
                <dgm:varLst>
                  <dgm:chMax val="1"/>
                  <dgm:chPref val="1"/>
                  <dgm:bulletEnabled val="1"/>
                </dgm:varLst>
                <dgm:alg type="tx">
                  <dgm:param type="txAnchorVert" val="mid"/>
                  <dgm:param type="parTxLTRAlign" val="l"/>
                  <dgm:param type="parTxRTLAlign" val="l"/>
                </dgm:alg>
                <dgm:shape xmlns:r="http://schemas.openxmlformats.org/officeDocument/2006/relationships" type="rect" r:blip="">
                  <dgm:adjLst/>
                </dgm:shape>
                <dgm:presOf axis="self"/>
                <dgm:constrLst>
                  <dgm:constr type="lMarg"/>
                  <dgm:constr type="rMarg"/>
                  <dgm:constr type="tMarg"/>
                  <dgm:constr type="bMarg"/>
                </dgm:constrLst>
                <dgm:ruleLst>
                  <dgm:rule type="primFontSz" val="5" fact="NaN" max="NaN"/>
                </dgm:ruleLst>
              </dgm:layoutNode>
              <dgm:layoutNode name="ConnectLine" styleLbl="dkBgShp">
                <dgm:alg type="sp"/>
                <dgm:shape xmlns:r="http://schemas.openxmlformats.org/officeDocument/2006/relationships" type="rect" r:blip="">
                  <dgm:adjLst/>
                </dgm:shape>
                <dgm:presOf/>
                <dgm:constrLst/>
              </dgm:layoutNode>
              <dgm:layoutNode name="ConnectorPoint" moveWith="ConnectLine">
                <dgm:alg type="composite"/>
                <dgm:shape xmlns:r="http://schemas.openxmlformats.org/officeDocument/2006/relationships" r:blip="">
                  <dgm:adjLst/>
                </dgm:shape>
                <dgm:presOf/>
                <dgm:constrLst>
                  <dgm:constr type="w" for="ch" forName="Bullet" refType="w"/>
                  <dgm:constr type="h" for="ch" forName="Bullet" refType="w"/>
                  <dgm:constr type="ctrX" for="ch" forName="Bullet" refType="w" fact="0.5"/>
                  <dgm:constr type="ctrY" for="ch" forName="Bullet" refType="h" fact="0.5"/>
                </dgm:constrLst>
                <dgm:layoutNode name="Bullet" styleLbl="lnNode1">
                  <dgm:alg type="sp"/>
                  <dgm:shape xmlns:r="http://schemas.openxmlformats.org/officeDocument/2006/relationships" type="ellipse" r:blip="" zOrderOff="10">
                    <dgm:adjLst/>
                  </dgm:shape>
                  <dgm:presOf/>
                  <dgm:constrLst/>
                </dgm:layoutNode>
              </dgm:layoutNode>
              <dgm:layoutNode name="EmptyPlaceHolder">
                <dgm:alg type="sp"/>
                <dgm:shape xmlns:r="http://schemas.openxmlformats.org/officeDocument/2006/relationships" r:blip="">
                  <dgm:adjLst/>
                </dgm:shape>
                <dgm:presOf/>
                <dgm:constrLst/>
              </dgm:layoutNode>
            </dgm:layoutNode>
            <dgm:forEach name="Name28" axis="followSib" ptType="sibTrans" cnt="1">
              <dgm:layoutNode name="spaceBetweenRectangles">
                <dgm:alg type="sp"/>
                <dgm:shape xmlns:r="http://schemas.openxmlformats.org/officeDocument/2006/relationships" r:blip="">
                  <dgm:adjLst/>
                </dgm:shape>
                <dgm:presOf/>
                <dgm:constrLst/>
                <dgm:ruleLst/>
              </dgm:layoutNode>
            </dgm:forEach>
          </dgm:forEach>
        </dgm:else>
      </dgm:choose>
    </dgm:layoutNode>
  </dgm:layoutNode>
  <dgm:extLst>
    <a:ext uri="{68A01E43-0DF5-4B5B-8FA6-DAF915123BFB}">
      <dgm1612:lstStyle xmlns:dgm1612="http://schemas.microsoft.com/office/drawing/2016/12/diagram">
        <a:lvl1pPr>
          <a:defRPr b="1"/>
        </a:lvl1pPr>
      </dgm1612:lstStyle>
    </a:ext>
  </dgm:extLst>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FEB403-A8DE-4361-805D-413DB136A2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1990</Words>
  <Characters>11344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Bruno Da Cruz Pereira (2210506)</cp:lastModifiedBy>
  <cp:revision>5</cp:revision>
  <dcterms:created xsi:type="dcterms:W3CDTF">2026-07-12T22:56:00Z</dcterms:created>
  <dcterms:modified xsi:type="dcterms:W3CDTF">2026-07-17T08:40:00Z</dcterms:modified>
</cp:coreProperties>
</file>