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A3466" w14:textId="0B01A74E" w:rsidR="00E1255A" w:rsidRPr="00AC52B5" w:rsidRDefault="00C516A1" w:rsidP="00E1255A">
      <w:pPr>
        <w:pStyle w:val="Default"/>
        <w:rPr>
          <w:b/>
          <w:bCs/>
          <w:sz w:val="22"/>
          <w:szCs w:val="22"/>
        </w:rPr>
      </w:pPr>
      <w:r w:rsidRPr="00AC52B5">
        <w:rPr>
          <w:b/>
          <w:bCs/>
          <w:sz w:val="22"/>
          <w:szCs w:val="22"/>
        </w:rPr>
        <w:t>Essay two:</w:t>
      </w:r>
    </w:p>
    <w:p w14:paraId="0C5EF40C" w14:textId="77777777" w:rsidR="00FC2E1E" w:rsidRPr="00AC52B5" w:rsidRDefault="00FC2E1E" w:rsidP="00FC2E1E">
      <w:pPr>
        <w:pStyle w:val="Default"/>
        <w:rPr>
          <w:sz w:val="22"/>
          <w:szCs w:val="22"/>
        </w:rPr>
      </w:pPr>
      <w:r w:rsidRPr="00AC52B5">
        <w:rPr>
          <w:b/>
          <w:bCs/>
          <w:sz w:val="22"/>
          <w:szCs w:val="22"/>
        </w:rPr>
        <w:t xml:space="preserve">Response policing </w:t>
      </w:r>
      <w:r w:rsidRPr="00AC52B5">
        <w:rPr>
          <w:sz w:val="22"/>
          <w:szCs w:val="22"/>
        </w:rPr>
        <w:t xml:space="preserve">– In a recent survey by HMICFRS, 65% of respondents agreed “that police in their local area treat people fairly and with respect” (Justice Inspectorates, 2019). Evaluate the impact of public perception on response policing. </w:t>
      </w:r>
    </w:p>
    <w:p w14:paraId="0D0341A4" w14:textId="77777777" w:rsidR="00C516A1" w:rsidRPr="00AC52B5" w:rsidRDefault="00C516A1" w:rsidP="00E1255A">
      <w:pPr>
        <w:pStyle w:val="Default"/>
        <w:rPr>
          <w:sz w:val="22"/>
          <w:szCs w:val="22"/>
        </w:rPr>
      </w:pPr>
    </w:p>
    <w:p w14:paraId="61C3B242" w14:textId="6D3C1978" w:rsidR="00E1255A" w:rsidRPr="00B916CC" w:rsidRDefault="00FC2E1E" w:rsidP="00E1255A">
      <w:pPr>
        <w:pStyle w:val="Default"/>
        <w:rPr>
          <w:sz w:val="22"/>
          <w:szCs w:val="22"/>
        </w:rPr>
      </w:pPr>
      <w:r w:rsidRPr="00B916CC">
        <w:rPr>
          <w:sz w:val="22"/>
          <w:szCs w:val="22"/>
        </w:rPr>
        <w:t>This essay will evaluate the impact of public perception on response policing</w:t>
      </w:r>
      <w:r w:rsidR="00C669A8" w:rsidRPr="00B916CC">
        <w:rPr>
          <w:sz w:val="22"/>
          <w:szCs w:val="22"/>
        </w:rPr>
        <w:t xml:space="preserve"> </w:t>
      </w:r>
      <w:r w:rsidR="00C44834" w:rsidRPr="00B916CC">
        <w:rPr>
          <w:sz w:val="22"/>
          <w:szCs w:val="22"/>
        </w:rPr>
        <w:t xml:space="preserve">and </w:t>
      </w:r>
      <w:r w:rsidR="00C669A8" w:rsidRPr="00B916CC">
        <w:rPr>
          <w:sz w:val="22"/>
          <w:szCs w:val="22"/>
        </w:rPr>
        <w:t>how th</w:t>
      </w:r>
      <w:r w:rsidR="00FD2BAE" w:rsidRPr="00B916CC">
        <w:rPr>
          <w:sz w:val="22"/>
          <w:szCs w:val="22"/>
        </w:rPr>
        <w:t>is</w:t>
      </w:r>
      <w:r w:rsidR="00C669A8" w:rsidRPr="00B916CC">
        <w:rPr>
          <w:sz w:val="22"/>
          <w:szCs w:val="22"/>
        </w:rPr>
        <w:t xml:space="preserve"> can impact </w:t>
      </w:r>
      <w:r w:rsidR="00AD4BC4" w:rsidRPr="00B916CC">
        <w:rPr>
          <w:sz w:val="22"/>
          <w:szCs w:val="22"/>
        </w:rPr>
        <w:t>officer’s</w:t>
      </w:r>
      <w:r w:rsidR="00C669A8" w:rsidRPr="00B916CC">
        <w:rPr>
          <w:sz w:val="22"/>
          <w:szCs w:val="22"/>
        </w:rPr>
        <w:t xml:space="preserve"> role both positively and negatively.</w:t>
      </w:r>
      <w:r w:rsidR="00AD4BC4" w:rsidRPr="00B916CC">
        <w:rPr>
          <w:sz w:val="22"/>
          <w:szCs w:val="22"/>
        </w:rPr>
        <w:t xml:space="preserve"> The public perception of the police </w:t>
      </w:r>
      <w:r w:rsidR="00C44834" w:rsidRPr="00B916CC">
        <w:rPr>
          <w:sz w:val="22"/>
          <w:szCs w:val="22"/>
        </w:rPr>
        <w:t>is a</w:t>
      </w:r>
      <w:r w:rsidR="00AD4BC4" w:rsidRPr="00B916CC">
        <w:rPr>
          <w:sz w:val="22"/>
          <w:szCs w:val="22"/>
        </w:rPr>
        <w:t xml:space="preserve"> constant</w:t>
      </w:r>
      <w:r w:rsidR="00C44834" w:rsidRPr="00B916CC">
        <w:rPr>
          <w:sz w:val="22"/>
          <w:szCs w:val="22"/>
        </w:rPr>
        <w:t xml:space="preserve"> and is</w:t>
      </w:r>
      <w:r w:rsidR="006112B6" w:rsidRPr="00B916CC">
        <w:rPr>
          <w:sz w:val="22"/>
          <w:szCs w:val="22"/>
        </w:rPr>
        <w:t xml:space="preserve"> a concern for all police forces across the UK. Public</w:t>
      </w:r>
      <w:r w:rsidR="00C44834" w:rsidRPr="00B916CC">
        <w:rPr>
          <w:sz w:val="22"/>
          <w:szCs w:val="22"/>
        </w:rPr>
        <w:t xml:space="preserve"> </w:t>
      </w:r>
      <w:r w:rsidR="00AD4BC4" w:rsidRPr="00B916CC">
        <w:rPr>
          <w:sz w:val="22"/>
          <w:szCs w:val="22"/>
        </w:rPr>
        <w:t>perception can be altered by personal experiences and media coverage of the police</w:t>
      </w:r>
      <w:r w:rsidR="00C44834" w:rsidRPr="00B916CC">
        <w:rPr>
          <w:sz w:val="22"/>
          <w:szCs w:val="22"/>
        </w:rPr>
        <w:t xml:space="preserve"> </w:t>
      </w:r>
      <w:r w:rsidR="006112B6" w:rsidRPr="00B916CC">
        <w:rPr>
          <w:sz w:val="22"/>
          <w:szCs w:val="22"/>
        </w:rPr>
        <w:t>and th</w:t>
      </w:r>
      <w:r w:rsidR="00FD2BAE" w:rsidRPr="00B916CC">
        <w:rPr>
          <w:sz w:val="22"/>
          <w:szCs w:val="22"/>
        </w:rPr>
        <w:t>is</w:t>
      </w:r>
      <w:r w:rsidR="006112B6" w:rsidRPr="00B916CC">
        <w:rPr>
          <w:sz w:val="22"/>
          <w:szCs w:val="22"/>
        </w:rPr>
        <w:t xml:space="preserve"> essay will address what effect this has on policing.</w:t>
      </w:r>
    </w:p>
    <w:p w14:paraId="49649EAB" w14:textId="31734036" w:rsidR="00C47971" w:rsidRPr="00B916CC" w:rsidRDefault="00C47971" w:rsidP="00E1255A">
      <w:pPr>
        <w:pStyle w:val="Default"/>
        <w:rPr>
          <w:sz w:val="22"/>
          <w:szCs w:val="22"/>
        </w:rPr>
      </w:pPr>
    </w:p>
    <w:p w14:paraId="6977EABA" w14:textId="6942861C" w:rsidR="00C669A8" w:rsidRPr="00B916CC" w:rsidRDefault="00C669A8" w:rsidP="00E1255A">
      <w:pPr>
        <w:pStyle w:val="Default"/>
        <w:rPr>
          <w:sz w:val="22"/>
          <w:szCs w:val="22"/>
        </w:rPr>
      </w:pPr>
      <w:r w:rsidRPr="00B916CC">
        <w:rPr>
          <w:sz w:val="22"/>
          <w:szCs w:val="22"/>
        </w:rPr>
        <w:t>For police officers to be able to carry out their role as investigators compliance of the public is essential. In the UK policing is largely based off consent from the public. This means</w:t>
      </w:r>
      <w:r w:rsidR="00F150D7" w:rsidRPr="00B916CC">
        <w:rPr>
          <w:sz w:val="22"/>
          <w:szCs w:val="22"/>
        </w:rPr>
        <w:t xml:space="preserve"> </w:t>
      </w:r>
      <w:proofErr w:type="gramStart"/>
      <w:r w:rsidR="00F150D7" w:rsidRPr="00B916CC">
        <w:rPr>
          <w:sz w:val="22"/>
          <w:szCs w:val="22"/>
        </w:rPr>
        <w:t>that</w:t>
      </w:r>
      <w:proofErr w:type="gramEnd"/>
      <w:r w:rsidR="00F150D7" w:rsidRPr="00B916CC">
        <w:rPr>
          <w:sz w:val="22"/>
          <w:szCs w:val="22"/>
        </w:rPr>
        <w:t xml:space="preserve"> </w:t>
      </w:r>
    </w:p>
    <w:p w14:paraId="291CDFC2" w14:textId="16956C91" w:rsidR="00FC2E1E" w:rsidRPr="00B916CC" w:rsidRDefault="00FC2E1E" w:rsidP="002973F4">
      <w:pPr>
        <w:rPr>
          <w:rFonts w:ascii="Arial" w:eastAsia="Times New Roman" w:hAnsi="Arial" w:cs="Arial"/>
          <w:kern w:val="0"/>
          <w:lang w:eastAsia="en-GB"/>
          <w14:ligatures w14:val="none"/>
        </w:rPr>
      </w:pPr>
      <w:r w:rsidRPr="00B916CC">
        <w:rPr>
          <w:rFonts w:ascii="Arial" w:hAnsi="Arial" w:cs="Arial"/>
        </w:rPr>
        <w:t>the authority police rely on to do their jobs relies on the cooperation of the public as opposed to the power given to officers by the government</w:t>
      </w:r>
      <w:r w:rsidR="00EC21F5" w:rsidRPr="00B916CC">
        <w:rPr>
          <w:rFonts w:ascii="Arial" w:hAnsi="Arial" w:cs="Arial"/>
        </w:rPr>
        <w:t xml:space="preserve"> (</w:t>
      </w:r>
      <w:r w:rsidR="002973F4" w:rsidRPr="00B916CC">
        <w:rPr>
          <w:rFonts w:ascii="Arial" w:hAnsi="Arial" w:cs="Arial"/>
        </w:rPr>
        <w:t>Morgan, 2023</w:t>
      </w:r>
      <w:r w:rsidR="00EC21F5" w:rsidRPr="00B916CC">
        <w:rPr>
          <w:rFonts w:ascii="Arial" w:hAnsi="Arial" w:cs="Arial"/>
        </w:rPr>
        <w:t>)</w:t>
      </w:r>
      <w:r w:rsidRPr="00B916CC">
        <w:rPr>
          <w:rFonts w:ascii="Arial" w:hAnsi="Arial" w:cs="Arial"/>
        </w:rPr>
        <w:t>.</w:t>
      </w:r>
      <w:r w:rsidR="00C669A8" w:rsidRPr="00B916CC">
        <w:rPr>
          <w:rFonts w:ascii="Arial" w:hAnsi="Arial" w:cs="Arial"/>
        </w:rPr>
        <w:t xml:space="preserve"> Officers rely on the public to report crime as well as allowing </w:t>
      </w:r>
      <w:r w:rsidR="00292A6F" w:rsidRPr="00B916CC">
        <w:rPr>
          <w:rFonts w:ascii="Arial" w:hAnsi="Arial" w:cs="Arial"/>
        </w:rPr>
        <w:t>police</w:t>
      </w:r>
      <w:r w:rsidR="00C669A8" w:rsidRPr="00B916CC">
        <w:rPr>
          <w:rFonts w:ascii="Arial" w:hAnsi="Arial" w:cs="Arial"/>
        </w:rPr>
        <w:t xml:space="preserve"> to investigate the matter properly by collecting evidence such as statements, CCTV, photographs, and forensics, without consent from the public it would not be possible to investigate crimes. The policing by consent model is believed to originate from the first commissioners of The Metropolitan Police, principles have been set out which outline what this means. T</w:t>
      </w:r>
      <w:r w:rsidRPr="00B916CC">
        <w:rPr>
          <w:rFonts w:ascii="Arial" w:hAnsi="Arial" w:cs="Arial"/>
        </w:rPr>
        <w:t>hese include prevent crime and disorder, secure and maintain respect and approval of the public</w:t>
      </w:r>
      <w:r w:rsidR="00292A6F" w:rsidRPr="00B916CC">
        <w:rPr>
          <w:rFonts w:ascii="Arial" w:hAnsi="Arial" w:cs="Arial"/>
        </w:rPr>
        <w:t xml:space="preserve"> (Shannon, 2022)</w:t>
      </w:r>
      <w:r w:rsidRPr="00B916CC">
        <w:rPr>
          <w:rFonts w:ascii="Arial" w:hAnsi="Arial" w:cs="Arial"/>
        </w:rPr>
        <w:t>. To seek and preserve public favour, this does not mean police based off public opinion but demonstrate impartial service to law</w:t>
      </w:r>
      <w:r w:rsidR="00C669A8" w:rsidRPr="00B916CC">
        <w:rPr>
          <w:rFonts w:ascii="Arial" w:hAnsi="Arial" w:cs="Arial"/>
        </w:rPr>
        <w:t xml:space="preserve">, these are referred to as </w:t>
      </w:r>
      <w:proofErr w:type="spellStart"/>
      <w:r w:rsidR="00C669A8" w:rsidRPr="00B916CC">
        <w:rPr>
          <w:rFonts w:ascii="Arial" w:hAnsi="Arial" w:cs="Arial"/>
        </w:rPr>
        <w:t>Peelian</w:t>
      </w:r>
      <w:proofErr w:type="spellEnd"/>
      <w:r w:rsidR="00C669A8" w:rsidRPr="00B916CC">
        <w:rPr>
          <w:rFonts w:ascii="Arial" w:hAnsi="Arial" w:cs="Arial"/>
        </w:rPr>
        <w:t xml:space="preserve"> Principles.</w:t>
      </w:r>
      <w:r w:rsidR="00FA289D" w:rsidRPr="00B916CC">
        <w:rPr>
          <w:rFonts w:ascii="Arial" w:hAnsi="Arial" w:cs="Arial"/>
        </w:rPr>
        <w:t xml:space="preserve"> </w:t>
      </w:r>
      <w:r w:rsidR="002973F4" w:rsidRPr="00B916CC">
        <w:rPr>
          <w:rFonts w:ascii="Arial" w:eastAsia="Times New Roman" w:hAnsi="Arial" w:cs="Arial"/>
          <w:kern w:val="0"/>
          <w:lang w:eastAsia="en-GB"/>
          <w14:ligatures w14:val="none"/>
        </w:rPr>
        <w:t>Measures of public opinion on policing should consider ideas such as legitimacy and procedural justice. Public cooperation with the police can be impacted by procedural justice, which is described as treating people with respect and dignity, making judgements in a fair, transparent, and responsible manner, and giving people a voice</w:t>
      </w:r>
      <w:r w:rsidR="00FA61BB" w:rsidRPr="00B916CC">
        <w:rPr>
          <w:rFonts w:ascii="Arial" w:eastAsia="Times New Roman" w:hAnsi="Arial" w:cs="Arial"/>
          <w:kern w:val="0"/>
          <w:lang w:eastAsia="en-GB"/>
          <w14:ligatures w14:val="none"/>
        </w:rPr>
        <w:t xml:space="preserve"> (Jackson and Bradford, 2019)</w:t>
      </w:r>
      <w:r w:rsidR="002973F4" w:rsidRPr="00B916CC">
        <w:rPr>
          <w:rFonts w:ascii="Arial" w:eastAsia="Times New Roman" w:hAnsi="Arial" w:cs="Arial"/>
          <w:kern w:val="0"/>
          <w:lang w:eastAsia="en-GB"/>
          <w14:ligatures w14:val="none"/>
        </w:rPr>
        <w:t>.</w:t>
      </w:r>
    </w:p>
    <w:p w14:paraId="3D95F72B" w14:textId="77777777" w:rsidR="00C47971" w:rsidRPr="00B916CC" w:rsidRDefault="00C47971" w:rsidP="00E1255A">
      <w:pPr>
        <w:pStyle w:val="Default"/>
        <w:rPr>
          <w:sz w:val="22"/>
          <w:szCs w:val="22"/>
        </w:rPr>
      </w:pPr>
    </w:p>
    <w:p w14:paraId="5166B46D" w14:textId="3F59BA0A" w:rsidR="00282AFA" w:rsidRPr="00B916CC" w:rsidRDefault="00292A6F" w:rsidP="00E1255A">
      <w:pPr>
        <w:pStyle w:val="Default"/>
        <w:rPr>
          <w:sz w:val="22"/>
          <w:szCs w:val="22"/>
        </w:rPr>
      </w:pPr>
      <w:r w:rsidRPr="00B916CC">
        <w:rPr>
          <w:sz w:val="22"/>
          <w:szCs w:val="22"/>
        </w:rPr>
        <w:t>It is important that t</w:t>
      </w:r>
      <w:r w:rsidR="006112B6" w:rsidRPr="00B916CC">
        <w:rPr>
          <w:sz w:val="22"/>
          <w:szCs w:val="22"/>
        </w:rPr>
        <w:t>he public</w:t>
      </w:r>
      <w:r w:rsidRPr="00B916CC">
        <w:rPr>
          <w:sz w:val="22"/>
          <w:szCs w:val="22"/>
        </w:rPr>
        <w:t xml:space="preserve"> view the treatment they receive from the police </w:t>
      </w:r>
      <w:r w:rsidR="005809C4" w:rsidRPr="00B916CC">
        <w:rPr>
          <w:sz w:val="22"/>
          <w:szCs w:val="22"/>
        </w:rPr>
        <w:t xml:space="preserve">as </w:t>
      </w:r>
      <w:r w:rsidRPr="00B916CC">
        <w:rPr>
          <w:sz w:val="22"/>
          <w:szCs w:val="22"/>
        </w:rPr>
        <w:t>being fair and respectful as it is</w:t>
      </w:r>
      <w:r w:rsidR="006112B6" w:rsidRPr="00B916CC">
        <w:rPr>
          <w:sz w:val="22"/>
          <w:szCs w:val="22"/>
        </w:rPr>
        <w:t xml:space="preserve"> crucial in encouraging cooperation, </w:t>
      </w:r>
      <w:r w:rsidR="00FA289D" w:rsidRPr="00B916CC">
        <w:rPr>
          <w:sz w:val="22"/>
          <w:szCs w:val="22"/>
        </w:rPr>
        <w:t>legitimacy,</w:t>
      </w:r>
      <w:r w:rsidR="006112B6" w:rsidRPr="00B916CC">
        <w:rPr>
          <w:sz w:val="22"/>
          <w:szCs w:val="22"/>
        </w:rPr>
        <w:t xml:space="preserve"> and trust within communities</w:t>
      </w:r>
      <w:r w:rsidR="000E3482" w:rsidRPr="00B916CC">
        <w:rPr>
          <w:sz w:val="22"/>
          <w:szCs w:val="22"/>
        </w:rPr>
        <w:t xml:space="preserve"> (Miller &amp; D’Souza, 2015)</w:t>
      </w:r>
      <w:r w:rsidR="006112B6" w:rsidRPr="00B916CC">
        <w:rPr>
          <w:sz w:val="22"/>
          <w:szCs w:val="22"/>
        </w:rPr>
        <w:t>. Fair and respectful treatment of the public can have a positive impact on the levels of trust between the police</w:t>
      </w:r>
      <w:r w:rsidR="00994C86" w:rsidRPr="00B916CC">
        <w:rPr>
          <w:sz w:val="22"/>
          <w:szCs w:val="22"/>
        </w:rPr>
        <w:t xml:space="preserve"> organisations</w:t>
      </w:r>
      <w:r w:rsidR="006112B6" w:rsidRPr="00B916CC">
        <w:rPr>
          <w:sz w:val="22"/>
          <w:szCs w:val="22"/>
        </w:rPr>
        <w:t xml:space="preserve"> and the public. When the public are treated in a positive way</w:t>
      </w:r>
      <w:r w:rsidR="003D382D" w:rsidRPr="00B916CC">
        <w:rPr>
          <w:sz w:val="22"/>
          <w:szCs w:val="22"/>
        </w:rPr>
        <w:t xml:space="preserve"> by police officers, they are more likely to trust and cooperate with them. </w:t>
      </w:r>
      <w:r w:rsidR="00724F6E" w:rsidRPr="00B916CC">
        <w:rPr>
          <w:sz w:val="22"/>
          <w:szCs w:val="22"/>
        </w:rPr>
        <w:t>Hu et al., (2020)</w:t>
      </w:r>
      <w:r w:rsidR="00994C86" w:rsidRPr="00B916CC">
        <w:rPr>
          <w:sz w:val="22"/>
          <w:szCs w:val="22"/>
        </w:rPr>
        <w:t xml:space="preserve"> states that if the public have a lack of trust and confidence in the police it can undermine the perceived legitimacy and intentions of officers. </w:t>
      </w:r>
      <w:proofErr w:type="gramStart"/>
      <w:r w:rsidR="00994C86" w:rsidRPr="00B916CC">
        <w:rPr>
          <w:sz w:val="22"/>
          <w:szCs w:val="22"/>
        </w:rPr>
        <w:t>In order to</w:t>
      </w:r>
      <w:proofErr w:type="gramEnd"/>
      <w:r w:rsidR="00C83375" w:rsidRPr="00B916CC">
        <w:rPr>
          <w:sz w:val="22"/>
          <w:szCs w:val="22"/>
        </w:rPr>
        <w:t xml:space="preserve"> increase compliance of the law</w:t>
      </w:r>
      <w:r w:rsidR="00400A9C" w:rsidRPr="00B916CC">
        <w:rPr>
          <w:sz w:val="22"/>
          <w:szCs w:val="22"/>
        </w:rPr>
        <w:t xml:space="preserve"> </w:t>
      </w:r>
      <w:r w:rsidR="00994C86" w:rsidRPr="00B916CC">
        <w:rPr>
          <w:sz w:val="22"/>
          <w:szCs w:val="22"/>
        </w:rPr>
        <w:t>and also the</w:t>
      </w:r>
      <w:r w:rsidR="00400A9C" w:rsidRPr="00B916CC">
        <w:rPr>
          <w:sz w:val="22"/>
          <w:szCs w:val="22"/>
        </w:rPr>
        <w:t xml:space="preserve"> possible reduc</w:t>
      </w:r>
      <w:r w:rsidR="00994C86" w:rsidRPr="00B916CC">
        <w:rPr>
          <w:sz w:val="22"/>
          <w:szCs w:val="22"/>
        </w:rPr>
        <w:t xml:space="preserve">tion of </w:t>
      </w:r>
      <w:r w:rsidR="00400A9C" w:rsidRPr="00B916CC">
        <w:rPr>
          <w:sz w:val="22"/>
          <w:szCs w:val="22"/>
        </w:rPr>
        <w:t>the number of crimes committed</w:t>
      </w:r>
      <w:r w:rsidR="008B06A1" w:rsidRPr="00B916CC">
        <w:rPr>
          <w:sz w:val="22"/>
          <w:szCs w:val="22"/>
        </w:rPr>
        <w:t xml:space="preserve"> police forces need to ensure </w:t>
      </w:r>
      <w:r w:rsidR="00994C86" w:rsidRPr="00B916CC">
        <w:rPr>
          <w:sz w:val="22"/>
          <w:szCs w:val="22"/>
        </w:rPr>
        <w:t>that the public are treated appropriately by the police.</w:t>
      </w:r>
      <w:r w:rsidR="003D382D" w:rsidRPr="00B916CC">
        <w:rPr>
          <w:sz w:val="22"/>
          <w:szCs w:val="22"/>
        </w:rPr>
        <w:t xml:space="preserve"> </w:t>
      </w:r>
      <w:r w:rsidR="00F150D7" w:rsidRPr="00B916CC">
        <w:rPr>
          <w:sz w:val="22"/>
          <w:szCs w:val="22"/>
        </w:rPr>
        <w:t>(Peyton et al., 2019)</w:t>
      </w:r>
      <w:r w:rsidR="00282AFA" w:rsidRPr="00B916CC">
        <w:rPr>
          <w:sz w:val="22"/>
          <w:szCs w:val="22"/>
        </w:rPr>
        <w:t xml:space="preserve"> reiterates that differences in </w:t>
      </w:r>
      <w:r w:rsidR="00F150D7" w:rsidRPr="00B916CC">
        <w:rPr>
          <w:sz w:val="22"/>
          <w:szCs w:val="22"/>
        </w:rPr>
        <w:t>individuals’</w:t>
      </w:r>
      <w:r w:rsidR="00282AFA" w:rsidRPr="00B916CC">
        <w:rPr>
          <w:sz w:val="22"/>
          <w:szCs w:val="22"/>
        </w:rPr>
        <w:t xml:space="preserve"> inclination to assist law enforcement might be explained by procedural justice and legitimacy. </w:t>
      </w:r>
    </w:p>
    <w:p w14:paraId="22C9E1E5" w14:textId="77777777" w:rsidR="00D0697D" w:rsidRPr="00B916CC" w:rsidRDefault="00D0697D" w:rsidP="00E1255A">
      <w:pPr>
        <w:pStyle w:val="Default"/>
        <w:rPr>
          <w:color w:val="4472C4" w:themeColor="accent1"/>
          <w:sz w:val="22"/>
          <w:szCs w:val="22"/>
        </w:rPr>
      </w:pPr>
    </w:p>
    <w:p w14:paraId="3EEDE7A8" w14:textId="582CFB06" w:rsidR="00C83375" w:rsidRPr="00B916CC" w:rsidRDefault="003D382D" w:rsidP="00E1255A">
      <w:pPr>
        <w:pStyle w:val="Default"/>
        <w:rPr>
          <w:color w:val="000000" w:themeColor="text1"/>
          <w:sz w:val="22"/>
          <w:szCs w:val="22"/>
        </w:rPr>
      </w:pPr>
      <w:r w:rsidRPr="00B916CC">
        <w:rPr>
          <w:color w:val="000000" w:themeColor="text1"/>
          <w:sz w:val="22"/>
          <w:szCs w:val="22"/>
        </w:rPr>
        <w:t xml:space="preserve">When the public trust the police it is more likely that crimes are reported as they have </w:t>
      </w:r>
      <w:r w:rsidR="00A97FC4" w:rsidRPr="00B916CC">
        <w:rPr>
          <w:color w:val="000000" w:themeColor="text1"/>
          <w:sz w:val="22"/>
          <w:szCs w:val="22"/>
        </w:rPr>
        <w:t xml:space="preserve">an increased </w:t>
      </w:r>
      <w:r w:rsidRPr="00B916CC">
        <w:rPr>
          <w:color w:val="000000" w:themeColor="text1"/>
          <w:sz w:val="22"/>
          <w:szCs w:val="22"/>
        </w:rPr>
        <w:t>confidence in the police that the incident will be dealt with appropriately. Cooperation is essential for effective crime prevention and resolution. When the public view the police in a positive light it can help deescalate potentially violent situations and reduce conflict between police and community members.</w:t>
      </w:r>
      <w:r w:rsidR="00E47DBE" w:rsidRPr="00B916CC">
        <w:rPr>
          <w:color w:val="000000" w:themeColor="text1"/>
          <w:sz w:val="22"/>
          <w:szCs w:val="22"/>
        </w:rPr>
        <w:t xml:space="preserve"> College of Policing (2013)</w:t>
      </w:r>
      <w:r w:rsidRPr="00B916CC">
        <w:rPr>
          <w:color w:val="000000" w:themeColor="text1"/>
          <w:sz w:val="22"/>
          <w:szCs w:val="22"/>
        </w:rPr>
        <w:t xml:space="preserve"> </w:t>
      </w:r>
      <w:r w:rsidR="00E47DBE" w:rsidRPr="00B916CC">
        <w:rPr>
          <w:color w:val="000000" w:themeColor="text1"/>
          <w:sz w:val="22"/>
          <w:szCs w:val="22"/>
        </w:rPr>
        <w:t>recognise that r</w:t>
      </w:r>
      <w:r w:rsidRPr="00B916CC">
        <w:rPr>
          <w:color w:val="000000" w:themeColor="text1"/>
          <w:sz w:val="22"/>
          <w:szCs w:val="22"/>
        </w:rPr>
        <w:t xml:space="preserve">espectful interactions can help diffuse tensions and prevent confrontation from escalating violence. This is a result of treating public with fair and respectful treatment their authority is more likely to be accepted by the community leading to greater compliance of the law. </w:t>
      </w:r>
    </w:p>
    <w:p w14:paraId="71ED47E7" w14:textId="77777777" w:rsidR="00C47971" w:rsidRPr="00B916CC" w:rsidRDefault="00C47971" w:rsidP="00E1255A">
      <w:pPr>
        <w:pStyle w:val="Default"/>
        <w:rPr>
          <w:sz w:val="22"/>
          <w:szCs w:val="22"/>
        </w:rPr>
      </w:pPr>
    </w:p>
    <w:p w14:paraId="01E1E907" w14:textId="54CD9EDE" w:rsidR="005870FF" w:rsidRPr="00B916CC" w:rsidRDefault="00E61C1C" w:rsidP="00E1255A">
      <w:pPr>
        <w:pStyle w:val="Default"/>
        <w:rPr>
          <w:sz w:val="22"/>
          <w:szCs w:val="22"/>
        </w:rPr>
      </w:pPr>
      <w:r w:rsidRPr="00B916CC">
        <w:rPr>
          <w:sz w:val="22"/>
          <w:szCs w:val="22"/>
        </w:rPr>
        <w:t>Community engagement has a profound impact on policing in several ways, e</w:t>
      </w:r>
      <w:r w:rsidR="00400A9C" w:rsidRPr="00B916CC">
        <w:rPr>
          <w:spacing w:val="3"/>
          <w:sz w:val="22"/>
          <w:szCs w:val="22"/>
        </w:rPr>
        <w:t>vidence has shown that effective community engagement, targeted foot patrols and collaborative problem solving can significantly increase public confidence in policing activity.</w:t>
      </w:r>
      <w:r w:rsidR="0033715D" w:rsidRPr="00B916CC">
        <w:rPr>
          <w:sz w:val="22"/>
          <w:szCs w:val="22"/>
        </w:rPr>
        <w:t xml:space="preserve"> </w:t>
      </w:r>
      <w:r w:rsidRPr="00B916CC">
        <w:rPr>
          <w:sz w:val="22"/>
          <w:szCs w:val="22"/>
        </w:rPr>
        <w:t xml:space="preserve">By being visible to the </w:t>
      </w:r>
      <w:r w:rsidR="00F150D7" w:rsidRPr="00B916CC">
        <w:rPr>
          <w:sz w:val="22"/>
          <w:szCs w:val="22"/>
        </w:rPr>
        <w:t>public,</w:t>
      </w:r>
      <w:r w:rsidRPr="00B916CC">
        <w:rPr>
          <w:sz w:val="22"/>
          <w:szCs w:val="22"/>
        </w:rPr>
        <w:t xml:space="preserve"> it is easier to establish a rapport and foster a sense of cooperation, </w:t>
      </w:r>
      <w:r w:rsidRPr="00B916CC">
        <w:rPr>
          <w:sz w:val="22"/>
          <w:szCs w:val="22"/>
        </w:rPr>
        <w:lastRenderedPageBreak/>
        <w:t>making it easier to address crime and public safety concerns collaboratively</w:t>
      </w:r>
      <w:r w:rsidR="00994C86" w:rsidRPr="00B916CC">
        <w:rPr>
          <w:sz w:val="22"/>
          <w:szCs w:val="22"/>
        </w:rPr>
        <w:t xml:space="preserve"> (Merry et al., 2012)</w:t>
      </w:r>
      <w:r w:rsidRPr="00B916CC">
        <w:rPr>
          <w:sz w:val="22"/>
          <w:szCs w:val="22"/>
        </w:rPr>
        <w:t xml:space="preserve">. When officers actively engage with the community they can gain a better understanding of local issues, </w:t>
      </w:r>
      <w:proofErr w:type="gramStart"/>
      <w:r w:rsidRPr="00B916CC">
        <w:rPr>
          <w:sz w:val="22"/>
          <w:szCs w:val="22"/>
        </w:rPr>
        <w:t>concerns</w:t>
      </w:r>
      <w:proofErr w:type="gramEnd"/>
      <w:r w:rsidRPr="00B916CC">
        <w:rPr>
          <w:sz w:val="22"/>
          <w:szCs w:val="22"/>
        </w:rPr>
        <w:t xml:space="preserve"> and priorities</w:t>
      </w:r>
      <w:r w:rsidR="005870FF" w:rsidRPr="00B916CC">
        <w:rPr>
          <w:sz w:val="22"/>
          <w:szCs w:val="22"/>
        </w:rPr>
        <w:t xml:space="preserve"> (</w:t>
      </w:r>
      <w:proofErr w:type="spellStart"/>
      <w:r w:rsidR="005870FF" w:rsidRPr="00B916CC">
        <w:rPr>
          <w:sz w:val="22"/>
          <w:szCs w:val="22"/>
        </w:rPr>
        <w:t>Yesberg</w:t>
      </w:r>
      <w:proofErr w:type="spellEnd"/>
      <w:r w:rsidR="005870FF" w:rsidRPr="00B916CC">
        <w:rPr>
          <w:sz w:val="22"/>
          <w:szCs w:val="22"/>
        </w:rPr>
        <w:t xml:space="preserve"> et al., 2021)</w:t>
      </w:r>
      <w:r w:rsidRPr="00B916CC">
        <w:rPr>
          <w:sz w:val="22"/>
          <w:szCs w:val="22"/>
        </w:rPr>
        <w:t xml:space="preserve">. By engaging with the public, police forces can develop targeted strategies to address specific problems that the public express concerns over. Forces can then be influenced by the public and adjust their approaches appropriately to deal with issues raised such as neighbourhood disputes, antisocial </w:t>
      </w:r>
      <w:proofErr w:type="gramStart"/>
      <w:r w:rsidRPr="00B916CC">
        <w:rPr>
          <w:sz w:val="22"/>
          <w:szCs w:val="22"/>
        </w:rPr>
        <w:t>behaviour</w:t>
      </w:r>
      <w:proofErr w:type="gramEnd"/>
      <w:r w:rsidRPr="00B916CC">
        <w:rPr>
          <w:sz w:val="22"/>
          <w:szCs w:val="22"/>
        </w:rPr>
        <w:t xml:space="preserve"> and drugs</w:t>
      </w:r>
      <w:r w:rsidR="009A2350" w:rsidRPr="00B916CC">
        <w:rPr>
          <w:sz w:val="22"/>
          <w:szCs w:val="22"/>
        </w:rPr>
        <w:t>. By a having a better level of communication o</w:t>
      </w:r>
      <w:r w:rsidR="00647983" w:rsidRPr="00B916CC">
        <w:rPr>
          <w:sz w:val="22"/>
          <w:szCs w:val="22"/>
        </w:rPr>
        <w:t xml:space="preserve">fficers can connect individuals with resources, support services and community </w:t>
      </w:r>
      <w:r w:rsidR="00647983" w:rsidRPr="00B916CC">
        <w:rPr>
          <w:color w:val="000000" w:themeColor="text1"/>
          <w:sz w:val="22"/>
          <w:szCs w:val="22"/>
        </w:rPr>
        <w:t xml:space="preserve">programmes to address underlying issues contributing to crime and disorder. </w:t>
      </w:r>
      <w:r w:rsidR="005870FF" w:rsidRPr="00B916CC">
        <w:rPr>
          <w:color w:val="000000" w:themeColor="text1"/>
          <w:sz w:val="22"/>
          <w:szCs w:val="22"/>
        </w:rPr>
        <w:t xml:space="preserve">HMICFRS </w:t>
      </w:r>
      <w:r w:rsidR="00700891" w:rsidRPr="00B916CC">
        <w:rPr>
          <w:color w:val="000000" w:themeColor="text1"/>
          <w:sz w:val="22"/>
          <w:szCs w:val="22"/>
        </w:rPr>
        <w:t xml:space="preserve">(2019) </w:t>
      </w:r>
      <w:r w:rsidR="005870FF" w:rsidRPr="00B916CC">
        <w:rPr>
          <w:color w:val="000000" w:themeColor="text1"/>
          <w:sz w:val="22"/>
          <w:szCs w:val="22"/>
        </w:rPr>
        <w:t xml:space="preserve">notes that there seems to be a connection between contentment and frequently interacting with the police or witnessing them in the community. </w:t>
      </w:r>
      <w:r w:rsidR="00700891" w:rsidRPr="00B916CC">
        <w:rPr>
          <w:color w:val="000000" w:themeColor="text1"/>
          <w:sz w:val="22"/>
          <w:szCs w:val="22"/>
        </w:rPr>
        <w:t xml:space="preserve">Individuals who have interactions with police officers or PCSO’s in a </w:t>
      </w:r>
      <w:r w:rsidR="00B916CC" w:rsidRPr="00B916CC">
        <w:rPr>
          <w:color w:val="000000" w:themeColor="text1"/>
          <w:sz w:val="22"/>
          <w:szCs w:val="22"/>
        </w:rPr>
        <w:t>three-month</w:t>
      </w:r>
      <w:r w:rsidR="00700891" w:rsidRPr="00B916CC">
        <w:rPr>
          <w:color w:val="000000" w:themeColor="text1"/>
          <w:sz w:val="22"/>
          <w:szCs w:val="22"/>
        </w:rPr>
        <w:t xml:space="preserve"> period are 82% satisfied compared to individuals who do not at 61% overall satisfaction</w:t>
      </w:r>
      <w:r w:rsidR="00C41366" w:rsidRPr="00B916CC">
        <w:rPr>
          <w:color w:val="000000" w:themeColor="text1"/>
          <w:sz w:val="22"/>
          <w:szCs w:val="22"/>
        </w:rPr>
        <w:t xml:space="preserve"> (HMICFRS, 2019)</w:t>
      </w:r>
      <w:r w:rsidR="00700891" w:rsidRPr="00B916CC">
        <w:rPr>
          <w:color w:val="000000" w:themeColor="text1"/>
          <w:sz w:val="22"/>
          <w:szCs w:val="22"/>
        </w:rPr>
        <w:t xml:space="preserve">. </w:t>
      </w:r>
      <w:r w:rsidR="00647983" w:rsidRPr="00B916CC">
        <w:rPr>
          <w:sz w:val="22"/>
          <w:szCs w:val="22"/>
        </w:rPr>
        <w:t>This can also lead to wider engagement in initiatives such as more involvement in community policing programs, neighbourhood watch groups and youth outreach efforts by the community. It has been shown to contribute to crime reduction by empowering communities to play an active role in crime prevention and promoting positive social norms</w:t>
      </w:r>
      <w:r w:rsidR="009A2350" w:rsidRPr="00B916CC">
        <w:rPr>
          <w:sz w:val="22"/>
          <w:szCs w:val="22"/>
        </w:rPr>
        <w:t xml:space="preserve"> (Aiyer et al., 2014)</w:t>
      </w:r>
      <w:r w:rsidR="00647983" w:rsidRPr="00B916CC">
        <w:rPr>
          <w:sz w:val="22"/>
          <w:szCs w:val="22"/>
        </w:rPr>
        <w:t xml:space="preserve">. </w:t>
      </w:r>
    </w:p>
    <w:p w14:paraId="15F0EB79" w14:textId="77777777" w:rsidR="005870FF" w:rsidRPr="00B916CC" w:rsidRDefault="005870FF" w:rsidP="00E1255A">
      <w:pPr>
        <w:pStyle w:val="Default"/>
        <w:rPr>
          <w:spacing w:val="3"/>
          <w:sz w:val="22"/>
          <w:szCs w:val="22"/>
        </w:rPr>
      </w:pPr>
    </w:p>
    <w:p w14:paraId="353878D0" w14:textId="53262B83" w:rsidR="00C83375" w:rsidRPr="00B916CC" w:rsidRDefault="00C47971" w:rsidP="00E1255A">
      <w:pPr>
        <w:pStyle w:val="Default"/>
        <w:rPr>
          <w:spacing w:val="3"/>
          <w:sz w:val="22"/>
          <w:szCs w:val="22"/>
        </w:rPr>
      </w:pPr>
      <w:proofErr w:type="gramStart"/>
      <w:r w:rsidRPr="00B916CC">
        <w:rPr>
          <w:spacing w:val="3"/>
          <w:sz w:val="22"/>
          <w:szCs w:val="22"/>
        </w:rPr>
        <w:t>All of</w:t>
      </w:r>
      <w:proofErr w:type="gramEnd"/>
      <w:r w:rsidRPr="00B916CC">
        <w:rPr>
          <w:spacing w:val="3"/>
          <w:sz w:val="22"/>
          <w:szCs w:val="22"/>
        </w:rPr>
        <w:t xml:space="preserve"> the above can </w:t>
      </w:r>
      <w:r w:rsidR="00BF3324" w:rsidRPr="00B916CC">
        <w:rPr>
          <w:spacing w:val="3"/>
          <w:sz w:val="22"/>
          <w:szCs w:val="22"/>
        </w:rPr>
        <w:t>enhance</w:t>
      </w:r>
      <w:r w:rsidRPr="00B916CC">
        <w:rPr>
          <w:spacing w:val="3"/>
          <w:sz w:val="22"/>
          <w:szCs w:val="22"/>
        </w:rPr>
        <w:t xml:space="preserve"> response policing, leading to more effective crime prevention and response. </w:t>
      </w:r>
      <w:r w:rsidR="00BF3324" w:rsidRPr="00B916CC">
        <w:rPr>
          <w:spacing w:val="3"/>
          <w:sz w:val="22"/>
          <w:szCs w:val="22"/>
        </w:rPr>
        <w:t>However, if the overall public perception of the police is negative it can have a</w:t>
      </w:r>
      <w:r w:rsidR="00E05EAD" w:rsidRPr="00B916CC">
        <w:rPr>
          <w:spacing w:val="3"/>
          <w:sz w:val="22"/>
          <w:szCs w:val="22"/>
        </w:rPr>
        <w:t>n</w:t>
      </w:r>
      <w:r w:rsidR="00BF3324" w:rsidRPr="00B916CC">
        <w:rPr>
          <w:spacing w:val="3"/>
          <w:sz w:val="22"/>
          <w:szCs w:val="22"/>
        </w:rPr>
        <w:t xml:space="preserve"> adverse effect on polic</w:t>
      </w:r>
      <w:r w:rsidR="00E05EAD" w:rsidRPr="00B916CC">
        <w:rPr>
          <w:spacing w:val="3"/>
          <w:sz w:val="22"/>
          <w:szCs w:val="22"/>
        </w:rPr>
        <w:t>e and their ability to fulfil their duties effectively. If the overarching public perception of police is negative the level of trust is commonly low and so are the levels of cooperation</w:t>
      </w:r>
      <w:r w:rsidR="00B916CC" w:rsidRPr="00B916CC">
        <w:rPr>
          <w:spacing w:val="3"/>
          <w:sz w:val="22"/>
          <w:szCs w:val="22"/>
        </w:rPr>
        <w:t xml:space="preserve"> </w:t>
      </w:r>
      <w:r w:rsidR="00B916CC" w:rsidRPr="00B916CC">
        <w:rPr>
          <w:sz w:val="22"/>
          <w:szCs w:val="22"/>
        </w:rPr>
        <w:t>(Brunson &amp; Wade, 2019)</w:t>
      </w:r>
      <w:r w:rsidR="00E05EAD" w:rsidRPr="00B916CC">
        <w:rPr>
          <w:spacing w:val="3"/>
          <w:sz w:val="22"/>
          <w:szCs w:val="22"/>
        </w:rPr>
        <w:t>. Making it more challenging for officers to build relationship with the community. The lack of trust can lead to reduced cooperation with the police such as victims not coming forward and individuals being less likely to comply with the law, hindering investigations and crime prevention initiatives</w:t>
      </w:r>
      <w:r w:rsidR="00B916CC" w:rsidRPr="00B916CC">
        <w:rPr>
          <w:spacing w:val="3"/>
          <w:sz w:val="22"/>
          <w:szCs w:val="22"/>
        </w:rPr>
        <w:t xml:space="preserve"> </w:t>
      </w:r>
      <w:r w:rsidR="00B916CC" w:rsidRPr="00B916CC">
        <w:rPr>
          <w:sz w:val="22"/>
          <w:szCs w:val="22"/>
        </w:rPr>
        <w:t xml:space="preserve">(Kwak et al., 2019). </w:t>
      </w:r>
      <w:r w:rsidR="00E05EAD" w:rsidRPr="00B916CC">
        <w:rPr>
          <w:spacing w:val="3"/>
          <w:sz w:val="22"/>
          <w:szCs w:val="22"/>
        </w:rPr>
        <w:t xml:space="preserve">If most of the public view the police in a negative light it can increase the level of hostility and resistance. This could further escalate to confrontations, protests, or acts of violence against police officers. </w:t>
      </w:r>
      <w:r w:rsidR="00C52952" w:rsidRPr="00B916CC">
        <w:rPr>
          <w:spacing w:val="3"/>
          <w:sz w:val="22"/>
          <w:szCs w:val="22"/>
        </w:rPr>
        <w:t xml:space="preserve">It is noted that over recent years negative perceptions of the police from the public is increasing and remains at </w:t>
      </w:r>
      <w:proofErr w:type="spellStart"/>
      <w:proofErr w:type="gramStart"/>
      <w:r w:rsidR="00C52952" w:rsidRPr="00B916CC">
        <w:rPr>
          <w:spacing w:val="3"/>
          <w:sz w:val="22"/>
          <w:szCs w:val="22"/>
        </w:rPr>
        <w:t>it’s</w:t>
      </w:r>
      <w:proofErr w:type="spellEnd"/>
      <w:proofErr w:type="gramEnd"/>
      <w:r w:rsidR="00C52952" w:rsidRPr="00B916CC">
        <w:rPr>
          <w:spacing w:val="3"/>
          <w:sz w:val="22"/>
          <w:szCs w:val="22"/>
        </w:rPr>
        <w:t xml:space="preserve"> highest level since January 2020 with 27% feeling negatively towards the police (IOPC, 2022). </w:t>
      </w:r>
    </w:p>
    <w:p w14:paraId="7BA51C88" w14:textId="77777777" w:rsidR="00C47971" w:rsidRPr="00B916CC" w:rsidRDefault="00C47971" w:rsidP="00E1255A">
      <w:pPr>
        <w:pStyle w:val="Default"/>
        <w:rPr>
          <w:sz w:val="22"/>
          <w:szCs w:val="22"/>
        </w:rPr>
      </w:pPr>
    </w:p>
    <w:p w14:paraId="399C40EA" w14:textId="3839CB3D" w:rsidR="0033715D" w:rsidRPr="00B916CC" w:rsidRDefault="00C47971" w:rsidP="00E1255A">
      <w:pPr>
        <w:pStyle w:val="Default"/>
        <w:rPr>
          <w:sz w:val="22"/>
          <w:szCs w:val="22"/>
        </w:rPr>
      </w:pPr>
      <w:r w:rsidRPr="00B916CC">
        <w:rPr>
          <w:sz w:val="22"/>
          <w:szCs w:val="22"/>
        </w:rPr>
        <w:t>In conclusion</w:t>
      </w:r>
      <w:r w:rsidR="00E05EAD" w:rsidRPr="00B916CC">
        <w:rPr>
          <w:sz w:val="22"/>
          <w:szCs w:val="22"/>
        </w:rPr>
        <w:t xml:space="preserve"> public perception can have a substantial impact on response policing, engagement with communities, building trust and promoting </w:t>
      </w:r>
      <w:r w:rsidRPr="00B916CC">
        <w:rPr>
          <w:sz w:val="22"/>
          <w:szCs w:val="22"/>
        </w:rPr>
        <w:t>transparency</w:t>
      </w:r>
      <w:r w:rsidR="00E05EAD" w:rsidRPr="00B916CC">
        <w:rPr>
          <w:sz w:val="22"/>
          <w:szCs w:val="22"/>
        </w:rPr>
        <w:t xml:space="preserve"> can help to improve public perception of the police. This is turn can improve the polices ability to carry out their role. </w:t>
      </w:r>
      <w:r w:rsidR="0033715D" w:rsidRPr="00B916CC">
        <w:rPr>
          <w:sz w:val="22"/>
          <w:szCs w:val="22"/>
        </w:rPr>
        <w:t xml:space="preserve">Public perception is essential for fostering positive relationships, maintaining </w:t>
      </w:r>
      <w:proofErr w:type="gramStart"/>
      <w:r w:rsidR="0033715D" w:rsidRPr="00B916CC">
        <w:rPr>
          <w:sz w:val="22"/>
          <w:szCs w:val="22"/>
        </w:rPr>
        <w:t>order</w:t>
      </w:r>
      <w:proofErr w:type="gramEnd"/>
      <w:r w:rsidR="0033715D" w:rsidRPr="00B916CC">
        <w:rPr>
          <w:sz w:val="22"/>
          <w:szCs w:val="22"/>
        </w:rPr>
        <w:t xml:space="preserve"> and promoting public safety within communities.</w:t>
      </w:r>
      <w:r w:rsidR="00E05EAD" w:rsidRPr="00B916CC">
        <w:rPr>
          <w:sz w:val="22"/>
          <w:szCs w:val="22"/>
        </w:rPr>
        <w:t xml:space="preserve"> As previously highlighted without the cooperation of the public law enforcement would not be able to carry out their role and serve the community without their consent. </w:t>
      </w:r>
      <w:r w:rsidR="00C52952" w:rsidRPr="00B916CC">
        <w:rPr>
          <w:sz w:val="22"/>
          <w:szCs w:val="22"/>
        </w:rPr>
        <w:t xml:space="preserve">A reduction in positive public perception on response policing can cause difficulty in </w:t>
      </w:r>
      <w:r w:rsidR="00F150D7" w:rsidRPr="00B916CC">
        <w:rPr>
          <w:sz w:val="22"/>
          <w:szCs w:val="22"/>
        </w:rPr>
        <w:t xml:space="preserve">the </w:t>
      </w:r>
      <w:r w:rsidR="00C52952" w:rsidRPr="00B916CC">
        <w:rPr>
          <w:sz w:val="22"/>
          <w:szCs w:val="22"/>
        </w:rPr>
        <w:t xml:space="preserve">investigation </w:t>
      </w:r>
      <w:r w:rsidR="00F150D7" w:rsidRPr="00B916CC">
        <w:rPr>
          <w:sz w:val="22"/>
          <w:szCs w:val="22"/>
        </w:rPr>
        <w:t xml:space="preserve">process of </w:t>
      </w:r>
      <w:r w:rsidR="00C52952" w:rsidRPr="00B916CC">
        <w:rPr>
          <w:sz w:val="22"/>
          <w:szCs w:val="22"/>
        </w:rPr>
        <w:t>incidents</w:t>
      </w:r>
      <w:r w:rsidR="0070346C" w:rsidRPr="00B916CC">
        <w:rPr>
          <w:sz w:val="22"/>
          <w:szCs w:val="22"/>
        </w:rPr>
        <w:t>.</w:t>
      </w:r>
    </w:p>
    <w:p w14:paraId="1729A94F" w14:textId="77777777" w:rsidR="006A0ED9" w:rsidRPr="00AC52B5" w:rsidRDefault="006A0ED9" w:rsidP="00E1255A">
      <w:pPr>
        <w:pStyle w:val="Default"/>
        <w:rPr>
          <w:sz w:val="22"/>
          <w:szCs w:val="22"/>
        </w:rPr>
      </w:pPr>
    </w:p>
    <w:p w14:paraId="7112AAB0" w14:textId="05E248CE" w:rsidR="009D29C4" w:rsidRPr="00AC52B5" w:rsidRDefault="00533EA4" w:rsidP="00E1255A">
      <w:pPr>
        <w:pStyle w:val="Default"/>
        <w:rPr>
          <w:sz w:val="22"/>
          <w:szCs w:val="22"/>
        </w:rPr>
      </w:pPr>
      <w:r w:rsidRPr="00AC52B5">
        <w:rPr>
          <w:sz w:val="22"/>
          <w:szCs w:val="22"/>
        </w:rPr>
        <w:t>1</w:t>
      </w:r>
      <w:r w:rsidR="0070346C">
        <w:rPr>
          <w:sz w:val="22"/>
          <w:szCs w:val="22"/>
        </w:rPr>
        <w:t>1</w:t>
      </w:r>
      <w:r w:rsidR="00B916CC">
        <w:rPr>
          <w:sz w:val="22"/>
          <w:szCs w:val="22"/>
        </w:rPr>
        <w:t>43</w:t>
      </w:r>
    </w:p>
    <w:p w14:paraId="496781FF" w14:textId="383AB4A7" w:rsidR="00C41366" w:rsidRDefault="00C41366" w:rsidP="00C52952">
      <w:pPr>
        <w:pStyle w:val="Default"/>
        <w:rPr>
          <w:color w:val="4472C4" w:themeColor="accent1"/>
          <w:sz w:val="22"/>
          <w:szCs w:val="22"/>
        </w:rPr>
      </w:pPr>
      <w:r w:rsidRPr="00FA289D">
        <w:rPr>
          <w:color w:val="4472C4" w:themeColor="accent1"/>
          <w:sz w:val="22"/>
          <w:szCs w:val="22"/>
        </w:rPr>
        <w:t xml:space="preserve"> </w:t>
      </w:r>
    </w:p>
    <w:p w14:paraId="7208B55E" w14:textId="77777777" w:rsidR="00E05EAD" w:rsidRPr="00AC52B5" w:rsidRDefault="00E05EAD" w:rsidP="00E1255A">
      <w:pPr>
        <w:pStyle w:val="Default"/>
        <w:rPr>
          <w:sz w:val="22"/>
          <w:szCs w:val="22"/>
        </w:rPr>
      </w:pPr>
    </w:p>
    <w:p w14:paraId="271467B8" w14:textId="77777777" w:rsidR="000B0ACA" w:rsidRPr="00AC52B5" w:rsidRDefault="000B0ACA" w:rsidP="00E1255A">
      <w:pPr>
        <w:pStyle w:val="Default"/>
        <w:rPr>
          <w:rFonts w:ascii="Roboto" w:hAnsi="Roboto"/>
          <w:color w:val="000000" w:themeColor="text1"/>
          <w:sz w:val="22"/>
          <w:szCs w:val="22"/>
          <w:shd w:val="clear" w:color="auto" w:fill="FFFFFF"/>
        </w:rPr>
      </w:pPr>
    </w:p>
    <w:p w14:paraId="3FF650DC" w14:textId="77777777" w:rsidR="00994C86" w:rsidRPr="00AC52B5" w:rsidRDefault="00994C86" w:rsidP="00E1255A">
      <w:pPr>
        <w:pStyle w:val="Default"/>
        <w:rPr>
          <w:color w:val="000000" w:themeColor="text1"/>
          <w:sz w:val="22"/>
          <w:szCs w:val="22"/>
          <w:shd w:val="clear" w:color="auto" w:fill="FFFFFF"/>
        </w:rPr>
      </w:pPr>
    </w:p>
    <w:p w14:paraId="020DCAF7" w14:textId="77777777" w:rsidR="00C738B7" w:rsidRPr="00AC52B5" w:rsidRDefault="00C738B7" w:rsidP="00E1255A">
      <w:pPr>
        <w:pStyle w:val="Default"/>
        <w:rPr>
          <w:color w:val="000000" w:themeColor="text1"/>
          <w:sz w:val="22"/>
          <w:szCs w:val="22"/>
          <w:shd w:val="clear" w:color="auto" w:fill="FFFFFF"/>
        </w:rPr>
      </w:pPr>
    </w:p>
    <w:p w14:paraId="09EDA025" w14:textId="77777777" w:rsidR="00994C86" w:rsidRPr="00AC52B5" w:rsidRDefault="00994C86" w:rsidP="00E1255A">
      <w:pPr>
        <w:pStyle w:val="Default"/>
        <w:rPr>
          <w:color w:val="000000" w:themeColor="text1"/>
          <w:sz w:val="22"/>
          <w:szCs w:val="22"/>
          <w:shd w:val="clear" w:color="auto" w:fill="FFFFFF"/>
        </w:rPr>
      </w:pPr>
    </w:p>
    <w:p w14:paraId="7C2559BE" w14:textId="77777777" w:rsidR="00994C86" w:rsidRPr="00AC52B5" w:rsidRDefault="00994C86" w:rsidP="00E1255A">
      <w:pPr>
        <w:pStyle w:val="Default"/>
        <w:rPr>
          <w:color w:val="000000" w:themeColor="text1"/>
          <w:sz w:val="22"/>
          <w:szCs w:val="22"/>
          <w:shd w:val="clear" w:color="auto" w:fill="FFFFFF"/>
        </w:rPr>
      </w:pPr>
    </w:p>
    <w:p w14:paraId="3FF0D7F7" w14:textId="77777777" w:rsidR="00994C86" w:rsidRPr="00AC52B5" w:rsidRDefault="00994C86" w:rsidP="00E1255A">
      <w:pPr>
        <w:pStyle w:val="Default"/>
        <w:rPr>
          <w:rFonts w:ascii="Roboto" w:hAnsi="Roboto"/>
          <w:color w:val="000000" w:themeColor="text1"/>
          <w:sz w:val="22"/>
          <w:szCs w:val="22"/>
          <w:shd w:val="clear" w:color="auto" w:fill="FFFFFF"/>
        </w:rPr>
      </w:pPr>
    </w:p>
    <w:p w14:paraId="159A0802" w14:textId="77777777" w:rsidR="00994C86" w:rsidRPr="00AC52B5" w:rsidRDefault="00994C86" w:rsidP="00E1255A">
      <w:pPr>
        <w:pStyle w:val="Default"/>
        <w:rPr>
          <w:rFonts w:ascii="Roboto" w:hAnsi="Roboto"/>
          <w:color w:val="000000" w:themeColor="text1"/>
          <w:sz w:val="22"/>
          <w:szCs w:val="22"/>
          <w:shd w:val="clear" w:color="auto" w:fill="FFFFFF"/>
        </w:rPr>
      </w:pPr>
    </w:p>
    <w:p w14:paraId="5131F012" w14:textId="77777777" w:rsidR="00994C86" w:rsidRPr="00AC52B5" w:rsidRDefault="00994C86" w:rsidP="00E1255A">
      <w:pPr>
        <w:pStyle w:val="Default"/>
        <w:rPr>
          <w:b/>
          <w:bCs/>
          <w:sz w:val="22"/>
          <w:szCs w:val="22"/>
        </w:rPr>
      </w:pPr>
    </w:p>
    <w:p w14:paraId="779FCA5C" w14:textId="77777777" w:rsidR="00086A85" w:rsidRDefault="00086A85" w:rsidP="00E1255A">
      <w:pPr>
        <w:pStyle w:val="Default"/>
        <w:rPr>
          <w:b/>
          <w:bCs/>
          <w:sz w:val="22"/>
          <w:szCs w:val="22"/>
        </w:rPr>
      </w:pPr>
    </w:p>
    <w:p w14:paraId="37D5F3A7" w14:textId="77777777" w:rsidR="008249BB" w:rsidRDefault="008249BB" w:rsidP="00E1255A">
      <w:pPr>
        <w:pStyle w:val="Default"/>
        <w:rPr>
          <w:b/>
          <w:bCs/>
          <w:sz w:val="22"/>
          <w:szCs w:val="22"/>
        </w:rPr>
      </w:pPr>
    </w:p>
    <w:p w14:paraId="4991EC78" w14:textId="47BCFA2A" w:rsidR="00E1255A" w:rsidRPr="00AC52B5" w:rsidRDefault="00E1255A" w:rsidP="00E1255A">
      <w:pPr>
        <w:pStyle w:val="Default"/>
        <w:rPr>
          <w:sz w:val="22"/>
          <w:szCs w:val="22"/>
        </w:rPr>
      </w:pPr>
      <w:r w:rsidRPr="00AC52B5">
        <w:rPr>
          <w:b/>
          <w:bCs/>
          <w:sz w:val="22"/>
          <w:szCs w:val="22"/>
        </w:rPr>
        <w:lastRenderedPageBreak/>
        <w:t xml:space="preserve">Essay three: </w:t>
      </w:r>
    </w:p>
    <w:p w14:paraId="7E29A6A2" w14:textId="77777777" w:rsidR="00E1255A" w:rsidRPr="00AC52B5" w:rsidRDefault="00E1255A" w:rsidP="00E1255A">
      <w:pPr>
        <w:pStyle w:val="Default"/>
        <w:rPr>
          <w:sz w:val="22"/>
          <w:szCs w:val="22"/>
        </w:rPr>
      </w:pPr>
      <w:r w:rsidRPr="00AC52B5">
        <w:rPr>
          <w:sz w:val="22"/>
          <w:szCs w:val="22"/>
        </w:rPr>
        <w:t xml:space="preserve">Evaluate the effectiveness of cognitive interviews as a strategy for obtaining initial accounts from victims and witnesses. </w:t>
      </w:r>
    </w:p>
    <w:p w14:paraId="1EEA9C66" w14:textId="77777777" w:rsidR="00E1255A" w:rsidRPr="00AC52B5" w:rsidRDefault="00E1255A" w:rsidP="00E1255A">
      <w:pPr>
        <w:pStyle w:val="Default"/>
        <w:rPr>
          <w:sz w:val="22"/>
          <w:szCs w:val="22"/>
        </w:rPr>
      </w:pPr>
      <w:r w:rsidRPr="00AC52B5">
        <w:rPr>
          <w:sz w:val="22"/>
          <w:szCs w:val="22"/>
        </w:rPr>
        <w:t xml:space="preserve">Your answer must be based on academic research. </w:t>
      </w:r>
    </w:p>
    <w:p w14:paraId="7C8DF9D7" w14:textId="297EBF29" w:rsidR="00E1255A" w:rsidRPr="00AC52B5" w:rsidRDefault="00E1255A" w:rsidP="00E1255A">
      <w:r w:rsidRPr="00AC52B5">
        <w:rPr>
          <w:b/>
          <w:bCs/>
        </w:rPr>
        <w:t xml:space="preserve">Word limit: </w:t>
      </w:r>
      <w:r w:rsidRPr="00AC52B5">
        <w:t>1000 words.</w:t>
      </w:r>
    </w:p>
    <w:p w14:paraId="309641B6" w14:textId="5D7B6B8A" w:rsidR="00C67F8E" w:rsidRPr="00CA6B21" w:rsidRDefault="00C67F8E" w:rsidP="00E1255A">
      <w:pPr>
        <w:rPr>
          <w:rFonts w:ascii="Arial" w:hAnsi="Arial" w:cs="Arial"/>
        </w:rPr>
      </w:pPr>
      <w:r w:rsidRPr="00CA6B21">
        <w:rPr>
          <w:rFonts w:ascii="Arial" w:hAnsi="Arial" w:cs="Arial"/>
        </w:rPr>
        <w:t xml:space="preserve">This essay will evaluate the effectiveness of cognitive interviews as a strategy for obtaining initial accounts from victims and witnesses. </w:t>
      </w:r>
      <w:r w:rsidR="00EA1DAC" w:rsidRPr="00CA6B21">
        <w:rPr>
          <w:rFonts w:ascii="Arial" w:hAnsi="Arial" w:cs="Arial"/>
        </w:rPr>
        <w:t xml:space="preserve">Firstly, what a cognitive interview is will be covered and both the positive and negatives of cognitive interviews and how effective they are when used properly. </w:t>
      </w:r>
    </w:p>
    <w:p w14:paraId="1F94809F" w14:textId="162AE652" w:rsidR="00D96C7C" w:rsidRPr="00CA6B21" w:rsidRDefault="00C67F8E" w:rsidP="008A513D">
      <w:pPr>
        <w:rPr>
          <w:rFonts w:ascii="Arial" w:hAnsi="Arial" w:cs="Arial"/>
        </w:rPr>
      </w:pPr>
      <w:r w:rsidRPr="00CA6B21">
        <w:rPr>
          <w:rFonts w:ascii="Arial" w:hAnsi="Arial" w:cs="Arial"/>
        </w:rPr>
        <w:t>Cognitive interview</w:t>
      </w:r>
      <w:r w:rsidR="00086A85" w:rsidRPr="00CA6B21">
        <w:rPr>
          <w:rFonts w:ascii="Arial" w:hAnsi="Arial" w:cs="Arial"/>
        </w:rPr>
        <w:t>s are a method used by police and other investigative agencies to gather information from witnesses or victims of crimes. They are based on principles of cognitive psychology and memory recall, designed to maximise the accuracy and completeness of eyewitness’s testimony</w:t>
      </w:r>
      <w:r w:rsidR="001C4676" w:rsidRPr="00CA6B21">
        <w:rPr>
          <w:rFonts w:ascii="Arial" w:hAnsi="Arial" w:cs="Arial"/>
        </w:rPr>
        <w:t xml:space="preserve"> </w:t>
      </w:r>
      <w:r w:rsidR="0017191E" w:rsidRPr="00CA6B21">
        <w:rPr>
          <w:rFonts w:ascii="Arial" w:hAnsi="Arial" w:cs="Arial"/>
        </w:rPr>
        <w:t xml:space="preserve">(Milne et al, 2019). </w:t>
      </w:r>
      <w:r w:rsidR="00086A85" w:rsidRPr="00CA6B21">
        <w:rPr>
          <w:rFonts w:ascii="Arial" w:hAnsi="Arial" w:cs="Arial"/>
        </w:rPr>
        <w:t>Using this technique, the interviewer encourages the witness to mentally recreate the context surrounding the event, this can include the physical environment, emotions, and the thoughts they experienced at the time of the incident. This is believed that it will help trigger memory retrieval by recreating the original cognitive and emotional state</w:t>
      </w:r>
      <w:r w:rsidR="001C4676" w:rsidRPr="00CA6B21">
        <w:rPr>
          <w:rFonts w:ascii="Arial" w:hAnsi="Arial" w:cs="Arial"/>
        </w:rPr>
        <w:t xml:space="preserve"> </w:t>
      </w:r>
      <w:r w:rsidR="00E40AB2" w:rsidRPr="00CA6B21">
        <w:rPr>
          <w:rFonts w:ascii="Arial" w:hAnsi="Arial" w:cs="Arial"/>
        </w:rPr>
        <w:t>(Molinaro et al., 2019).</w:t>
      </w:r>
      <w:r w:rsidR="00086A85" w:rsidRPr="00CA6B21">
        <w:rPr>
          <w:rFonts w:ascii="Arial" w:hAnsi="Arial" w:cs="Arial"/>
        </w:rPr>
        <w:t xml:space="preserve"> Interviewers also ask the witness to provide as much detail as possible, this can include relevant and irrelevant information as it might become significant </w:t>
      </w:r>
      <w:r w:rsidR="00E40AB2" w:rsidRPr="00CA6B21">
        <w:rPr>
          <w:rFonts w:ascii="Arial" w:hAnsi="Arial" w:cs="Arial"/>
        </w:rPr>
        <w:t>later</w:t>
      </w:r>
      <w:r w:rsidR="00086A85" w:rsidRPr="00CA6B21">
        <w:rPr>
          <w:rFonts w:ascii="Arial" w:hAnsi="Arial" w:cs="Arial"/>
        </w:rPr>
        <w:t xml:space="preserve"> in the investigation. </w:t>
      </w:r>
      <w:r w:rsidR="0093399C" w:rsidRPr="00CA6B21">
        <w:rPr>
          <w:rFonts w:ascii="Arial" w:hAnsi="Arial" w:cs="Arial"/>
        </w:rPr>
        <w:t>Another technique incorporated into cognitive interviews is asking the witness to recall the incident in different sequences or orders</w:t>
      </w:r>
      <w:r w:rsidR="00E40AB2" w:rsidRPr="00CA6B21">
        <w:rPr>
          <w:rFonts w:ascii="Arial" w:hAnsi="Arial" w:cs="Arial"/>
        </w:rPr>
        <w:t xml:space="preserve"> (Finn et al., 2019)</w:t>
      </w:r>
      <w:r w:rsidR="0093399C" w:rsidRPr="00CA6B21">
        <w:rPr>
          <w:rFonts w:ascii="Arial" w:hAnsi="Arial" w:cs="Arial"/>
        </w:rPr>
        <w:t xml:space="preserve">. It can help prevent memory distortion and encourages retrieval of additional details. </w:t>
      </w:r>
      <w:r w:rsidR="008A513D" w:rsidRPr="00CA6B21">
        <w:rPr>
          <w:rFonts w:ascii="Arial" w:hAnsi="Arial" w:cs="Arial"/>
        </w:rPr>
        <w:t>Interviewers will also be prompted to recall events form different perspectives, such as imagining themselves observing the incident from a different perspective. This technique can provide alternative viewpoints and enhance memory retrieval</w:t>
      </w:r>
      <w:r w:rsidR="00E40AB2" w:rsidRPr="00CA6B21">
        <w:rPr>
          <w:rFonts w:ascii="Arial" w:hAnsi="Arial" w:cs="Arial"/>
        </w:rPr>
        <w:t xml:space="preserve"> (Eisenberg, 2019)</w:t>
      </w:r>
      <w:r w:rsidR="008A513D" w:rsidRPr="00CA6B21">
        <w:rPr>
          <w:rFonts w:ascii="Arial" w:hAnsi="Arial" w:cs="Arial"/>
        </w:rPr>
        <w:t xml:space="preserve">. </w:t>
      </w:r>
    </w:p>
    <w:p w14:paraId="3B3D95A0" w14:textId="30C88F81" w:rsidR="006D0191" w:rsidRPr="00CA6B21" w:rsidRDefault="008A513D" w:rsidP="008A513D">
      <w:pPr>
        <w:rPr>
          <w:rFonts w:ascii="Arial" w:hAnsi="Arial" w:cs="Arial"/>
        </w:rPr>
      </w:pPr>
      <w:r w:rsidRPr="00CA6B21">
        <w:rPr>
          <w:rFonts w:ascii="Arial" w:hAnsi="Arial" w:cs="Arial"/>
        </w:rPr>
        <w:t xml:space="preserve">Generally cognitive interviews </w:t>
      </w:r>
      <w:proofErr w:type="gramStart"/>
      <w:r w:rsidRPr="00CA6B21">
        <w:rPr>
          <w:rFonts w:ascii="Arial" w:hAnsi="Arial" w:cs="Arial"/>
        </w:rPr>
        <w:t>are considered to be</w:t>
      </w:r>
      <w:proofErr w:type="gramEnd"/>
      <w:r w:rsidR="00E767F8" w:rsidRPr="00CA6B21">
        <w:rPr>
          <w:rFonts w:ascii="Arial" w:hAnsi="Arial" w:cs="Arial"/>
        </w:rPr>
        <w:t xml:space="preserve"> an</w:t>
      </w:r>
      <w:r w:rsidRPr="00CA6B21">
        <w:rPr>
          <w:rFonts w:ascii="Arial" w:hAnsi="Arial" w:cs="Arial"/>
        </w:rPr>
        <w:t xml:space="preserve"> effective technique in aiding victims and witnesses in retrieving accurate and detailed accounts of crimes</w:t>
      </w:r>
      <w:r w:rsidR="00A77C15" w:rsidRPr="00CA6B21">
        <w:rPr>
          <w:rFonts w:ascii="Arial" w:hAnsi="Arial" w:cs="Arial"/>
        </w:rPr>
        <w:t xml:space="preserve"> (Baker-Eck &amp; Bull, 2022)</w:t>
      </w:r>
      <w:r w:rsidRPr="00CA6B21">
        <w:rPr>
          <w:rFonts w:ascii="Arial" w:hAnsi="Arial" w:cs="Arial"/>
        </w:rPr>
        <w:t xml:space="preserve">. </w:t>
      </w:r>
      <w:r w:rsidR="00E767F8" w:rsidRPr="00CA6B21">
        <w:rPr>
          <w:rFonts w:ascii="Arial" w:hAnsi="Arial" w:cs="Arial"/>
        </w:rPr>
        <w:t>The positives of cognitive interviews include enhanced memory retrieval, using techniques such as prompting the witness to mentally recreate the event and recall the event in different orders can lead to witnesses recalling more detailed and accurate information about the events they witnessed. Cognitive interviews emphasize the use of open-ended questions and encourage the witness to freely recall information without being influenced by leading or suggestive prompts</w:t>
      </w:r>
      <w:r w:rsidR="00A77C15" w:rsidRPr="00CA6B21">
        <w:rPr>
          <w:rFonts w:ascii="Arial" w:hAnsi="Arial" w:cs="Arial"/>
        </w:rPr>
        <w:t xml:space="preserve"> (Powell et al., 2012)</w:t>
      </w:r>
      <w:r w:rsidR="00E767F8" w:rsidRPr="00CA6B21">
        <w:rPr>
          <w:rFonts w:ascii="Arial" w:hAnsi="Arial" w:cs="Arial"/>
        </w:rPr>
        <w:t xml:space="preserve">. </w:t>
      </w:r>
    </w:p>
    <w:p w14:paraId="68E7C28B" w14:textId="236F9637" w:rsidR="008A513D" w:rsidRPr="00CA6B21" w:rsidRDefault="00E767F8" w:rsidP="008A513D">
      <w:pPr>
        <w:rPr>
          <w:rFonts w:ascii="Arial" w:hAnsi="Arial" w:cs="Arial"/>
        </w:rPr>
      </w:pPr>
      <w:r w:rsidRPr="00CA6B21">
        <w:rPr>
          <w:rFonts w:ascii="Arial" w:hAnsi="Arial" w:cs="Arial"/>
        </w:rPr>
        <w:t>Cognitive interviews are adaptable and can be tailored to suit the witnesses needs, cognitive abilities and specific circumstances</w:t>
      </w:r>
      <w:r w:rsidR="006D0191" w:rsidRPr="00CA6B21">
        <w:rPr>
          <w:rFonts w:ascii="Arial" w:hAnsi="Arial" w:cs="Arial"/>
        </w:rPr>
        <w:t>. Techniques can be simplified for children or adapted to accommodate for cognitive limitations of elderly individuals</w:t>
      </w:r>
      <w:r w:rsidR="000B7EDC" w:rsidRPr="00CA6B21">
        <w:rPr>
          <w:rFonts w:ascii="Arial" w:hAnsi="Arial" w:cs="Arial"/>
        </w:rPr>
        <w:t xml:space="preserve"> (</w:t>
      </w:r>
      <w:proofErr w:type="spellStart"/>
      <w:r w:rsidR="000B7EDC" w:rsidRPr="00CA6B21">
        <w:rPr>
          <w:rFonts w:ascii="Arial" w:hAnsi="Arial" w:cs="Arial"/>
        </w:rPr>
        <w:t>Ponizovsky</w:t>
      </w:r>
      <w:proofErr w:type="spellEnd"/>
      <w:r w:rsidR="000B7EDC" w:rsidRPr="00CA6B21">
        <w:rPr>
          <w:rFonts w:ascii="Arial" w:hAnsi="Arial" w:cs="Arial"/>
        </w:rPr>
        <w:t>-Bergelson et al., 2019)</w:t>
      </w:r>
      <w:r w:rsidR="006D0191" w:rsidRPr="00CA6B21">
        <w:rPr>
          <w:rFonts w:ascii="Arial" w:hAnsi="Arial" w:cs="Arial"/>
        </w:rPr>
        <w:t xml:space="preserve">. This technique can also be altered to consider psychological factors that may affect memory recall, such as stress, </w:t>
      </w:r>
      <w:proofErr w:type="gramStart"/>
      <w:r w:rsidR="006D0191" w:rsidRPr="00CA6B21">
        <w:rPr>
          <w:rFonts w:ascii="Arial" w:hAnsi="Arial" w:cs="Arial"/>
        </w:rPr>
        <w:t>trauma</w:t>
      </w:r>
      <w:proofErr w:type="gramEnd"/>
      <w:r w:rsidR="006D0191" w:rsidRPr="00CA6B21">
        <w:rPr>
          <w:rFonts w:ascii="Arial" w:hAnsi="Arial" w:cs="Arial"/>
        </w:rPr>
        <w:t xml:space="preserve"> and emotional state. </w:t>
      </w:r>
      <w:r w:rsidR="000B7EDC" w:rsidRPr="00CA6B21">
        <w:rPr>
          <w:rFonts w:ascii="Arial" w:hAnsi="Arial" w:cs="Arial"/>
        </w:rPr>
        <w:t xml:space="preserve">Waterhouse et al (2023) </w:t>
      </w:r>
      <w:r w:rsidR="00FA29B0" w:rsidRPr="00CA6B21">
        <w:rPr>
          <w:rFonts w:ascii="Arial" w:hAnsi="Arial" w:cs="Arial"/>
        </w:rPr>
        <w:t>support</w:t>
      </w:r>
      <w:r w:rsidR="00B37FC2" w:rsidRPr="00CA6B21">
        <w:rPr>
          <w:rFonts w:ascii="Arial" w:hAnsi="Arial" w:cs="Arial"/>
        </w:rPr>
        <w:t>s</w:t>
      </w:r>
      <w:r w:rsidR="00FA29B0" w:rsidRPr="00CA6B21">
        <w:rPr>
          <w:rFonts w:ascii="Arial" w:hAnsi="Arial" w:cs="Arial"/>
        </w:rPr>
        <w:t xml:space="preserve"> the effectiveness of cognitive interviews as they found that children interviewed by cognitive interviews recalled a larger amount of correct detail and there was no change in reported errors within information</w:t>
      </w:r>
      <w:r w:rsidR="00CA6B21" w:rsidRPr="00CA6B21">
        <w:rPr>
          <w:rFonts w:ascii="Arial" w:hAnsi="Arial" w:cs="Arial"/>
        </w:rPr>
        <w:t xml:space="preserve">. However, this was only found to be true when dealing with child witnesses of traumatic incidents and increased rapport may not be beneficial for children when dealing with </w:t>
      </w:r>
      <w:proofErr w:type="spellStart"/>
      <w:r w:rsidR="00CA6B21" w:rsidRPr="00CA6B21">
        <w:rPr>
          <w:rFonts w:ascii="Arial" w:hAnsi="Arial" w:cs="Arial"/>
        </w:rPr>
        <w:t>non traumatic</w:t>
      </w:r>
      <w:proofErr w:type="spellEnd"/>
      <w:r w:rsidR="00CA6B21" w:rsidRPr="00CA6B21">
        <w:rPr>
          <w:rFonts w:ascii="Arial" w:hAnsi="Arial" w:cs="Arial"/>
        </w:rPr>
        <w:t xml:space="preserve"> events</w:t>
      </w:r>
      <w:r w:rsidR="00FA29B0" w:rsidRPr="00CA6B21">
        <w:rPr>
          <w:rFonts w:ascii="Arial" w:hAnsi="Arial" w:cs="Arial"/>
        </w:rPr>
        <w:t xml:space="preserve">. </w:t>
      </w:r>
      <w:r w:rsidR="006D0191" w:rsidRPr="00CA6B21">
        <w:rPr>
          <w:rFonts w:ascii="Arial" w:hAnsi="Arial" w:cs="Arial"/>
        </w:rPr>
        <w:t>The adaptability of cognitive interviews allows interviewers to tailor their approach to meet unique needs and circumstances of each witness or victims, enhancing the effectiveness and reliability of the information obtained during the interview process</w:t>
      </w:r>
      <w:r w:rsidR="00B67920" w:rsidRPr="00CA6B21">
        <w:rPr>
          <w:rFonts w:ascii="Arial" w:hAnsi="Arial" w:cs="Arial"/>
        </w:rPr>
        <w:t xml:space="preserve"> (Miller, 2019)</w:t>
      </w:r>
      <w:r w:rsidR="006D0191" w:rsidRPr="00CA6B21">
        <w:rPr>
          <w:rFonts w:ascii="Arial" w:hAnsi="Arial" w:cs="Arial"/>
        </w:rPr>
        <w:t xml:space="preserve">. </w:t>
      </w:r>
    </w:p>
    <w:p w14:paraId="37F9804D" w14:textId="7B2CE068" w:rsidR="006D0191" w:rsidRPr="00CA6B21" w:rsidRDefault="006D0191" w:rsidP="008A513D">
      <w:pPr>
        <w:rPr>
          <w:rFonts w:ascii="Arial" w:hAnsi="Arial" w:cs="Arial"/>
        </w:rPr>
      </w:pPr>
      <w:r w:rsidRPr="00CA6B21">
        <w:rPr>
          <w:rFonts w:ascii="Arial" w:hAnsi="Arial" w:cs="Arial"/>
        </w:rPr>
        <w:t xml:space="preserve">Cognitive interviews are designed to create a supportive and non-confrontational environment for witnesses and victims, which can help facilitate memory retrieval and </w:t>
      </w:r>
      <w:r w:rsidRPr="00CA6B21">
        <w:rPr>
          <w:rFonts w:ascii="Arial" w:hAnsi="Arial" w:cs="Arial"/>
        </w:rPr>
        <w:lastRenderedPageBreak/>
        <w:t>encourage the provision of accurate information</w:t>
      </w:r>
      <w:r w:rsidR="002814EC" w:rsidRPr="00CA6B21">
        <w:rPr>
          <w:rFonts w:ascii="Arial" w:hAnsi="Arial" w:cs="Arial"/>
        </w:rPr>
        <w:t xml:space="preserve"> (Meadows, 2021)</w:t>
      </w:r>
      <w:r w:rsidRPr="00CA6B21">
        <w:rPr>
          <w:rFonts w:ascii="Arial" w:hAnsi="Arial" w:cs="Arial"/>
        </w:rPr>
        <w:t>. Interviewers are trained to demonstrate empathy and build rapport with the witness, establishing a trusting relationship from the outset. This helps the witness feel more comfortable and confident in sharing their experience.</w:t>
      </w:r>
      <w:r w:rsidR="003C022A" w:rsidRPr="00CA6B21">
        <w:rPr>
          <w:rFonts w:ascii="Arial" w:hAnsi="Arial" w:cs="Arial"/>
        </w:rPr>
        <w:t xml:space="preserve"> Interviewers use open ended questions and supportive prompts to encourage cooperations and reduce stress</w:t>
      </w:r>
      <w:r w:rsidR="002814EC" w:rsidRPr="00CA6B21">
        <w:rPr>
          <w:rFonts w:ascii="Arial" w:hAnsi="Arial" w:cs="Arial"/>
        </w:rPr>
        <w:t xml:space="preserve"> (Schmiedeberg &amp; Schröder, 2023)</w:t>
      </w:r>
      <w:r w:rsidR="003C022A" w:rsidRPr="00CA6B21">
        <w:rPr>
          <w:rFonts w:ascii="Arial" w:hAnsi="Arial" w:cs="Arial"/>
        </w:rPr>
        <w:t xml:space="preserve">. Interviewers are also trained to be sensitive to the emotional state of the witness and to respond appropriately to signs of distress or discomfort. </w:t>
      </w:r>
    </w:p>
    <w:p w14:paraId="4E33F0CB" w14:textId="3D8D8DC0" w:rsidR="003C022A" w:rsidRPr="00CA6B21" w:rsidRDefault="003C022A" w:rsidP="008A513D">
      <w:pPr>
        <w:rPr>
          <w:rFonts w:ascii="Arial" w:hAnsi="Arial" w:cs="Arial"/>
        </w:rPr>
      </w:pPr>
      <w:r w:rsidRPr="00CA6B21">
        <w:rPr>
          <w:rFonts w:ascii="Arial" w:hAnsi="Arial" w:cs="Arial"/>
        </w:rPr>
        <w:t xml:space="preserve">Although cognitive interviews are argued to be effective in the collection of initial accounts from victims and witness there are some drawbacks. </w:t>
      </w:r>
      <w:r w:rsidR="00EA1DAC" w:rsidRPr="00CA6B21">
        <w:rPr>
          <w:rFonts w:ascii="Arial" w:hAnsi="Arial" w:cs="Arial"/>
        </w:rPr>
        <w:t>Cognitive interviews can be more time consuming compared to other interviewing techniques, due to the emphasis on open ended questions and detailed recall</w:t>
      </w:r>
      <w:r w:rsidR="00B67920" w:rsidRPr="00CA6B21">
        <w:rPr>
          <w:rFonts w:ascii="Arial" w:hAnsi="Arial" w:cs="Arial"/>
        </w:rPr>
        <w:t xml:space="preserve"> (Clemens et al., 2019)</w:t>
      </w:r>
      <w:r w:rsidR="00EA1DAC" w:rsidRPr="00CA6B21">
        <w:rPr>
          <w:rFonts w:ascii="Arial" w:hAnsi="Arial" w:cs="Arial"/>
        </w:rPr>
        <w:t xml:space="preserve">. </w:t>
      </w:r>
      <w:r w:rsidR="00B67920" w:rsidRPr="00CA6B21">
        <w:rPr>
          <w:rFonts w:ascii="Arial" w:hAnsi="Arial" w:cs="Arial"/>
        </w:rPr>
        <w:t xml:space="preserve">Due to the increased amount of time that cognitive interviews require to be carried out they may be </w:t>
      </w:r>
      <w:r w:rsidR="00BA0C56" w:rsidRPr="00CA6B21">
        <w:rPr>
          <w:rFonts w:ascii="Arial" w:hAnsi="Arial" w:cs="Arial"/>
        </w:rPr>
        <w:t>less likely to be used by police officers for less serious crimes</w:t>
      </w:r>
      <w:r w:rsidR="00A60B00" w:rsidRPr="00CA6B21">
        <w:rPr>
          <w:rFonts w:ascii="Arial" w:hAnsi="Arial" w:cs="Arial"/>
        </w:rPr>
        <w:t xml:space="preserve"> (Leahy-Harland &amp; Bull, 2020)</w:t>
      </w:r>
      <w:r w:rsidR="00BA0C56" w:rsidRPr="00CA6B21">
        <w:rPr>
          <w:rFonts w:ascii="Arial" w:hAnsi="Arial" w:cs="Arial"/>
        </w:rPr>
        <w:t xml:space="preserve">. Cognitive interviews </w:t>
      </w:r>
      <w:r w:rsidR="00EA1DAC" w:rsidRPr="00CA6B21">
        <w:rPr>
          <w:rFonts w:ascii="Arial" w:hAnsi="Arial" w:cs="Arial"/>
        </w:rPr>
        <w:t xml:space="preserve">may not be practical in situations where time is limited, such as during an emergency response or when dealing with </w:t>
      </w:r>
      <w:proofErr w:type="gramStart"/>
      <w:r w:rsidR="00EA1DAC" w:rsidRPr="00CA6B21">
        <w:rPr>
          <w:rFonts w:ascii="Arial" w:hAnsi="Arial" w:cs="Arial"/>
        </w:rPr>
        <w:t>a large number of</w:t>
      </w:r>
      <w:proofErr w:type="gramEnd"/>
      <w:r w:rsidR="00EA1DAC" w:rsidRPr="00CA6B21">
        <w:rPr>
          <w:rFonts w:ascii="Arial" w:hAnsi="Arial" w:cs="Arial"/>
        </w:rPr>
        <w:t xml:space="preserve"> witnesses. </w:t>
      </w:r>
    </w:p>
    <w:p w14:paraId="1239196D" w14:textId="4586A80F" w:rsidR="003C5924" w:rsidRPr="00CA6B21" w:rsidRDefault="003C5924" w:rsidP="008A513D">
      <w:pPr>
        <w:rPr>
          <w:rFonts w:ascii="Arial" w:hAnsi="Arial" w:cs="Arial"/>
        </w:rPr>
      </w:pPr>
      <w:r w:rsidRPr="00CA6B21">
        <w:rPr>
          <w:rFonts w:ascii="Arial" w:hAnsi="Arial" w:cs="Arial"/>
        </w:rPr>
        <w:t xml:space="preserve">Another drawback of using cognitive interviews as a technique to gain initial accounts is the specialist training required for officers to be able to carry out this type of interview. Law enforcement officers and interviewers need to be trained in cognitive interview techniques to ensure they are implemented correctly. </w:t>
      </w:r>
      <w:r w:rsidR="00A60B00" w:rsidRPr="00CA6B21">
        <w:rPr>
          <w:rFonts w:ascii="Arial" w:hAnsi="Arial" w:cs="Arial"/>
        </w:rPr>
        <w:t xml:space="preserve">Hanway et </w:t>
      </w:r>
      <w:r w:rsidR="00B37FC2" w:rsidRPr="00CA6B21">
        <w:rPr>
          <w:rFonts w:ascii="Arial" w:hAnsi="Arial" w:cs="Arial"/>
        </w:rPr>
        <w:t>al (</w:t>
      </w:r>
      <w:r w:rsidR="00A60B00" w:rsidRPr="00CA6B21">
        <w:rPr>
          <w:rFonts w:ascii="Arial" w:hAnsi="Arial" w:cs="Arial"/>
        </w:rPr>
        <w:t xml:space="preserve">2020) </w:t>
      </w:r>
      <w:r w:rsidR="00BA0C56" w:rsidRPr="00CA6B21">
        <w:rPr>
          <w:rFonts w:ascii="Arial" w:hAnsi="Arial" w:cs="Arial"/>
        </w:rPr>
        <w:t xml:space="preserve">note that the use of cognitive interviews can be compromised by either lack of time or confidence if the interviewer is insufficiently trained. </w:t>
      </w:r>
      <w:r w:rsidRPr="00CA6B21">
        <w:rPr>
          <w:rFonts w:ascii="Arial" w:hAnsi="Arial" w:cs="Arial"/>
        </w:rPr>
        <w:t>Th</w:t>
      </w:r>
      <w:r w:rsidR="00BA0C56" w:rsidRPr="00CA6B21">
        <w:rPr>
          <w:rFonts w:ascii="Arial" w:hAnsi="Arial" w:cs="Arial"/>
        </w:rPr>
        <w:t>e training</w:t>
      </w:r>
      <w:r w:rsidRPr="00CA6B21">
        <w:rPr>
          <w:rFonts w:ascii="Arial" w:hAnsi="Arial" w:cs="Arial"/>
        </w:rPr>
        <w:t xml:space="preserve"> can be resource intensive and may require ongoing professional development. </w:t>
      </w:r>
      <w:r w:rsidR="00746FBE" w:rsidRPr="00CA6B21">
        <w:rPr>
          <w:rFonts w:ascii="Arial" w:hAnsi="Arial" w:cs="Arial"/>
        </w:rPr>
        <w:t xml:space="preserve">Like every other technique of interviewing, </w:t>
      </w:r>
      <w:r w:rsidR="009546F9" w:rsidRPr="00CA6B21">
        <w:rPr>
          <w:rFonts w:ascii="Arial" w:hAnsi="Arial" w:cs="Arial"/>
        </w:rPr>
        <w:t xml:space="preserve">every interviewer will have a different technique due to the variety of the approach which could provide inconsistent results in interview </w:t>
      </w:r>
      <w:r w:rsidR="008013F3" w:rsidRPr="00CA6B21">
        <w:rPr>
          <w:rFonts w:ascii="Arial" w:hAnsi="Arial" w:cs="Arial"/>
        </w:rPr>
        <w:t>(Haworth, 2020).</w:t>
      </w:r>
    </w:p>
    <w:p w14:paraId="6BD60D41" w14:textId="49B35104" w:rsidR="003C5924" w:rsidRPr="00CA6B21" w:rsidRDefault="003C5924" w:rsidP="008A513D">
      <w:pPr>
        <w:rPr>
          <w:rFonts w:ascii="Arial" w:hAnsi="Arial" w:cs="Arial"/>
        </w:rPr>
      </w:pPr>
      <w:r w:rsidRPr="00CA6B21">
        <w:rPr>
          <w:rFonts w:ascii="Arial" w:hAnsi="Arial" w:cs="Arial"/>
        </w:rPr>
        <w:t xml:space="preserve">Due to the complex </w:t>
      </w:r>
      <w:r w:rsidRPr="00C53049">
        <w:rPr>
          <w:rFonts w:ascii="Arial" w:hAnsi="Arial" w:cs="Arial"/>
        </w:rPr>
        <w:t>nature cognitive interviews some witnesses may find it challenging to understand or implement effectively. This is especially true for individuals with cognitive impairments or limited verbal abilities, they may struggle to engage in the cognitive processes involved in memory retrieval</w:t>
      </w:r>
      <w:r w:rsidR="00601EF0" w:rsidRPr="00C53049">
        <w:rPr>
          <w:rFonts w:ascii="Arial" w:hAnsi="Arial" w:cs="Arial"/>
        </w:rPr>
        <w:t xml:space="preserve"> </w:t>
      </w:r>
      <w:r w:rsidR="00F77221" w:rsidRPr="00C53049">
        <w:rPr>
          <w:rFonts w:ascii="Arial" w:hAnsi="Arial" w:cs="Arial"/>
        </w:rPr>
        <w:t>(Bhatt &amp; Gentile, 2021)</w:t>
      </w:r>
      <w:r w:rsidR="00601EF0" w:rsidRPr="00C53049">
        <w:rPr>
          <w:rFonts w:ascii="Arial" w:hAnsi="Arial" w:cs="Arial"/>
        </w:rPr>
        <w:t>. C</w:t>
      </w:r>
      <w:r w:rsidR="00B5757C" w:rsidRPr="00C53049">
        <w:rPr>
          <w:rFonts w:ascii="Arial" w:hAnsi="Arial" w:cs="Arial"/>
        </w:rPr>
        <w:t>ognitive interviews may be less effective in situations involving uncooperative or hostile individuals</w:t>
      </w:r>
      <w:r w:rsidR="00C53049" w:rsidRPr="00C53049">
        <w:rPr>
          <w:rFonts w:ascii="Arial" w:hAnsi="Arial" w:cs="Arial"/>
        </w:rPr>
        <w:t xml:space="preserve"> (Hope &amp; </w:t>
      </w:r>
      <w:proofErr w:type="spellStart"/>
      <w:r w:rsidR="00C53049" w:rsidRPr="00C53049">
        <w:rPr>
          <w:rFonts w:ascii="Arial" w:hAnsi="Arial" w:cs="Arial"/>
        </w:rPr>
        <w:t>Garbbert</w:t>
      </w:r>
      <w:proofErr w:type="spellEnd"/>
      <w:r w:rsidR="00C53049" w:rsidRPr="00C53049">
        <w:rPr>
          <w:rFonts w:ascii="Arial" w:hAnsi="Arial" w:cs="Arial"/>
        </w:rPr>
        <w:t>, 2019)</w:t>
      </w:r>
      <w:r w:rsidR="00B5757C" w:rsidRPr="00C53049">
        <w:rPr>
          <w:rFonts w:ascii="Arial" w:hAnsi="Arial" w:cs="Arial"/>
        </w:rPr>
        <w:t>. In these cases, other interview techniques may be more favourable.</w:t>
      </w:r>
      <w:r w:rsidR="00B5757C" w:rsidRPr="00CA6B21">
        <w:rPr>
          <w:rFonts w:ascii="Arial" w:hAnsi="Arial" w:cs="Arial"/>
        </w:rPr>
        <w:t xml:space="preserve"> </w:t>
      </w:r>
    </w:p>
    <w:p w14:paraId="5681837F" w14:textId="18F6D069" w:rsidR="00B5757C" w:rsidRPr="00CA6B21" w:rsidRDefault="00B5757C" w:rsidP="008A513D">
      <w:pPr>
        <w:rPr>
          <w:rFonts w:ascii="Arial" w:hAnsi="Arial" w:cs="Arial"/>
        </w:rPr>
      </w:pPr>
      <w:r w:rsidRPr="00CA6B21">
        <w:rPr>
          <w:rFonts w:ascii="Arial" w:hAnsi="Arial" w:cs="Arial"/>
        </w:rPr>
        <w:t>In conclusion cognitive interviews have demonstrated effectiveness in enhancing memory retrieval and improving quality of information</w:t>
      </w:r>
      <w:r w:rsidR="00FA29B0" w:rsidRPr="00CA6B21">
        <w:rPr>
          <w:rFonts w:ascii="Arial" w:hAnsi="Arial" w:cs="Arial"/>
        </w:rPr>
        <w:t xml:space="preserve">. They can be especially useful when interview child witnesses and victims by increase correct recall and a larger amount of information. Although cognitive interviews </w:t>
      </w:r>
      <w:r w:rsidRPr="00CA6B21">
        <w:rPr>
          <w:rFonts w:ascii="Arial" w:hAnsi="Arial" w:cs="Arial"/>
        </w:rPr>
        <w:t>are not without limitations</w:t>
      </w:r>
      <w:r w:rsidR="00FA29B0" w:rsidRPr="00CA6B21">
        <w:rPr>
          <w:rFonts w:ascii="Arial" w:hAnsi="Arial" w:cs="Arial"/>
        </w:rPr>
        <w:t>, i</w:t>
      </w:r>
      <w:r w:rsidRPr="00CA6B21">
        <w:rPr>
          <w:rFonts w:ascii="Arial" w:hAnsi="Arial" w:cs="Arial"/>
        </w:rPr>
        <w:t>t is essential that officers and interviewers to be aware of the potential drawbacks and to use cognitive interview techniques in conjunction with other investigative methods to obtain reliable and accurate first accounts from witnesses and victims.</w:t>
      </w:r>
    </w:p>
    <w:p w14:paraId="5779D1C6" w14:textId="295FCF01" w:rsidR="00D96C7C" w:rsidRPr="00AC52B5" w:rsidRDefault="006A0ED9" w:rsidP="00E1255A">
      <w:r>
        <w:t>9</w:t>
      </w:r>
      <w:r w:rsidR="00CA6B21">
        <w:t>9</w:t>
      </w:r>
      <w:r w:rsidR="00C53049">
        <w:t>4</w:t>
      </w:r>
    </w:p>
    <w:p w14:paraId="16767751" w14:textId="77777777" w:rsidR="00601EF0" w:rsidRPr="00AC52B5" w:rsidRDefault="00601EF0" w:rsidP="00E1255A"/>
    <w:p w14:paraId="374DB83D" w14:textId="77777777" w:rsidR="00601EF0" w:rsidRPr="00AC52B5" w:rsidRDefault="00601EF0" w:rsidP="00E1255A"/>
    <w:p w14:paraId="4ABE0E1F" w14:textId="77777777" w:rsidR="00601EF0" w:rsidRPr="00AC52B5" w:rsidRDefault="00601EF0" w:rsidP="00E1255A"/>
    <w:p w14:paraId="60AC9085" w14:textId="77777777" w:rsidR="00AC52B5" w:rsidRDefault="00AC52B5" w:rsidP="00E1255A">
      <w:pPr>
        <w:pStyle w:val="Default"/>
        <w:rPr>
          <w:b/>
          <w:bCs/>
          <w:sz w:val="22"/>
          <w:szCs w:val="22"/>
        </w:rPr>
      </w:pPr>
    </w:p>
    <w:p w14:paraId="75FFFFAF" w14:textId="77777777" w:rsidR="007A4075" w:rsidRPr="00AC52B5" w:rsidRDefault="007A4075" w:rsidP="00E1255A">
      <w:pPr>
        <w:pStyle w:val="Default"/>
        <w:rPr>
          <w:b/>
          <w:bCs/>
          <w:sz w:val="22"/>
          <w:szCs w:val="22"/>
        </w:rPr>
      </w:pPr>
    </w:p>
    <w:p w14:paraId="2C40FD89" w14:textId="77777777" w:rsidR="008249BB" w:rsidRDefault="008249BB" w:rsidP="00E1255A">
      <w:pPr>
        <w:pStyle w:val="Default"/>
        <w:rPr>
          <w:b/>
          <w:bCs/>
          <w:sz w:val="22"/>
          <w:szCs w:val="22"/>
        </w:rPr>
      </w:pPr>
    </w:p>
    <w:p w14:paraId="63276622" w14:textId="77777777" w:rsidR="008249BB" w:rsidRDefault="008249BB" w:rsidP="00E1255A">
      <w:pPr>
        <w:pStyle w:val="Default"/>
        <w:rPr>
          <w:b/>
          <w:bCs/>
          <w:sz w:val="22"/>
          <w:szCs w:val="22"/>
        </w:rPr>
      </w:pPr>
    </w:p>
    <w:p w14:paraId="2007194A" w14:textId="544B2DC3" w:rsidR="00E1255A" w:rsidRPr="00AC52B5" w:rsidRDefault="00E1255A" w:rsidP="00E1255A">
      <w:pPr>
        <w:pStyle w:val="Default"/>
        <w:rPr>
          <w:sz w:val="22"/>
          <w:szCs w:val="22"/>
        </w:rPr>
      </w:pPr>
      <w:r w:rsidRPr="00AC52B5">
        <w:rPr>
          <w:b/>
          <w:bCs/>
          <w:sz w:val="22"/>
          <w:szCs w:val="22"/>
        </w:rPr>
        <w:lastRenderedPageBreak/>
        <w:t xml:space="preserve">Essay four: </w:t>
      </w:r>
    </w:p>
    <w:p w14:paraId="4B61FBE8" w14:textId="77777777" w:rsidR="00E1255A" w:rsidRPr="00AC52B5" w:rsidRDefault="00E1255A" w:rsidP="00E1255A">
      <w:pPr>
        <w:pStyle w:val="Default"/>
        <w:rPr>
          <w:sz w:val="22"/>
          <w:szCs w:val="22"/>
        </w:rPr>
      </w:pPr>
      <w:r w:rsidRPr="00AC52B5">
        <w:rPr>
          <w:sz w:val="22"/>
          <w:szCs w:val="22"/>
        </w:rPr>
        <w:t xml:space="preserve">Examine the positive and negative aspects of media attention when dealing with public protection incidents. </w:t>
      </w:r>
    </w:p>
    <w:p w14:paraId="0909CCD3" w14:textId="77777777" w:rsidR="00E1255A" w:rsidRPr="00AC52B5" w:rsidRDefault="00E1255A" w:rsidP="00E1255A">
      <w:pPr>
        <w:pStyle w:val="Default"/>
        <w:rPr>
          <w:sz w:val="22"/>
          <w:szCs w:val="22"/>
        </w:rPr>
      </w:pPr>
      <w:r w:rsidRPr="00AC52B5">
        <w:rPr>
          <w:sz w:val="22"/>
          <w:szCs w:val="22"/>
        </w:rPr>
        <w:t xml:space="preserve">Your answer must be based on academic research rather than personal experience. </w:t>
      </w:r>
    </w:p>
    <w:p w14:paraId="36BB328C" w14:textId="58037073" w:rsidR="00E1255A" w:rsidRPr="003500AC" w:rsidRDefault="00E1255A" w:rsidP="00E1255A">
      <w:pPr>
        <w:rPr>
          <w:rFonts w:ascii="Arial" w:hAnsi="Arial" w:cs="Arial"/>
        </w:rPr>
      </w:pPr>
      <w:r w:rsidRPr="003500AC">
        <w:rPr>
          <w:rFonts w:ascii="Arial" w:hAnsi="Arial" w:cs="Arial"/>
          <w:b/>
          <w:bCs/>
        </w:rPr>
        <w:t xml:space="preserve">Word limit: </w:t>
      </w:r>
      <w:r w:rsidRPr="003500AC">
        <w:rPr>
          <w:rFonts w:ascii="Arial" w:hAnsi="Arial" w:cs="Arial"/>
        </w:rPr>
        <w:t>1000 words.</w:t>
      </w:r>
    </w:p>
    <w:p w14:paraId="4A49AA0C" w14:textId="77777777" w:rsidR="002B6C91" w:rsidRPr="00C1720F" w:rsidRDefault="00924489" w:rsidP="00313E9A">
      <w:pPr>
        <w:spacing w:after="0"/>
        <w:rPr>
          <w:rFonts w:ascii="Arial" w:hAnsi="Arial" w:cs="Arial"/>
        </w:rPr>
      </w:pPr>
      <w:r w:rsidRPr="00C1720F">
        <w:rPr>
          <w:rFonts w:ascii="Arial" w:hAnsi="Arial" w:cs="Arial"/>
        </w:rPr>
        <w:t>This essay will examine the positive and negative aspects of media attention when dealing with public protection incidents. The relationship between the media and the police is a complex and multifaceted</w:t>
      </w:r>
      <w:r w:rsidR="002B6C91" w:rsidRPr="00C1720F">
        <w:rPr>
          <w:rFonts w:ascii="Arial" w:hAnsi="Arial" w:cs="Arial"/>
        </w:rPr>
        <w:t xml:space="preserve"> and it </w:t>
      </w:r>
      <w:r w:rsidRPr="00C1720F">
        <w:rPr>
          <w:rFonts w:ascii="Arial" w:hAnsi="Arial" w:cs="Arial"/>
        </w:rPr>
        <w:t xml:space="preserve">serves </w:t>
      </w:r>
      <w:r w:rsidR="00AE3F76" w:rsidRPr="00C1720F">
        <w:rPr>
          <w:rFonts w:ascii="Arial" w:hAnsi="Arial" w:cs="Arial"/>
        </w:rPr>
        <w:t xml:space="preserve">as a </w:t>
      </w:r>
      <w:r w:rsidRPr="00C1720F">
        <w:rPr>
          <w:rFonts w:ascii="Arial" w:hAnsi="Arial" w:cs="Arial"/>
        </w:rPr>
        <w:t xml:space="preserve">vital conduit for the police to communicate with the public. </w:t>
      </w:r>
    </w:p>
    <w:p w14:paraId="28BF3A10" w14:textId="77777777" w:rsidR="002B6C91" w:rsidRPr="00C1720F" w:rsidRDefault="002B6C91" w:rsidP="00313E9A">
      <w:pPr>
        <w:spacing w:after="0"/>
        <w:rPr>
          <w:rFonts w:ascii="Arial" w:hAnsi="Arial" w:cs="Arial"/>
        </w:rPr>
      </w:pPr>
    </w:p>
    <w:p w14:paraId="182A0B53" w14:textId="4B9A17DD" w:rsidR="00924489" w:rsidRPr="00C1720F" w:rsidRDefault="00924489" w:rsidP="00313E9A">
      <w:pPr>
        <w:spacing w:after="0"/>
        <w:rPr>
          <w:rFonts w:ascii="Arial" w:hAnsi="Arial" w:cs="Arial"/>
        </w:rPr>
      </w:pPr>
      <w:r w:rsidRPr="00C1720F">
        <w:rPr>
          <w:rFonts w:ascii="Arial" w:hAnsi="Arial" w:cs="Arial"/>
        </w:rPr>
        <w:t>Police forces use the media for press releases, press conferences and interviews to alert the public about safety concerns, request information regarding a specific person or incident. In turn the media rely on police forces to pass information on breaking news stories and crime related developments</w:t>
      </w:r>
      <w:r w:rsidR="00634924" w:rsidRPr="00C1720F">
        <w:rPr>
          <w:rFonts w:ascii="Arial" w:hAnsi="Arial" w:cs="Arial"/>
        </w:rPr>
        <w:t xml:space="preserve"> (Greaves &amp; Hunt, 2017)</w:t>
      </w:r>
      <w:r w:rsidRPr="00C1720F">
        <w:rPr>
          <w:rFonts w:ascii="Arial" w:hAnsi="Arial" w:cs="Arial"/>
        </w:rPr>
        <w:t xml:space="preserve">. A public protection incident refers to any event or situation that poses a threat to the safety or security of the public. These can include a wide range of events including natural disasters, terrorist attacks and criminal incidents that require a coordinated response to protect the public and mitigate risks. </w:t>
      </w:r>
    </w:p>
    <w:p w14:paraId="78720A57" w14:textId="77777777" w:rsidR="00313E9A" w:rsidRPr="00C1720F" w:rsidRDefault="00313E9A" w:rsidP="00313E9A">
      <w:pPr>
        <w:spacing w:after="0"/>
        <w:rPr>
          <w:rFonts w:ascii="Arial" w:hAnsi="Arial" w:cs="Arial"/>
        </w:rPr>
      </w:pPr>
    </w:p>
    <w:p w14:paraId="68998988" w14:textId="1CB5C865" w:rsidR="008A1C7E" w:rsidRPr="00C1720F" w:rsidRDefault="002B6C91" w:rsidP="00C06DB3">
      <w:pPr>
        <w:pStyle w:val="Default"/>
        <w:rPr>
          <w:rFonts w:eastAsia="Times New Roman"/>
          <w:sz w:val="22"/>
          <w:szCs w:val="22"/>
          <w:lang w:eastAsia="en-GB"/>
          <w14:ligatures w14:val="none"/>
        </w:rPr>
      </w:pPr>
      <w:r w:rsidRPr="00C1720F">
        <w:rPr>
          <w:rFonts w:eastAsia="Times New Roman"/>
          <w:sz w:val="22"/>
          <w:szCs w:val="22"/>
          <w:lang w:eastAsia="en-GB"/>
          <w14:ligatures w14:val="none"/>
        </w:rPr>
        <w:t>It is essential that the police and the media have an effective working relationship. Public communication through collaboration with the media can aid in crime solving, the prosecution of offenders, and community safety</w:t>
      </w:r>
      <w:r w:rsidR="00C06DB3" w:rsidRPr="00C1720F">
        <w:rPr>
          <w:rFonts w:eastAsia="Times New Roman"/>
          <w:sz w:val="22"/>
          <w:szCs w:val="22"/>
          <w:lang w:eastAsia="en-GB"/>
          <w14:ligatures w14:val="none"/>
        </w:rPr>
        <w:t xml:space="preserve"> </w:t>
      </w:r>
      <w:r w:rsidR="007A4075" w:rsidRPr="00C1720F">
        <w:rPr>
          <w:sz w:val="22"/>
          <w:szCs w:val="22"/>
        </w:rPr>
        <w:t>(Walsh &amp; O'Connor, 2018)</w:t>
      </w:r>
      <w:r w:rsidRPr="00C1720F">
        <w:rPr>
          <w:rFonts w:eastAsia="Times New Roman"/>
          <w:sz w:val="22"/>
          <w:szCs w:val="22"/>
          <w:lang w:eastAsia="en-GB"/>
          <w14:ligatures w14:val="none"/>
        </w:rPr>
        <w:t xml:space="preserve">. Additionally, it can help the </w:t>
      </w:r>
      <w:proofErr w:type="gramStart"/>
      <w:r w:rsidRPr="00C1720F">
        <w:rPr>
          <w:rFonts w:eastAsia="Times New Roman"/>
          <w:sz w:val="22"/>
          <w:szCs w:val="22"/>
          <w:lang w:eastAsia="en-GB"/>
          <w14:ligatures w14:val="none"/>
        </w:rPr>
        <w:t>general public</w:t>
      </w:r>
      <w:proofErr w:type="gramEnd"/>
      <w:r w:rsidRPr="00C1720F">
        <w:rPr>
          <w:rFonts w:eastAsia="Times New Roman"/>
          <w:sz w:val="22"/>
          <w:szCs w:val="22"/>
          <w:lang w:eastAsia="en-GB"/>
          <w14:ligatures w14:val="none"/>
        </w:rPr>
        <w:t xml:space="preserve"> understand the actions and motivations of the police. </w:t>
      </w:r>
    </w:p>
    <w:p w14:paraId="1BBB0797" w14:textId="77777777" w:rsidR="008A1C7E" w:rsidRPr="00C1720F" w:rsidRDefault="008A1C7E" w:rsidP="00C06DB3">
      <w:pPr>
        <w:pStyle w:val="Default"/>
        <w:rPr>
          <w:rFonts w:eastAsia="Times New Roman"/>
          <w:sz w:val="22"/>
          <w:szCs w:val="22"/>
          <w:lang w:eastAsia="en-GB"/>
          <w14:ligatures w14:val="none"/>
        </w:rPr>
      </w:pPr>
    </w:p>
    <w:p w14:paraId="44130969" w14:textId="68313EAB" w:rsidR="00924489" w:rsidRPr="00C1720F" w:rsidRDefault="00924489" w:rsidP="00C06DB3">
      <w:pPr>
        <w:pStyle w:val="Default"/>
        <w:rPr>
          <w:sz w:val="22"/>
          <w:szCs w:val="22"/>
        </w:rPr>
      </w:pPr>
      <w:r w:rsidRPr="00C1720F">
        <w:rPr>
          <w:sz w:val="22"/>
          <w:szCs w:val="22"/>
        </w:rPr>
        <w:t>When dealing with a public protection incident the media may take a lik</w:t>
      </w:r>
      <w:r w:rsidR="00313E9A" w:rsidRPr="00C1720F">
        <w:rPr>
          <w:sz w:val="22"/>
          <w:szCs w:val="22"/>
        </w:rPr>
        <w:t>ing</w:t>
      </w:r>
      <w:r w:rsidRPr="00C1720F">
        <w:rPr>
          <w:sz w:val="22"/>
          <w:szCs w:val="22"/>
        </w:rPr>
        <w:t xml:space="preserve"> to the incident due to the general interest the public will show. </w:t>
      </w:r>
      <w:r w:rsidR="00313E9A" w:rsidRPr="00C1720F">
        <w:rPr>
          <w:sz w:val="22"/>
          <w:szCs w:val="22"/>
        </w:rPr>
        <w:t>Media attention can be beneficial during a public protection incident as it can raise awareness among the public about the ongoing incident. Increased awareness can help people take appropriate action and potentially aid the police with the incident</w:t>
      </w:r>
      <w:r w:rsidR="00392A04" w:rsidRPr="00C1720F">
        <w:rPr>
          <w:sz w:val="22"/>
          <w:szCs w:val="22"/>
        </w:rPr>
        <w:t xml:space="preserve"> </w:t>
      </w:r>
      <w:r w:rsidR="00C53049" w:rsidRPr="00C1720F">
        <w:rPr>
          <w:sz w:val="22"/>
          <w:szCs w:val="22"/>
        </w:rPr>
        <w:t>(</w:t>
      </w:r>
      <w:proofErr w:type="spellStart"/>
      <w:r w:rsidR="00C53049" w:rsidRPr="00C1720F">
        <w:rPr>
          <w:sz w:val="22"/>
          <w:szCs w:val="22"/>
        </w:rPr>
        <w:t>Mavrodieva</w:t>
      </w:r>
      <w:proofErr w:type="spellEnd"/>
      <w:r w:rsidR="00C53049" w:rsidRPr="00C1720F">
        <w:rPr>
          <w:sz w:val="22"/>
          <w:szCs w:val="22"/>
        </w:rPr>
        <w:t xml:space="preserve"> et al., 2019).</w:t>
      </w:r>
      <w:r w:rsidR="00313E9A" w:rsidRPr="00C1720F">
        <w:rPr>
          <w:sz w:val="22"/>
          <w:szCs w:val="22"/>
        </w:rPr>
        <w:t xml:space="preserve"> Through media releases</w:t>
      </w:r>
      <w:r w:rsidR="005D20CA" w:rsidRPr="00C1720F">
        <w:rPr>
          <w:sz w:val="22"/>
          <w:szCs w:val="22"/>
        </w:rPr>
        <w:t>,</w:t>
      </w:r>
      <w:r w:rsidR="00313E9A" w:rsidRPr="00C1720F">
        <w:rPr>
          <w:sz w:val="22"/>
          <w:szCs w:val="22"/>
        </w:rPr>
        <w:t xml:space="preserve"> appropriate information can be disseminated amongst the public</w:t>
      </w:r>
      <w:r w:rsidR="005D20CA" w:rsidRPr="00C1720F">
        <w:rPr>
          <w:sz w:val="22"/>
          <w:szCs w:val="22"/>
        </w:rPr>
        <w:t xml:space="preserve"> and this in turn</w:t>
      </w:r>
      <w:r w:rsidR="00313E9A" w:rsidRPr="00C1720F">
        <w:rPr>
          <w:sz w:val="22"/>
          <w:szCs w:val="22"/>
        </w:rPr>
        <w:t xml:space="preserve"> can assist in helping to keep the public informed and safe. </w:t>
      </w:r>
    </w:p>
    <w:p w14:paraId="0E729ED0" w14:textId="77777777" w:rsidR="00313E9A" w:rsidRPr="00C1720F" w:rsidRDefault="00313E9A" w:rsidP="00313E9A">
      <w:pPr>
        <w:pStyle w:val="NormalWeb"/>
        <w:spacing w:before="0" w:beforeAutospacing="0" w:after="0" w:afterAutospacing="0"/>
        <w:rPr>
          <w:rFonts w:ascii="Arial" w:hAnsi="Arial" w:cs="Arial"/>
          <w:sz w:val="22"/>
          <w:szCs w:val="22"/>
        </w:rPr>
      </w:pPr>
    </w:p>
    <w:p w14:paraId="1CD99C8D" w14:textId="0136CA65" w:rsidR="003C5BA9" w:rsidRPr="00C1720F" w:rsidRDefault="003C5BA9" w:rsidP="003C5BA9">
      <w:pPr>
        <w:spacing w:after="0" w:line="240" w:lineRule="auto"/>
        <w:rPr>
          <w:rFonts w:ascii="Arial" w:eastAsia="Times New Roman" w:hAnsi="Arial" w:cs="Arial"/>
          <w:kern w:val="0"/>
          <w:lang w:eastAsia="en-GB"/>
          <w14:ligatures w14:val="none"/>
        </w:rPr>
      </w:pPr>
      <w:r w:rsidRPr="00C1720F">
        <w:rPr>
          <w:rFonts w:ascii="Arial" w:eastAsia="Times New Roman" w:hAnsi="Arial" w:cs="Arial"/>
          <w:kern w:val="0"/>
          <w:lang w:eastAsia="en-GB"/>
          <w14:ligatures w14:val="none"/>
        </w:rPr>
        <w:t>The police-media relationship is getting more intricate than it has ever been. Though it is limited, their mutually beneficial partnership is nonetheless necessary for the public to be informed about crime stories</w:t>
      </w:r>
      <w:r w:rsidR="00C53049" w:rsidRPr="00C1720F">
        <w:rPr>
          <w:rFonts w:ascii="Arial" w:eastAsia="Times New Roman" w:hAnsi="Arial" w:cs="Arial"/>
          <w:kern w:val="0"/>
          <w:lang w:eastAsia="en-GB"/>
          <w14:ligatures w14:val="none"/>
        </w:rPr>
        <w:t xml:space="preserve"> </w:t>
      </w:r>
      <w:r w:rsidR="00C53049" w:rsidRPr="00C1720F">
        <w:rPr>
          <w:rFonts w:ascii="Arial" w:hAnsi="Arial" w:cs="Arial"/>
        </w:rPr>
        <w:t>(Shin &amp; Watson, 2022)</w:t>
      </w:r>
      <w:r w:rsidRPr="00C1720F">
        <w:rPr>
          <w:rFonts w:ascii="Arial" w:eastAsia="Times New Roman" w:hAnsi="Arial" w:cs="Arial"/>
          <w:kern w:val="0"/>
          <w:lang w:eastAsia="en-GB"/>
          <w14:ligatures w14:val="none"/>
        </w:rPr>
        <w:t xml:space="preserve">. The police are being used by the media to help sell newspapers, attract TV viewers, and create other easily accessible public news sources by leveraging the police department to print crime stories. This illustrates how dependent they are </w:t>
      </w:r>
      <w:r w:rsidR="00C53049" w:rsidRPr="00C1720F">
        <w:rPr>
          <w:rFonts w:ascii="Arial" w:eastAsia="Times New Roman" w:hAnsi="Arial" w:cs="Arial"/>
          <w:kern w:val="0"/>
          <w:lang w:eastAsia="en-GB"/>
          <w14:ligatures w14:val="none"/>
        </w:rPr>
        <w:t xml:space="preserve">to </w:t>
      </w:r>
      <w:r w:rsidRPr="00C1720F">
        <w:rPr>
          <w:rFonts w:ascii="Arial" w:eastAsia="Times New Roman" w:hAnsi="Arial" w:cs="Arial"/>
          <w:kern w:val="0"/>
          <w:lang w:eastAsia="en-GB"/>
          <w14:ligatures w14:val="none"/>
        </w:rPr>
        <w:t>one another.</w:t>
      </w:r>
    </w:p>
    <w:p w14:paraId="09D6E939" w14:textId="77777777" w:rsidR="003C5BA9" w:rsidRPr="00C1720F" w:rsidRDefault="003C5BA9" w:rsidP="00313E9A">
      <w:pPr>
        <w:pStyle w:val="NormalWeb"/>
        <w:spacing w:before="0" w:beforeAutospacing="0" w:after="0" w:afterAutospacing="0"/>
        <w:rPr>
          <w:rFonts w:ascii="Arial" w:hAnsi="Arial" w:cs="Arial"/>
          <w:sz w:val="22"/>
          <w:szCs w:val="22"/>
        </w:rPr>
      </w:pPr>
    </w:p>
    <w:p w14:paraId="4D4285DA" w14:textId="3DF1CD0C" w:rsidR="00313E9A" w:rsidRPr="00C1720F" w:rsidRDefault="00313E9A" w:rsidP="00313E9A">
      <w:pPr>
        <w:pStyle w:val="NormalWeb"/>
        <w:spacing w:before="0" w:beforeAutospacing="0" w:after="0" w:afterAutospacing="0"/>
        <w:rPr>
          <w:rFonts w:ascii="Arial" w:hAnsi="Arial" w:cs="Arial"/>
          <w:sz w:val="22"/>
          <w:szCs w:val="22"/>
        </w:rPr>
      </w:pPr>
      <w:r w:rsidRPr="00C1720F">
        <w:rPr>
          <w:rFonts w:ascii="Arial" w:hAnsi="Arial" w:cs="Arial"/>
          <w:sz w:val="22"/>
          <w:szCs w:val="22"/>
        </w:rPr>
        <w:t xml:space="preserve">Media coverage of a public protection incident can mobilise resources, support and assistance from government agencies, non-profit organisations, businesses, and the community. Through increased media attention more individuals and organisations may be prompted to help, donate </w:t>
      </w:r>
      <w:proofErr w:type="gramStart"/>
      <w:r w:rsidRPr="00C1720F">
        <w:rPr>
          <w:rFonts w:ascii="Arial" w:hAnsi="Arial" w:cs="Arial"/>
          <w:sz w:val="22"/>
          <w:szCs w:val="22"/>
        </w:rPr>
        <w:t>resources</w:t>
      </w:r>
      <w:proofErr w:type="gramEnd"/>
      <w:r w:rsidRPr="00C1720F">
        <w:rPr>
          <w:rFonts w:ascii="Arial" w:hAnsi="Arial" w:cs="Arial"/>
          <w:sz w:val="22"/>
          <w:szCs w:val="22"/>
        </w:rPr>
        <w:t xml:space="preserve"> or volunteer their time to support response and recovery efforts</w:t>
      </w:r>
      <w:r w:rsidR="000903EA" w:rsidRPr="00C1720F">
        <w:rPr>
          <w:rFonts w:ascii="Arial" w:hAnsi="Arial" w:cs="Arial"/>
          <w:sz w:val="22"/>
          <w:szCs w:val="22"/>
        </w:rPr>
        <w:t xml:space="preserve"> </w:t>
      </w:r>
      <w:r w:rsidR="00D002D1" w:rsidRPr="00C1720F">
        <w:rPr>
          <w:rFonts w:ascii="Arial" w:hAnsi="Arial" w:cs="Arial"/>
          <w:sz w:val="22"/>
          <w:szCs w:val="22"/>
        </w:rPr>
        <w:t>(</w:t>
      </w:r>
      <w:proofErr w:type="spellStart"/>
      <w:r w:rsidR="00D002D1" w:rsidRPr="00C1720F">
        <w:rPr>
          <w:rFonts w:ascii="Arial" w:hAnsi="Arial" w:cs="Arial"/>
          <w:sz w:val="22"/>
          <w:szCs w:val="22"/>
        </w:rPr>
        <w:t>Ntontis</w:t>
      </w:r>
      <w:proofErr w:type="spellEnd"/>
      <w:r w:rsidR="00D002D1" w:rsidRPr="00C1720F">
        <w:rPr>
          <w:rFonts w:ascii="Arial" w:hAnsi="Arial" w:cs="Arial"/>
          <w:sz w:val="22"/>
          <w:szCs w:val="22"/>
        </w:rPr>
        <w:t xml:space="preserve"> et al., 2020).</w:t>
      </w:r>
      <w:r w:rsidR="000903EA" w:rsidRPr="00C1720F">
        <w:rPr>
          <w:rFonts w:ascii="Arial" w:hAnsi="Arial" w:cs="Arial"/>
          <w:sz w:val="22"/>
          <w:szCs w:val="22"/>
        </w:rPr>
        <w:t xml:space="preserve"> </w:t>
      </w:r>
      <w:r w:rsidRPr="00C1720F">
        <w:rPr>
          <w:rFonts w:ascii="Arial" w:hAnsi="Arial" w:cs="Arial"/>
          <w:sz w:val="22"/>
          <w:szCs w:val="22"/>
        </w:rPr>
        <w:t>When the media release information regarding a public protection incident it can foster a sense of solidarity and unity within the affected community. This may encourage people to come together, support on</w:t>
      </w:r>
      <w:r w:rsidR="000903EA" w:rsidRPr="00C1720F">
        <w:rPr>
          <w:rFonts w:ascii="Arial" w:hAnsi="Arial" w:cs="Arial"/>
          <w:sz w:val="22"/>
          <w:szCs w:val="22"/>
        </w:rPr>
        <w:t>e</w:t>
      </w:r>
      <w:r w:rsidRPr="00C1720F">
        <w:rPr>
          <w:rFonts w:ascii="Arial" w:hAnsi="Arial" w:cs="Arial"/>
          <w:sz w:val="22"/>
          <w:szCs w:val="22"/>
        </w:rPr>
        <w:t xml:space="preserve"> another and demonstrate resilience in the face of adversity</w:t>
      </w:r>
      <w:r w:rsidR="00E95E2E" w:rsidRPr="00C1720F">
        <w:rPr>
          <w:rFonts w:ascii="Arial" w:hAnsi="Arial" w:cs="Arial"/>
          <w:sz w:val="22"/>
          <w:szCs w:val="22"/>
        </w:rPr>
        <w:t xml:space="preserve"> (McCrea et al., 2019)</w:t>
      </w:r>
      <w:r w:rsidRPr="00C1720F">
        <w:rPr>
          <w:rFonts w:ascii="Arial" w:hAnsi="Arial" w:cs="Arial"/>
          <w:sz w:val="22"/>
          <w:szCs w:val="22"/>
        </w:rPr>
        <w:t>.</w:t>
      </w:r>
      <w:r w:rsidR="00392A04" w:rsidRPr="00C1720F">
        <w:rPr>
          <w:rFonts w:ascii="Arial" w:hAnsi="Arial" w:cs="Arial"/>
          <w:sz w:val="22"/>
          <w:szCs w:val="22"/>
        </w:rPr>
        <w:t xml:space="preserve"> </w:t>
      </w:r>
      <w:r w:rsidRPr="00C1720F">
        <w:rPr>
          <w:rFonts w:ascii="Arial" w:hAnsi="Arial" w:cs="Arial"/>
          <w:sz w:val="22"/>
          <w:szCs w:val="22"/>
        </w:rPr>
        <w:t xml:space="preserve">Positive stories of community resilience and acts of kindness can inspire hope and promote a sense of togetherness during challenging times. </w:t>
      </w:r>
      <w:r w:rsidR="003C5BA9" w:rsidRPr="00C1720F">
        <w:rPr>
          <w:rFonts w:ascii="Arial" w:hAnsi="Arial" w:cs="Arial"/>
          <w:sz w:val="22"/>
          <w:szCs w:val="22"/>
        </w:rPr>
        <w:t xml:space="preserve">This can be demonstrated in the case of missing children media coverage to encourage witnesses to come forward to assist with the search. </w:t>
      </w:r>
      <w:r w:rsidR="003500AC" w:rsidRPr="00C1720F">
        <w:rPr>
          <w:rFonts w:ascii="Arial" w:hAnsi="Arial" w:cs="Arial"/>
          <w:sz w:val="22"/>
          <w:szCs w:val="22"/>
        </w:rPr>
        <w:t xml:space="preserve">Hu &amp; </w:t>
      </w:r>
      <w:r w:rsidR="00D002D1" w:rsidRPr="00C1720F">
        <w:rPr>
          <w:rFonts w:ascii="Arial" w:hAnsi="Arial" w:cs="Arial"/>
          <w:sz w:val="22"/>
          <w:szCs w:val="22"/>
        </w:rPr>
        <w:t>Lovrich (</w:t>
      </w:r>
      <w:r w:rsidR="003500AC" w:rsidRPr="00C1720F">
        <w:rPr>
          <w:rFonts w:ascii="Arial" w:hAnsi="Arial" w:cs="Arial"/>
          <w:sz w:val="22"/>
          <w:szCs w:val="22"/>
        </w:rPr>
        <w:t xml:space="preserve">2019) </w:t>
      </w:r>
      <w:r w:rsidR="00392A04" w:rsidRPr="00C1720F">
        <w:rPr>
          <w:rFonts w:ascii="Arial" w:hAnsi="Arial" w:cs="Arial"/>
          <w:sz w:val="22"/>
          <w:szCs w:val="22"/>
        </w:rPr>
        <w:t>note that media coverage of crimes increased information received from the public and resulted in offenders being arrest and charged.</w:t>
      </w:r>
      <w:r w:rsidR="003500AC" w:rsidRPr="00C1720F">
        <w:rPr>
          <w:rFonts w:ascii="Arial" w:hAnsi="Arial" w:cs="Arial"/>
          <w:sz w:val="22"/>
          <w:szCs w:val="22"/>
        </w:rPr>
        <w:t xml:space="preserve"> The success of media coverage resulting in arrests of wanted suspects has been noticed within police forces and many </w:t>
      </w:r>
      <w:r w:rsidR="003500AC" w:rsidRPr="00C1720F">
        <w:rPr>
          <w:rFonts w:ascii="Arial" w:hAnsi="Arial" w:cs="Arial"/>
          <w:sz w:val="22"/>
          <w:szCs w:val="22"/>
        </w:rPr>
        <w:lastRenderedPageBreak/>
        <w:t xml:space="preserve">forces now have their own social media pages where information regarding incidents </w:t>
      </w:r>
      <w:proofErr w:type="gramStart"/>
      <w:r w:rsidR="003500AC" w:rsidRPr="00C1720F">
        <w:rPr>
          <w:rFonts w:ascii="Arial" w:hAnsi="Arial" w:cs="Arial"/>
          <w:sz w:val="22"/>
          <w:szCs w:val="22"/>
        </w:rPr>
        <w:t>are</w:t>
      </w:r>
      <w:proofErr w:type="gramEnd"/>
      <w:r w:rsidR="003500AC" w:rsidRPr="00C1720F">
        <w:rPr>
          <w:rFonts w:ascii="Arial" w:hAnsi="Arial" w:cs="Arial"/>
          <w:sz w:val="22"/>
          <w:szCs w:val="22"/>
        </w:rPr>
        <w:t xml:space="preserve"> uploaded to ensure all appropriate information is disseminated quickly (Dekker et al., 2020).</w:t>
      </w:r>
    </w:p>
    <w:p w14:paraId="737A82BD" w14:textId="77777777" w:rsidR="009639F3" w:rsidRPr="00C1720F" w:rsidRDefault="009639F3" w:rsidP="00313E9A">
      <w:pPr>
        <w:pStyle w:val="NormalWeb"/>
        <w:spacing w:before="0" w:beforeAutospacing="0" w:after="0" w:afterAutospacing="0"/>
        <w:rPr>
          <w:rFonts w:ascii="Arial" w:hAnsi="Arial" w:cs="Arial"/>
          <w:sz w:val="22"/>
          <w:szCs w:val="22"/>
        </w:rPr>
      </w:pPr>
    </w:p>
    <w:p w14:paraId="174CA8E2" w14:textId="26FBFFFF" w:rsidR="009639F3" w:rsidRPr="00C1720F" w:rsidRDefault="009639F3" w:rsidP="003500AC">
      <w:pPr>
        <w:rPr>
          <w:rFonts w:ascii="Arial" w:eastAsia="Times New Roman" w:hAnsi="Arial" w:cs="Arial"/>
          <w:kern w:val="0"/>
          <w:lang w:eastAsia="en-GB"/>
          <w14:ligatures w14:val="none"/>
        </w:rPr>
      </w:pPr>
      <w:r w:rsidRPr="00C1720F">
        <w:rPr>
          <w:rFonts w:ascii="Arial" w:hAnsi="Arial" w:cs="Arial"/>
        </w:rPr>
        <w:t xml:space="preserve">Media attention can also have a negative impact when dealing with public protection incidents, as the media outlets may sensationalise incidents or prioritise dramatic headlines over factual reporting. This can lead to misinformation, </w:t>
      </w:r>
      <w:r w:rsidR="003500AC" w:rsidRPr="00C1720F">
        <w:rPr>
          <w:rFonts w:ascii="Arial" w:hAnsi="Arial" w:cs="Arial"/>
        </w:rPr>
        <w:t>panic,</w:t>
      </w:r>
      <w:r w:rsidRPr="00C1720F">
        <w:rPr>
          <w:rFonts w:ascii="Arial" w:hAnsi="Arial" w:cs="Arial"/>
        </w:rPr>
        <w:t xml:space="preserve"> and unnecessary fear among the public, exacerbating the impact of the incident</w:t>
      </w:r>
      <w:r w:rsidR="00D002D1" w:rsidRPr="00C1720F">
        <w:rPr>
          <w:rFonts w:ascii="Arial" w:hAnsi="Arial" w:cs="Arial"/>
        </w:rPr>
        <w:t xml:space="preserve"> </w:t>
      </w:r>
      <w:r w:rsidR="00736AA9" w:rsidRPr="00C1720F">
        <w:rPr>
          <w:rFonts w:ascii="Arial" w:hAnsi="Arial" w:cs="Arial"/>
        </w:rPr>
        <w:t>(</w:t>
      </w:r>
      <w:proofErr w:type="spellStart"/>
      <w:r w:rsidR="00736AA9" w:rsidRPr="00C1720F">
        <w:rPr>
          <w:rFonts w:ascii="Arial" w:hAnsi="Arial" w:cs="Arial"/>
        </w:rPr>
        <w:t>Rıos</w:t>
      </w:r>
      <w:proofErr w:type="spellEnd"/>
      <w:r w:rsidR="00736AA9" w:rsidRPr="00C1720F">
        <w:rPr>
          <w:rFonts w:ascii="Arial" w:hAnsi="Arial" w:cs="Arial"/>
        </w:rPr>
        <w:t xml:space="preserve"> &amp; Ferguson, 2019)</w:t>
      </w:r>
      <w:r w:rsidRPr="00C1720F">
        <w:rPr>
          <w:rFonts w:ascii="Arial" w:hAnsi="Arial" w:cs="Arial"/>
        </w:rPr>
        <w:t>.</w:t>
      </w:r>
      <w:r w:rsidR="00A411B7" w:rsidRPr="00C1720F">
        <w:rPr>
          <w:rFonts w:ascii="Arial" w:hAnsi="Arial" w:cs="Arial"/>
        </w:rPr>
        <w:t xml:space="preserve"> Incidents of public protection such as paedophilia hold the </w:t>
      </w:r>
      <w:r w:rsidR="00A411B7" w:rsidRPr="00C1720F">
        <w:rPr>
          <w:rFonts w:ascii="Arial" w:eastAsia="Times New Roman" w:hAnsi="Arial" w:cs="Arial"/>
          <w:kern w:val="0"/>
          <w:lang w:eastAsia="en-GB"/>
          <w14:ligatures w14:val="none"/>
        </w:rPr>
        <w:t xml:space="preserve">main characteristics and elements </w:t>
      </w:r>
      <w:r w:rsidR="00B52DC7" w:rsidRPr="00C1720F">
        <w:rPr>
          <w:rFonts w:ascii="Arial" w:eastAsia="Times New Roman" w:hAnsi="Arial" w:cs="Arial"/>
          <w:kern w:val="0"/>
          <w:lang w:eastAsia="en-GB"/>
          <w14:ligatures w14:val="none"/>
        </w:rPr>
        <w:t xml:space="preserve">to create </w:t>
      </w:r>
      <w:r w:rsidR="00A411B7" w:rsidRPr="00C1720F">
        <w:rPr>
          <w:rFonts w:ascii="Arial" w:eastAsia="Times New Roman" w:hAnsi="Arial" w:cs="Arial"/>
          <w:kern w:val="0"/>
          <w:lang w:eastAsia="en-GB"/>
          <w14:ligatures w14:val="none"/>
        </w:rPr>
        <w:t>moral panic</w:t>
      </w:r>
      <w:r w:rsidR="00B52DC7" w:rsidRPr="00C1720F">
        <w:rPr>
          <w:rFonts w:ascii="Arial" w:eastAsia="Times New Roman" w:hAnsi="Arial" w:cs="Arial"/>
          <w:kern w:val="0"/>
          <w:lang w:eastAsia="en-GB"/>
          <w14:ligatures w14:val="none"/>
        </w:rPr>
        <w:t xml:space="preserve"> as there </w:t>
      </w:r>
      <w:proofErr w:type="gramStart"/>
      <w:r w:rsidR="00B52DC7" w:rsidRPr="00C1720F">
        <w:rPr>
          <w:rFonts w:ascii="Arial" w:eastAsia="Times New Roman" w:hAnsi="Arial" w:cs="Arial"/>
          <w:kern w:val="0"/>
          <w:lang w:eastAsia="en-GB"/>
          <w14:ligatures w14:val="none"/>
        </w:rPr>
        <w:t>the vast majority of</w:t>
      </w:r>
      <w:proofErr w:type="gramEnd"/>
      <w:r w:rsidR="00B52DC7" w:rsidRPr="00C1720F">
        <w:rPr>
          <w:rFonts w:ascii="Arial" w:eastAsia="Times New Roman" w:hAnsi="Arial" w:cs="Arial"/>
          <w:kern w:val="0"/>
          <w:lang w:eastAsia="en-GB"/>
          <w14:ligatures w14:val="none"/>
        </w:rPr>
        <w:t xml:space="preserve"> the public agree that such activity is dangerous and there are intense emotional views of this illegal </w:t>
      </w:r>
      <w:r w:rsidR="003500AC" w:rsidRPr="00C1720F">
        <w:rPr>
          <w:rFonts w:ascii="Arial" w:eastAsia="Times New Roman" w:hAnsi="Arial" w:cs="Arial"/>
          <w:kern w:val="0"/>
          <w:lang w:eastAsia="en-GB"/>
          <w14:ligatures w14:val="none"/>
        </w:rPr>
        <w:t>activity</w:t>
      </w:r>
      <w:r w:rsidR="00C036B5" w:rsidRPr="00C1720F">
        <w:rPr>
          <w:rFonts w:ascii="Arial" w:hAnsi="Arial" w:cs="Arial"/>
        </w:rPr>
        <w:t xml:space="preserve"> </w:t>
      </w:r>
      <w:r w:rsidR="00A411B7" w:rsidRPr="00C1720F">
        <w:rPr>
          <w:rFonts w:ascii="Arial" w:hAnsi="Arial" w:cs="Arial"/>
        </w:rPr>
        <w:t>(Marsh &amp; Melville, 2019)</w:t>
      </w:r>
      <w:r w:rsidR="003500AC" w:rsidRPr="00C1720F">
        <w:rPr>
          <w:rFonts w:ascii="Arial" w:hAnsi="Arial" w:cs="Arial"/>
        </w:rPr>
        <w:t>.</w:t>
      </w:r>
      <w:r w:rsidR="00C036B5" w:rsidRPr="00C1720F">
        <w:rPr>
          <w:rFonts w:ascii="Arial" w:hAnsi="Arial" w:cs="Arial"/>
        </w:rPr>
        <w:t xml:space="preserve"> </w:t>
      </w:r>
      <w:r w:rsidR="00C036B5" w:rsidRPr="00C1720F">
        <w:rPr>
          <w:rFonts w:ascii="Arial" w:eastAsia="Times New Roman" w:hAnsi="Arial" w:cs="Arial"/>
          <w:kern w:val="0"/>
          <w:lang w:eastAsia="en-GB"/>
          <w14:ligatures w14:val="none"/>
        </w:rPr>
        <w:t>These types of crimes are more likely to be reported by the media as the public are more likely to read them.</w:t>
      </w:r>
    </w:p>
    <w:p w14:paraId="17788517" w14:textId="486B5F49" w:rsidR="003C5BA9" w:rsidRPr="00C1720F" w:rsidRDefault="005D20CA" w:rsidP="003C5BA9">
      <w:pPr>
        <w:pStyle w:val="NormalWeb"/>
        <w:spacing w:before="0" w:beforeAutospacing="0" w:after="0" w:afterAutospacing="0"/>
        <w:rPr>
          <w:rFonts w:ascii="Arial" w:hAnsi="Arial" w:cs="Arial"/>
          <w:sz w:val="22"/>
          <w:szCs w:val="22"/>
        </w:rPr>
      </w:pPr>
      <w:r w:rsidRPr="00C1720F">
        <w:rPr>
          <w:rFonts w:ascii="Arial" w:hAnsi="Arial" w:cs="Arial"/>
          <w:sz w:val="22"/>
          <w:szCs w:val="22"/>
        </w:rPr>
        <w:t>The m</w:t>
      </w:r>
      <w:r w:rsidR="009639F3" w:rsidRPr="00C1720F">
        <w:rPr>
          <w:rFonts w:ascii="Arial" w:hAnsi="Arial" w:cs="Arial"/>
          <w:sz w:val="22"/>
          <w:szCs w:val="22"/>
        </w:rPr>
        <w:t xml:space="preserve">edia </w:t>
      </w:r>
      <w:proofErr w:type="gramStart"/>
      <w:r w:rsidR="009639F3" w:rsidRPr="00C1720F">
        <w:rPr>
          <w:rFonts w:ascii="Arial" w:hAnsi="Arial" w:cs="Arial"/>
          <w:sz w:val="22"/>
          <w:szCs w:val="22"/>
        </w:rPr>
        <w:t>are able to</w:t>
      </w:r>
      <w:proofErr w:type="gramEnd"/>
      <w:r w:rsidR="009639F3" w:rsidRPr="00C1720F">
        <w:rPr>
          <w:rFonts w:ascii="Arial" w:hAnsi="Arial" w:cs="Arial"/>
          <w:sz w:val="22"/>
          <w:szCs w:val="22"/>
        </w:rPr>
        <w:t xml:space="preserve"> spread information very quickly, although this can be a positive it can also be a drawback when live reporting of </w:t>
      </w:r>
      <w:r w:rsidRPr="00C1720F">
        <w:rPr>
          <w:rFonts w:ascii="Arial" w:hAnsi="Arial" w:cs="Arial"/>
          <w:sz w:val="22"/>
          <w:szCs w:val="22"/>
        </w:rPr>
        <w:t xml:space="preserve">an </w:t>
      </w:r>
      <w:r w:rsidR="009639F3" w:rsidRPr="00C1720F">
        <w:rPr>
          <w:rFonts w:ascii="Arial" w:hAnsi="Arial" w:cs="Arial"/>
          <w:sz w:val="22"/>
          <w:szCs w:val="22"/>
        </w:rPr>
        <w:t xml:space="preserve">ongoing incident can </w:t>
      </w:r>
      <w:r w:rsidRPr="00C1720F">
        <w:rPr>
          <w:rFonts w:ascii="Arial" w:hAnsi="Arial" w:cs="Arial"/>
          <w:sz w:val="22"/>
          <w:szCs w:val="22"/>
        </w:rPr>
        <w:t>compromise</w:t>
      </w:r>
      <w:r w:rsidR="009639F3" w:rsidRPr="00C1720F">
        <w:rPr>
          <w:rFonts w:ascii="Arial" w:hAnsi="Arial" w:cs="Arial"/>
          <w:sz w:val="22"/>
          <w:szCs w:val="22"/>
        </w:rPr>
        <w:t xml:space="preserve"> the safety and effectiveness of response operations. Sharing sensitive information such as tactical strategies</w:t>
      </w:r>
      <w:r w:rsidR="000149EA" w:rsidRPr="00C1720F">
        <w:rPr>
          <w:rFonts w:ascii="Arial" w:hAnsi="Arial" w:cs="Arial"/>
          <w:sz w:val="22"/>
          <w:szCs w:val="22"/>
        </w:rPr>
        <w:t xml:space="preserve"> or locations of responders may jeopardise the safety of responders and members of the public</w:t>
      </w:r>
      <w:r w:rsidR="00AB7D25" w:rsidRPr="00C1720F">
        <w:rPr>
          <w:rFonts w:ascii="Arial" w:hAnsi="Arial" w:cs="Arial"/>
          <w:sz w:val="22"/>
          <w:szCs w:val="22"/>
        </w:rPr>
        <w:t xml:space="preserve"> (College of Policing, 2022)</w:t>
      </w:r>
      <w:r w:rsidR="000149EA" w:rsidRPr="00C1720F">
        <w:rPr>
          <w:rFonts w:ascii="Arial" w:hAnsi="Arial" w:cs="Arial"/>
          <w:sz w:val="22"/>
          <w:szCs w:val="22"/>
        </w:rPr>
        <w:t xml:space="preserve">. </w:t>
      </w:r>
      <w:r w:rsidR="003C5BA9" w:rsidRPr="00C1720F">
        <w:rPr>
          <w:rFonts w:ascii="Arial" w:hAnsi="Arial" w:cs="Arial"/>
          <w:sz w:val="22"/>
          <w:szCs w:val="22"/>
        </w:rPr>
        <w:t xml:space="preserve">To protect the integrity of the investigation and the people directly involved, the police will keep an eye on and restrict the amount of material provided to the media following a significant criminal incident. Even with this information available, the media </w:t>
      </w:r>
      <w:r w:rsidR="00C1720F" w:rsidRPr="00C1720F">
        <w:rPr>
          <w:rFonts w:ascii="Arial" w:hAnsi="Arial" w:cs="Arial"/>
          <w:sz w:val="22"/>
          <w:szCs w:val="22"/>
        </w:rPr>
        <w:t>may still</w:t>
      </w:r>
      <w:r w:rsidR="003C5BA9" w:rsidRPr="00C1720F">
        <w:rPr>
          <w:rFonts w:ascii="Arial" w:hAnsi="Arial" w:cs="Arial"/>
          <w:sz w:val="22"/>
          <w:szCs w:val="22"/>
        </w:rPr>
        <w:t xml:space="preserve"> convey the facts incorrectly. This can lead to those who read the media having the highest levels of fear of crime </w:t>
      </w:r>
      <w:r w:rsidR="00C1720F" w:rsidRPr="00C1720F">
        <w:rPr>
          <w:rFonts w:ascii="Arial" w:hAnsi="Arial" w:cs="Arial"/>
          <w:sz w:val="22"/>
          <w:szCs w:val="22"/>
        </w:rPr>
        <w:t>due to the increased knowledge they consume (</w:t>
      </w:r>
      <w:proofErr w:type="spellStart"/>
      <w:r w:rsidR="00C1720F" w:rsidRPr="00C1720F">
        <w:rPr>
          <w:rFonts w:ascii="Arial" w:hAnsi="Arial" w:cs="Arial"/>
          <w:sz w:val="22"/>
          <w:szCs w:val="22"/>
        </w:rPr>
        <w:t>Näsi</w:t>
      </w:r>
      <w:proofErr w:type="spellEnd"/>
      <w:r w:rsidR="00C1720F" w:rsidRPr="00C1720F">
        <w:rPr>
          <w:rFonts w:ascii="Arial" w:hAnsi="Arial" w:cs="Arial"/>
          <w:sz w:val="22"/>
          <w:szCs w:val="22"/>
        </w:rPr>
        <w:t xml:space="preserve"> et al., 2020)</w:t>
      </w:r>
      <w:r w:rsidR="003C5BA9" w:rsidRPr="00C1720F">
        <w:rPr>
          <w:rFonts w:ascii="Arial" w:hAnsi="Arial" w:cs="Arial"/>
          <w:sz w:val="22"/>
          <w:szCs w:val="22"/>
        </w:rPr>
        <w:t>.</w:t>
      </w:r>
    </w:p>
    <w:p w14:paraId="67EA848A" w14:textId="77777777" w:rsidR="005D20CA" w:rsidRPr="00C1720F" w:rsidRDefault="005D20CA" w:rsidP="00313E9A">
      <w:pPr>
        <w:pStyle w:val="NormalWeb"/>
        <w:spacing w:before="0" w:beforeAutospacing="0" w:after="0" w:afterAutospacing="0"/>
        <w:rPr>
          <w:rFonts w:ascii="Arial" w:hAnsi="Arial" w:cs="Arial"/>
          <w:sz w:val="22"/>
          <w:szCs w:val="22"/>
        </w:rPr>
      </w:pPr>
    </w:p>
    <w:p w14:paraId="2A2A6CA9" w14:textId="706913BD" w:rsidR="005D20CA" w:rsidRPr="00C1720F" w:rsidRDefault="004F7EDE" w:rsidP="00313E9A">
      <w:pPr>
        <w:pStyle w:val="NormalWeb"/>
        <w:spacing w:before="0" w:beforeAutospacing="0" w:after="0" w:afterAutospacing="0"/>
        <w:rPr>
          <w:rFonts w:ascii="Arial" w:hAnsi="Arial" w:cs="Arial"/>
          <w:sz w:val="22"/>
          <w:szCs w:val="22"/>
        </w:rPr>
      </w:pPr>
      <w:r w:rsidRPr="00C1720F">
        <w:rPr>
          <w:rFonts w:ascii="Arial" w:hAnsi="Arial" w:cs="Arial"/>
          <w:sz w:val="22"/>
          <w:szCs w:val="22"/>
        </w:rPr>
        <w:t>The media can spread bias and misinformation regarding a public protection incident through various means, media outlets may selectively report certain facts or perspectives that align with their own biases or agendas, leading to a skewed portrayal of the incident</w:t>
      </w:r>
      <w:r w:rsidR="00CA5954" w:rsidRPr="00C1720F">
        <w:rPr>
          <w:rFonts w:ascii="Arial" w:hAnsi="Arial" w:cs="Arial"/>
          <w:sz w:val="22"/>
          <w:szCs w:val="22"/>
        </w:rPr>
        <w:t xml:space="preserve"> </w:t>
      </w:r>
      <w:r w:rsidR="007A4075" w:rsidRPr="00C1720F">
        <w:rPr>
          <w:rFonts w:ascii="Arial" w:hAnsi="Arial" w:cs="Arial"/>
          <w:sz w:val="22"/>
          <w:szCs w:val="22"/>
        </w:rPr>
        <w:t>(Rossini et al., 2020)</w:t>
      </w:r>
      <w:r w:rsidR="00CA5954" w:rsidRPr="00C1720F">
        <w:rPr>
          <w:rFonts w:ascii="Arial" w:hAnsi="Arial" w:cs="Arial"/>
          <w:sz w:val="22"/>
          <w:szCs w:val="22"/>
        </w:rPr>
        <w:t xml:space="preserve"> </w:t>
      </w:r>
      <w:r w:rsidR="005D20CA" w:rsidRPr="00C1720F">
        <w:rPr>
          <w:rFonts w:ascii="Arial" w:hAnsi="Arial" w:cs="Arial"/>
          <w:sz w:val="22"/>
          <w:szCs w:val="22"/>
        </w:rPr>
        <w:t>Biased reporting or misinformation can shape public perception</w:t>
      </w:r>
      <w:r w:rsidRPr="00C1720F">
        <w:rPr>
          <w:rFonts w:ascii="Arial" w:hAnsi="Arial" w:cs="Arial"/>
          <w:sz w:val="22"/>
          <w:szCs w:val="22"/>
        </w:rPr>
        <w:t xml:space="preserve"> of an incident. Potentially leading to false leads or hindering the investigation </w:t>
      </w:r>
    </w:p>
    <w:p w14:paraId="3E880DEF" w14:textId="77777777" w:rsidR="000149EA" w:rsidRPr="00C1720F" w:rsidRDefault="000149EA" w:rsidP="00313E9A">
      <w:pPr>
        <w:pStyle w:val="NormalWeb"/>
        <w:spacing w:before="0" w:beforeAutospacing="0" w:after="0" w:afterAutospacing="0"/>
        <w:rPr>
          <w:rFonts w:ascii="Arial" w:hAnsi="Arial" w:cs="Arial"/>
          <w:sz w:val="22"/>
          <w:szCs w:val="22"/>
        </w:rPr>
      </w:pPr>
    </w:p>
    <w:p w14:paraId="74192FCE" w14:textId="60D3026F" w:rsidR="000149EA" w:rsidRPr="00C1720F" w:rsidRDefault="000149EA" w:rsidP="00313E9A">
      <w:pPr>
        <w:pStyle w:val="NormalWeb"/>
        <w:spacing w:before="0" w:beforeAutospacing="0" w:after="0" w:afterAutospacing="0"/>
        <w:rPr>
          <w:rFonts w:ascii="Arial" w:hAnsi="Arial" w:cs="Arial"/>
          <w:sz w:val="22"/>
          <w:szCs w:val="22"/>
        </w:rPr>
      </w:pPr>
      <w:r w:rsidRPr="00C1720F">
        <w:rPr>
          <w:rFonts w:ascii="Arial" w:hAnsi="Arial" w:cs="Arial"/>
          <w:sz w:val="22"/>
          <w:szCs w:val="22"/>
        </w:rPr>
        <w:t>Media attention during public protection incidents may infringe on the privacy of individuals affected by the incident, particularly victims or their families</w:t>
      </w:r>
      <w:r w:rsidR="00C1720F" w:rsidRPr="00C1720F">
        <w:rPr>
          <w:rFonts w:ascii="Arial" w:hAnsi="Arial" w:cs="Arial"/>
          <w:sz w:val="22"/>
          <w:szCs w:val="22"/>
        </w:rPr>
        <w:t xml:space="preserve"> (Solove &amp; Schwartz, 2021)</w:t>
      </w:r>
      <w:r w:rsidRPr="00C1720F">
        <w:rPr>
          <w:rFonts w:ascii="Arial" w:hAnsi="Arial" w:cs="Arial"/>
          <w:sz w:val="22"/>
          <w:szCs w:val="22"/>
        </w:rPr>
        <w:t xml:space="preserve">. Intrusive reporting can cause additional distress and trauma to those already dealing with a traumatic information. </w:t>
      </w:r>
      <w:r w:rsidR="00DD450F" w:rsidRPr="00C1720F">
        <w:rPr>
          <w:rFonts w:ascii="Arial" w:hAnsi="Arial" w:cs="Arial"/>
          <w:sz w:val="22"/>
          <w:szCs w:val="22"/>
        </w:rPr>
        <w:t>Journalists must exercise sensitive and discretion when reporting a sensitive or traumatic events, respecting the privacy and dignity of victims and their families.</w:t>
      </w:r>
    </w:p>
    <w:p w14:paraId="2AE0B4FB" w14:textId="77777777" w:rsidR="000149EA" w:rsidRPr="00C1720F" w:rsidRDefault="000149EA" w:rsidP="00313E9A">
      <w:pPr>
        <w:pStyle w:val="NormalWeb"/>
        <w:spacing w:before="0" w:beforeAutospacing="0" w:after="0" w:afterAutospacing="0"/>
        <w:rPr>
          <w:rFonts w:ascii="Arial" w:hAnsi="Arial" w:cs="Arial"/>
          <w:sz w:val="22"/>
          <w:szCs w:val="22"/>
        </w:rPr>
      </w:pPr>
    </w:p>
    <w:p w14:paraId="24D60094" w14:textId="702D339A" w:rsidR="00262CB6" w:rsidRPr="00C1720F" w:rsidRDefault="00262CB6" w:rsidP="00313E9A">
      <w:pPr>
        <w:pStyle w:val="NormalWeb"/>
        <w:spacing w:before="0" w:beforeAutospacing="0" w:after="0" w:afterAutospacing="0"/>
        <w:rPr>
          <w:rFonts w:ascii="Arial" w:hAnsi="Arial" w:cs="Arial"/>
          <w:sz w:val="22"/>
          <w:szCs w:val="22"/>
        </w:rPr>
      </w:pPr>
      <w:r w:rsidRPr="00C1720F">
        <w:rPr>
          <w:rFonts w:ascii="Arial" w:hAnsi="Arial" w:cs="Arial"/>
          <w:sz w:val="22"/>
          <w:szCs w:val="22"/>
        </w:rPr>
        <w:t xml:space="preserve">In conclusion </w:t>
      </w:r>
      <w:r w:rsidR="00406D48" w:rsidRPr="00C1720F">
        <w:rPr>
          <w:rFonts w:ascii="Arial" w:hAnsi="Arial" w:cs="Arial"/>
          <w:sz w:val="22"/>
          <w:szCs w:val="22"/>
        </w:rPr>
        <w:t>the attraction of media attention on public protection incidents may assist the police by offering valuable opportunities to raise awareness, disseminate information, mobilise resources and foster community solidarity in emergency response alerts. Effective communication and collaboration between authorities and media outlets are essential to maximise the positive impacts of media attention during public protection incidents.</w:t>
      </w:r>
      <w:r w:rsidR="00AC52B5" w:rsidRPr="00C1720F">
        <w:rPr>
          <w:rFonts w:ascii="Arial" w:hAnsi="Arial" w:cs="Arial"/>
          <w:sz w:val="22"/>
          <w:szCs w:val="22"/>
        </w:rPr>
        <w:t xml:space="preserve"> Although the media can also </w:t>
      </w:r>
      <w:r w:rsidRPr="00C1720F">
        <w:rPr>
          <w:rFonts w:ascii="Arial" w:hAnsi="Arial" w:cs="Arial"/>
          <w:sz w:val="22"/>
          <w:szCs w:val="22"/>
        </w:rPr>
        <w:t>present challenges, such as misinformation or sensationalism</w:t>
      </w:r>
      <w:r w:rsidR="00AC52B5" w:rsidRPr="00C1720F">
        <w:rPr>
          <w:rFonts w:ascii="Arial" w:hAnsi="Arial" w:cs="Arial"/>
          <w:sz w:val="22"/>
          <w:szCs w:val="22"/>
        </w:rPr>
        <w:t xml:space="preserve"> which may create panic amongst the public. </w:t>
      </w:r>
    </w:p>
    <w:p w14:paraId="3C844519" w14:textId="77777777" w:rsidR="00313E9A" w:rsidRDefault="00313E9A" w:rsidP="00313E9A">
      <w:pPr>
        <w:pStyle w:val="NormalWeb"/>
        <w:spacing w:before="0" w:beforeAutospacing="0" w:after="0" w:afterAutospacing="0"/>
        <w:rPr>
          <w:rFonts w:ascii="Arial" w:hAnsi="Arial" w:cs="Arial"/>
          <w:color w:val="000000"/>
          <w:spacing w:val="3"/>
          <w:sz w:val="22"/>
          <w:szCs w:val="22"/>
        </w:rPr>
      </w:pPr>
    </w:p>
    <w:p w14:paraId="64B1AA38" w14:textId="39901C24" w:rsidR="00086A85" w:rsidRDefault="006A0ED9" w:rsidP="000903EA">
      <w:pPr>
        <w:pStyle w:val="NormalWeb"/>
        <w:spacing w:before="0" w:beforeAutospacing="0" w:after="0" w:afterAutospacing="0"/>
        <w:rPr>
          <w:rFonts w:ascii="Arial" w:hAnsi="Arial" w:cs="Arial"/>
          <w:color w:val="000000"/>
          <w:spacing w:val="3"/>
          <w:sz w:val="22"/>
          <w:szCs w:val="22"/>
        </w:rPr>
      </w:pPr>
      <w:r>
        <w:rPr>
          <w:rFonts w:ascii="Arial" w:hAnsi="Arial" w:cs="Arial"/>
          <w:color w:val="000000"/>
          <w:spacing w:val="3"/>
          <w:sz w:val="22"/>
          <w:szCs w:val="22"/>
        </w:rPr>
        <w:t>10</w:t>
      </w:r>
      <w:r w:rsidR="0003626F">
        <w:rPr>
          <w:rFonts w:ascii="Arial" w:hAnsi="Arial" w:cs="Arial"/>
          <w:color w:val="000000"/>
          <w:spacing w:val="3"/>
          <w:sz w:val="22"/>
          <w:szCs w:val="22"/>
        </w:rPr>
        <w:t>3</w:t>
      </w:r>
      <w:r w:rsidR="00C1720F">
        <w:rPr>
          <w:rFonts w:ascii="Arial" w:hAnsi="Arial" w:cs="Arial"/>
          <w:color w:val="000000"/>
          <w:spacing w:val="3"/>
          <w:sz w:val="22"/>
          <w:szCs w:val="22"/>
        </w:rPr>
        <w:t>7</w:t>
      </w:r>
    </w:p>
    <w:p w14:paraId="209635C9" w14:textId="77777777" w:rsidR="0003626F" w:rsidRDefault="0003626F" w:rsidP="000903EA">
      <w:pPr>
        <w:pStyle w:val="NormalWeb"/>
        <w:spacing w:before="0" w:beforeAutospacing="0" w:after="0" w:afterAutospacing="0"/>
        <w:rPr>
          <w:rFonts w:ascii="Arial" w:hAnsi="Arial" w:cs="Arial"/>
          <w:color w:val="000000"/>
          <w:spacing w:val="3"/>
          <w:sz w:val="22"/>
          <w:szCs w:val="22"/>
        </w:rPr>
      </w:pPr>
    </w:p>
    <w:p w14:paraId="5DC4DFF5" w14:textId="77777777" w:rsidR="0003626F" w:rsidRDefault="0003626F" w:rsidP="000903EA">
      <w:pPr>
        <w:pStyle w:val="NormalWeb"/>
        <w:spacing w:before="0" w:beforeAutospacing="0" w:after="0" w:afterAutospacing="0"/>
        <w:rPr>
          <w:rFonts w:ascii="Arial" w:hAnsi="Arial" w:cs="Arial"/>
          <w:color w:val="000000"/>
          <w:spacing w:val="3"/>
          <w:sz w:val="22"/>
          <w:szCs w:val="22"/>
        </w:rPr>
      </w:pPr>
    </w:p>
    <w:p w14:paraId="34CF6896" w14:textId="77777777" w:rsidR="0003626F" w:rsidRDefault="0003626F" w:rsidP="000903EA">
      <w:pPr>
        <w:pStyle w:val="NormalWeb"/>
        <w:spacing w:before="0" w:beforeAutospacing="0" w:after="0" w:afterAutospacing="0"/>
        <w:rPr>
          <w:rFonts w:ascii="Arial" w:hAnsi="Arial" w:cs="Arial"/>
          <w:color w:val="000000"/>
          <w:spacing w:val="3"/>
          <w:sz w:val="22"/>
          <w:szCs w:val="22"/>
        </w:rPr>
      </w:pPr>
    </w:p>
    <w:p w14:paraId="6019A7D0" w14:textId="77777777" w:rsidR="0003626F" w:rsidRDefault="0003626F" w:rsidP="000903EA">
      <w:pPr>
        <w:pStyle w:val="NormalWeb"/>
        <w:spacing w:before="0" w:beforeAutospacing="0" w:after="0" w:afterAutospacing="0"/>
        <w:rPr>
          <w:rFonts w:ascii="Arial" w:hAnsi="Arial" w:cs="Arial"/>
          <w:color w:val="000000"/>
          <w:spacing w:val="3"/>
          <w:sz w:val="22"/>
          <w:szCs w:val="22"/>
        </w:rPr>
      </w:pPr>
    </w:p>
    <w:p w14:paraId="03A58A4C" w14:textId="77777777" w:rsidR="0003626F" w:rsidRPr="000903EA" w:rsidRDefault="0003626F" w:rsidP="000903EA">
      <w:pPr>
        <w:pStyle w:val="NormalWeb"/>
        <w:spacing w:before="0" w:beforeAutospacing="0" w:after="0" w:afterAutospacing="0"/>
        <w:rPr>
          <w:rFonts w:ascii="Arial" w:hAnsi="Arial" w:cs="Arial"/>
          <w:color w:val="000000"/>
          <w:spacing w:val="3"/>
          <w:sz w:val="22"/>
          <w:szCs w:val="22"/>
        </w:rPr>
      </w:pPr>
    </w:p>
    <w:p w14:paraId="50BDC68E" w14:textId="0295CFA4" w:rsidR="00086A85" w:rsidRDefault="00086A85" w:rsidP="00E1255A">
      <w:pPr>
        <w:pStyle w:val="Default"/>
        <w:rPr>
          <w:sz w:val="22"/>
          <w:szCs w:val="22"/>
        </w:rPr>
      </w:pPr>
    </w:p>
    <w:p w14:paraId="12B8BB36" w14:textId="77777777" w:rsidR="00A77C15" w:rsidRDefault="00A77C15" w:rsidP="00E1255A">
      <w:pPr>
        <w:pStyle w:val="Default"/>
        <w:rPr>
          <w:b/>
          <w:bCs/>
          <w:sz w:val="22"/>
          <w:szCs w:val="22"/>
        </w:rPr>
      </w:pPr>
    </w:p>
    <w:p w14:paraId="42721071" w14:textId="77777777" w:rsidR="00086A85" w:rsidRDefault="00086A85" w:rsidP="00E1255A">
      <w:pPr>
        <w:pStyle w:val="Default"/>
        <w:rPr>
          <w:b/>
          <w:bCs/>
          <w:sz w:val="22"/>
          <w:szCs w:val="22"/>
        </w:rPr>
      </w:pPr>
    </w:p>
    <w:p w14:paraId="310C8024" w14:textId="77777777" w:rsidR="00086A85" w:rsidRDefault="00086A85" w:rsidP="00E1255A">
      <w:pPr>
        <w:pStyle w:val="Default"/>
        <w:rPr>
          <w:b/>
          <w:bCs/>
          <w:sz w:val="22"/>
          <w:szCs w:val="22"/>
        </w:rPr>
      </w:pPr>
    </w:p>
    <w:p w14:paraId="43161D62" w14:textId="41F09F05" w:rsidR="00E1255A" w:rsidRDefault="00E1255A" w:rsidP="00E1255A">
      <w:pPr>
        <w:pStyle w:val="Default"/>
        <w:rPr>
          <w:sz w:val="22"/>
          <w:szCs w:val="22"/>
        </w:rPr>
      </w:pPr>
      <w:r>
        <w:rPr>
          <w:b/>
          <w:bCs/>
          <w:sz w:val="22"/>
          <w:szCs w:val="22"/>
        </w:rPr>
        <w:lastRenderedPageBreak/>
        <w:t xml:space="preserve">Essay five: </w:t>
      </w:r>
    </w:p>
    <w:p w14:paraId="42721D28" w14:textId="77777777" w:rsidR="00E1255A" w:rsidRDefault="00E1255A" w:rsidP="00E1255A">
      <w:pPr>
        <w:pStyle w:val="Default"/>
        <w:rPr>
          <w:sz w:val="22"/>
          <w:szCs w:val="22"/>
        </w:rPr>
      </w:pPr>
      <w:r>
        <w:rPr>
          <w:sz w:val="22"/>
          <w:szCs w:val="22"/>
        </w:rPr>
        <w:t xml:space="preserve">“Despite some progress, the system of juvenile justice in the United Kingdom remains excessively punitive. The state's response to juvenile crime should focus more on rehabilitation” (Hammarberg, 2012). Examine the effectiveness of rehabilitation and/or restorative justice as a means of reducing re-offending among young offenders. </w:t>
      </w:r>
    </w:p>
    <w:p w14:paraId="2ED5583B" w14:textId="77777777" w:rsidR="00E1255A" w:rsidRDefault="00E1255A" w:rsidP="00E1255A">
      <w:pPr>
        <w:pStyle w:val="Default"/>
        <w:rPr>
          <w:sz w:val="22"/>
          <w:szCs w:val="22"/>
        </w:rPr>
      </w:pPr>
      <w:r>
        <w:rPr>
          <w:sz w:val="22"/>
          <w:szCs w:val="22"/>
        </w:rPr>
        <w:t xml:space="preserve">Your answer must be based on academic research, but you may </w:t>
      </w:r>
      <w:proofErr w:type="gramStart"/>
      <w:r>
        <w:rPr>
          <w:sz w:val="22"/>
          <w:szCs w:val="22"/>
        </w:rPr>
        <w:t>make reference</w:t>
      </w:r>
      <w:proofErr w:type="gramEnd"/>
      <w:r>
        <w:rPr>
          <w:sz w:val="22"/>
          <w:szCs w:val="22"/>
        </w:rPr>
        <w:t xml:space="preserve"> to relevant case studies. </w:t>
      </w:r>
    </w:p>
    <w:p w14:paraId="7674CEB5" w14:textId="49A69AF6" w:rsidR="00E1255A" w:rsidRDefault="00E1255A" w:rsidP="00E1255A">
      <w:r>
        <w:rPr>
          <w:b/>
          <w:bCs/>
        </w:rPr>
        <w:t xml:space="preserve">Word limit: </w:t>
      </w:r>
      <w:r>
        <w:t>1000 words.</w:t>
      </w:r>
    </w:p>
    <w:p w14:paraId="308123DE" w14:textId="286E5609" w:rsidR="00D962AF" w:rsidRPr="00E848DE" w:rsidRDefault="008D3833" w:rsidP="00265A70">
      <w:pPr>
        <w:rPr>
          <w:rFonts w:ascii="Arial" w:hAnsi="Arial" w:cs="Arial"/>
        </w:rPr>
      </w:pPr>
      <w:r w:rsidRPr="00E848DE">
        <w:rPr>
          <w:rFonts w:ascii="Arial" w:hAnsi="Arial" w:cs="Arial"/>
        </w:rPr>
        <w:t>This essay will examine the effectiveness of re</w:t>
      </w:r>
      <w:r w:rsidR="00AC52B5" w:rsidRPr="00E848DE">
        <w:rPr>
          <w:rFonts w:ascii="Arial" w:hAnsi="Arial" w:cs="Arial"/>
        </w:rPr>
        <w:t xml:space="preserve">storative justice (RJ) </w:t>
      </w:r>
      <w:r w:rsidRPr="00E848DE">
        <w:rPr>
          <w:rFonts w:ascii="Arial" w:hAnsi="Arial" w:cs="Arial"/>
        </w:rPr>
        <w:t xml:space="preserve">as a means of reducing reoffending among young offenders. </w:t>
      </w:r>
      <w:r w:rsidR="00AC52B5" w:rsidRPr="00E848DE">
        <w:rPr>
          <w:rFonts w:ascii="Arial" w:hAnsi="Arial" w:cs="Arial"/>
        </w:rPr>
        <w:t>RJ</w:t>
      </w:r>
      <w:r w:rsidRPr="00E848DE">
        <w:rPr>
          <w:rFonts w:ascii="Arial" w:hAnsi="Arial" w:cs="Arial"/>
        </w:rPr>
        <w:t xml:space="preserve"> will be </w:t>
      </w:r>
      <w:r w:rsidR="004F7EDE" w:rsidRPr="00E848DE">
        <w:rPr>
          <w:rFonts w:ascii="Arial" w:hAnsi="Arial" w:cs="Arial"/>
        </w:rPr>
        <w:t xml:space="preserve">highlighted and </w:t>
      </w:r>
      <w:r w:rsidRPr="00E848DE">
        <w:rPr>
          <w:rFonts w:ascii="Arial" w:hAnsi="Arial" w:cs="Arial"/>
        </w:rPr>
        <w:t xml:space="preserve">examined on the appropriateness of implementing </w:t>
      </w:r>
      <w:r w:rsidR="00AC52B5" w:rsidRPr="00E848DE">
        <w:rPr>
          <w:rFonts w:ascii="Arial" w:hAnsi="Arial" w:cs="Arial"/>
        </w:rPr>
        <w:t>this technique</w:t>
      </w:r>
      <w:r w:rsidRPr="00E848DE">
        <w:rPr>
          <w:rFonts w:ascii="Arial" w:hAnsi="Arial" w:cs="Arial"/>
        </w:rPr>
        <w:t xml:space="preserve"> in reducing reoffending</w:t>
      </w:r>
      <w:r w:rsidR="004F7EDE" w:rsidRPr="00E848DE">
        <w:rPr>
          <w:rFonts w:ascii="Arial" w:hAnsi="Arial" w:cs="Arial"/>
        </w:rPr>
        <w:t xml:space="preserve"> in young offenders. </w:t>
      </w:r>
      <w:r w:rsidR="00BC1CB8" w:rsidRPr="00E848DE">
        <w:rPr>
          <w:rFonts w:ascii="Arial" w:hAnsi="Arial" w:cs="Arial"/>
        </w:rPr>
        <w:t xml:space="preserve">A large percept of crimes committed are by under </w:t>
      </w:r>
      <w:proofErr w:type="gramStart"/>
      <w:r w:rsidR="00BC1CB8" w:rsidRPr="00E848DE">
        <w:rPr>
          <w:rFonts w:ascii="Arial" w:hAnsi="Arial" w:cs="Arial"/>
        </w:rPr>
        <w:t>18 year olds</w:t>
      </w:r>
      <w:proofErr w:type="gramEnd"/>
      <w:r w:rsidR="00BC1CB8" w:rsidRPr="00E848DE">
        <w:rPr>
          <w:rFonts w:ascii="Arial" w:hAnsi="Arial" w:cs="Arial"/>
        </w:rPr>
        <w:t xml:space="preserve"> within the UK. Ensuring young offenders receive the appropriate treatment to reduce reoffending is essential to prevent a life of crime. </w:t>
      </w:r>
    </w:p>
    <w:p w14:paraId="66D468E5" w14:textId="4B790766" w:rsidR="00AC52B5" w:rsidRPr="00E848DE" w:rsidRDefault="00AC52B5" w:rsidP="00265A70">
      <w:pPr>
        <w:rPr>
          <w:rFonts w:ascii="Arial" w:hAnsi="Arial" w:cs="Arial"/>
        </w:rPr>
      </w:pPr>
      <w:r w:rsidRPr="00E848DE">
        <w:rPr>
          <w:rFonts w:ascii="Arial" w:hAnsi="Arial" w:cs="Arial"/>
        </w:rPr>
        <w:t xml:space="preserve">RJ </w:t>
      </w:r>
      <w:r w:rsidR="0081234E" w:rsidRPr="00E848DE">
        <w:rPr>
          <w:rFonts w:ascii="Arial" w:hAnsi="Arial" w:cs="Arial"/>
        </w:rPr>
        <w:t>is an approach to addressing an offence and repairing the harm caused by the criminal behaviour. This technique includes the involvement of the victim, offender, and accountability, as the offender must admit to the offence to eligible for RJ.</w:t>
      </w:r>
    </w:p>
    <w:p w14:paraId="6C416C47" w14:textId="53A369C1" w:rsidR="00824A05" w:rsidRPr="00E848DE" w:rsidRDefault="00824A05" w:rsidP="00265A70">
      <w:pPr>
        <w:rPr>
          <w:rFonts w:ascii="Arial" w:eastAsia="Times New Roman" w:hAnsi="Arial" w:cs="Arial"/>
          <w:kern w:val="0"/>
          <w:lang w:eastAsia="en-GB"/>
          <w14:ligatures w14:val="none"/>
        </w:rPr>
      </w:pPr>
      <w:r w:rsidRPr="00E848DE">
        <w:rPr>
          <w:rFonts w:ascii="Arial" w:eastAsia="Times New Roman" w:hAnsi="Arial" w:cs="Arial"/>
          <w:kern w:val="0"/>
          <w:lang w:eastAsia="en-GB"/>
          <w14:ligatures w14:val="none"/>
        </w:rPr>
        <w:t xml:space="preserve">The degree of victim participation is one aspect of RJ interventions that seems of victims and injuries caused when the evidence clearly shows them otherwise. to influence post-intervention offending. The ability of offenders to use neutralization strategies, such as "denial of harm" and "denial of victim," appears to be undermined by RJ processes that involve victims directly through in-person meetings. This is because it is difficult for offenders to deny the existence </w:t>
      </w:r>
      <w:r w:rsidR="009C2951" w:rsidRPr="00E848DE">
        <w:rPr>
          <w:rFonts w:ascii="Arial" w:hAnsi="Arial" w:cs="Arial"/>
        </w:rPr>
        <w:t>(Marshall, 2020).</w:t>
      </w:r>
      <w:r w:rsidRPr="00E848DE">
        <w:rPr>
          <w:rFonts w:ascii="Arial" w:eastAsia="Times New Roman" w:hAnsi="Arial" w:cs="Arial"/>
          <w:kern w:val="0"/>
          <w:lang w:eastAsia="en-GB"/>
          <w14:ligatures w14:val="none"/>
        </w:rPr>
        <w:t xml:space="preserve"> However, it is much easier for an offender to maintain such denials if a victim decides not to participate or only participates </w:t>
      </w:r>
      <w:r w:rsidR="00265A70" w:rsidRPr="00E848DE">
        <w:rPr>
          <w:rFonts w:ascii="Arial" w:eastAsia="Times New Roman" w:hAnsi="Arial" w:cs="Arial"/>
          <w:kern w:val="0"/>
          <w:lang w:eastAsia="en-GB"/>
          <w14:ligatures w14:val="none"/>
        </w:rPr>
        <w:t>indirectly</w:t>
      </w:r>
      <w:r w:rsidRPr="00E848DE">
        <w:rPr>
          <w:rFonts w:ascii="Arial" w:eastAsia="Times New Roman" w:hAnsi="Arial" w:cs="Arial"/>
          <w:kern w:val="0"/>
          <w:lang w:eastAsia="en-GB"/>
          <w14:ligatures w14:val="none"/>
        </w:rPr>
        <w:t xml:space="preserve">. </w:t>
      </w:r>
      <w:r w:rsidR="009C2951" w:rsidRPr="00E848DE">
        <w:rPr>
          <w:rFonts w:ascii="Arial" w:eastAsia="Times New Roman" w:hAnsi="Arial" w:cs="Arial"/>
          <w:kern w:val="0"/>
          <w:lang w:eastAsia="en-GB"/>
          <w14:ligatures w14:val="none"/>
        </w:rPr>
        <w:t>Hwang (2020)</w:t>
      </w:r>
      <w:r w:rsidR="00265A70" w:rsidRPr="00E848DE">
        <w:rPr>
          <w:rFonts w:ascii="Arial" w:eastAsia="Times New Roman" w:hAnsi="Arial" w:cs="Arial"/>
          <w:kern w:val="0"/>
          <w:lang w:eastAsia="en-GB"/>
          <w14:ligatures w14:val="none"/>
        </w:rPr>
        <w:t xml:space="preserve"> found that</w:t>
      </w:r>
      <w:r w:rsidRPr="00E848DE">
        <w:rPr>
          <w:rFonts w:ascii="Arial" w:eastAsia="Times New Roman" w:hAnsi="Arial" w:cs="Arial"/>
          <w:kern w:val="0"/>
          <w:lang w:eastAsia="en-GB"/>
          <w14:ligatures w14:val="none"/>
        </w:rPr>
        <w:t xml:space="preserve"> young offenders who met and/or apologized to their victim during their conference were less likely to</w:t>
      </w:r>
      <w:r w:rsidR="00265A70" w:rsidRPr="00E848DE">
        <w:rPr>
          <w:rFonts w:ascii="Arial" w:eastAsia="Times New Roman" w:hAnsi="Arial" w:cs="Arial"/>
          <w:kern w:val="0"/>
          <w:lang w:eastAsia="en-GB"/>
          <w14:ligatures w14:val="none"/>
        </w:rPr>
        <w:t xml:space="preserve"> reoffend</w:t>
      </w:r>
      <w:r w:rsidRPr="00E848DE">
        <w:rPr>
          <w:rFonts w:ascii="Arial" w:eastAsia="Times New Roman" w:hAnsi="Arial" w:cs="Arial"/>
          <w:kern w:val="0"/>
          <w:lang w:eastAsia="en-GB"/>
          <w14:ligatures w14:val="none"/>
        </w:rPr>
        <w:t xml:space="preserve">. Results from </w:t>
      </w:r>
      <w:r w:rsidR="009C2951" w:rsidRPr="00E848DE">
        <w:rPr>
          <w:rFonts w:ascii="Arial" w:hAnsi="Arial" w:cs="Arial"/>
        </w:rPr>
        <w:t>(Strang et al., 2013)</w:t>
      </w:r>
      <w:r w:rsidRPr="00E848DE">
        <w:rPr>
          <w:rFonts w:ascii="Arial" w:eastAsia="Times New Roman" w:hAnsi="Arial" w:cs="Arial"/>
          <w:kern w:val="0"/>
          <w:lang w:eastAsia="en-GB"/>
          <w14:ligatures w14:val="none"/>
        </w:rPr>
        <w:t xml:space="preserve"> also imply that offenders who were more successful</w:t>
      </w:r>
      <w:r w:rsidR="00265A70" w:rsidRPr="00E848DE">
        <w:rPr>
          <w:rFonts w:ascii="Arial" w:eastAsia="Times New Roman" w:hAnsi="Arial" w:cs="Arial"/>
          <w:kern w:val="0"/>
          <w:lang w:eastAsia="en-GB"/>
          <w14:ligatures w14:val="none"/>
        </w:rPr>
        <w:t xml:space="preserve"> in</w:t>
      </w:r>
      <w:r w:rsidRPr="00E848DE">
        <w:rPr>
          <w:rFonts w:ascii="Arial" w:eastAsia="Times New Roman" w:hAnsi="Arial" w:cs="Arial"/>
          <w:kern w:val="0"/>
          <w:lang w:eastAsia="en-GB"/>
          <w14:ligatures w14:val="none"/>
        </w:rPr>
        <w:t xml:space="preserve"> stopping their criminal activity reported being influenced by victims' accounts of the harm and consequences of their actions. Given these findings, RJ interventions with direct victim participation may be</w:t>
      </w:r>
      <w:r w:rsidR="00265A70" w:rsidRPr="00E848DE">
        <w:rPr>
          <w:rFonts w:ascii="Arial" w:eastAsia="Times New Roman" w:hAnsi="Arial" w:cs="Arial"/>
          <w:kern w:val="0"/>
          <w:lang w:eastAsia="en-GB"/>
          <w14:ligatures w14:val="none"/>
        </w:rPr>
        <w:t xml:space="preserve"> more</w:t>
      </w:r>
      <w:r w:rsidRPr="00E848DE">
        <w:rPr>
          <w:rFonts w:ascii="Arial" w:eastAsia="Times New Roman" w:hAnsi="Arial" w:cs="Arial"/>
          <w:kern w:val="0"/>
          <w:lang w:eastAsia="en-GB"/>
          <w14:ligatures w14:val="none"/>
        </w:rPr>
        <w:t xml:space="preserve"> likely to have a greater impact on offender behaviour post-intervention compared to RJ</w:t>
      </w:r>
      <w:r w:rsidR="00265A70" w:rsidRPr="00E848DE">
        <w:rPr>
          <w:rFonts w:ascii="Arial" w:eastAsia="Times New Roman" w:hAnsi="Arial" w:cs="Arial"/>
          <w:kern w:val="0"/>
          <w:lang w:eastAsia="en-GB"/>
          <w14:ligatures w14:val="none"/>
        </w:rPr>
        <w:t>’s</w:t>
      </w:r>
      <w:r w:rsidRPr="00E848DE">
        <w:rPr>
          <w:rFonts w:ascii="Arial" w:eastAsia="Times New Roman" w:hAnsi="Arial" w:cs="Arial"/>
          <w:kern w:val="0"/>
          <w:lang w:eastAsia="en-GB"/>
          <w14:ligatures w14:val="none"/>
        </w:rPr>
        <w:t xml:space="preserve"> that do not</w:t>
      </w:r>
      <w:r w:rsidR="009B26FA" w:rsidRPr="00E848DE">
        <w:rPr>
          <w:rFonts w:ascii="Arial" w:eastAsia="Times New Roman" w:hAnsi="Arial" w:cs="Arial"/>
          <w:kern w:val="0"/>
          <w:lang w:eastAsia="en-GB"/>
          <w14:ligatures w14:val="none"/>
        </w:rPr>
        <w:t xml:space="preserve"> </w:t>
      </w:r>
      <w:r w:rsidR="009B26FA" w:rsidRPr="00E848DE">
        <w:rPr>
          <w:rFonts w:ascii="Arial" w:hAnsi="Arial" w:cs="Arial"/>
        </w:rPr>
        <w:t>(Yeager &amp; Chappelle, 2021)</w:t>
      </w:r>
      <w:r w:rsidRPr="00E848DE">
        <w:rPr>
          <w:rFonts w:ascii="Arial" w:eastAsia="Times New Roman" w:hAnsi="Arial" w:cs="Arial"/>
          <w:kern w:val="0"/>
          <w:lang w:eastAsia="en-GB"/>
          <w14:ligatures w14:val="none"/>
        </w:rPr>
        <w:t xml:space="preserve">. </w:t>
      </w:r>
      <w:r w:rsidR="00265A70" w:rsidRPr="00E848DE">
        <w:rPr>
          <w:rFonts w:ascii="Arial" w:eastAsia="Times New Roman" w:hAnsi="Arial" w:cs="Arial"/>
          <w:kern w:val="0"/>
          <w:lang w:eastAsia="en-GB"/>
          <w14:ligatures w14:val="none"/>
        </w:rPr>
        <w:t xml:space="preserve">Although RJ seems to be effective when victims are involved there may be doubt regarding victimless crimes such as drunk and disorderly, drug possession and dangerous drive, in reducing reoffending. </w:t>
      </w:r>
    </w:p>
    <w:p w14:paraId="1B62AD20" w14:textId="60E6C1D0" w:rsidR="00F44019" w:rsidRPr="00E848DE" w:rsidRDefault="00A5078F" w:rsidP="00A5078F">
      <w:pPr>
        <w:spacing w:after="240"/>
        <w:rPr>
          <w:rFonts w:ascii="Arial" w:eastAsia="Times New Roman" w:hAnsi="Arial" w:cs="Arial"/>
          <w:kern w:val="0"/>
          <w:lang w:eastAsia="en-GB"/>
          <w14:ligatures w14:val="none"/>
        </w:rPr>
      </w:pPr>
      <w:r w:rsidRPr="00E848DE">
        <w:rPr>
          <w:rFonts w:ascii="Arial" w:eastAsia="Times New Roman" w:hAnsi="Arial" w:cs="Arial"/>
          <w:kern w:val="0"/>
          <w:lang w:eastAsia="en-GB"/>
          <w14:ligatures w14:val="none"/>
        </w:rPr>
        <w:t>Shame is thought to be connected to the stigmatization of offenders that takes place within traditional justice systems. According to</w:t>
      </w:r>
      <w:r w:rsidR="00C1720F" w:rsidRPr="00E848DE">
        <w:rPr>
          <w:rFonts w:ascii="Arial" w:eastAsia="Times New Roman" w:hAnsi="Arial" w:cs="Arial"/>
          <w:kern w:val="0"/>
          <w:lang w:eastAsia="en-GB"/>
          <w14:ligatures w14:val="none"/>
        </w:rPr>
        <w:t xml:space="preserve"> </w:t>
      </w:r>
      <w:r w:rsidR="00C1720F" w:rsidRPr="00E848DE">
        <w:rPr>
          <w:rFonts w:ascii="Arial" w:hAnsi="Arial" w:cs="Arial"/>
        </w:rPr>
        <w:t>Porro, (2021)</w:t>
      </w:r>
      <w:r w:rsidR="009B26FA" w:rsidRPr="00E848DE">
        <w:rPr>
          <w:rFonts w:ascii="Arial" w:eastAsia="Times New Roman" w:hAnsi="Arial" w:cs="Arial"/>
          <w:kern w:val="0"/>
          <w:lang w:eastAsia="en-GB"/>
          <w14:ligatures w14:val="none"/>
        </w:rPr>
        <w:t xml:space="preserve"> the</w:t>
      </w:r>
      <w:r w:rsidRPr="00E848DE">
        <w:rPr>
          <w:rFonts w:ascii="Arial" w:eastAsia="Times New Roman" w:hAnsi="Arial" w:cs="Arial"/>
          <w:kern w:val="0"/>
          <w:lang w:eastAsia="en-GB"/>
          <w14:ligatures w14:val="none"/>
        </w:rPr>
        <w:t xml:space="preserve"> stigmati</w:t>
      </w:r>
      <w:r w:rsidR="009B26FA" w:rsidRPr="00E848DE">
        <w:rPr>
          <w:rFonts w:ascii="Arial" w:eastAsia="Times New Roman" w:hAnsi="Arial" w:cs="Arial"/>
          <w:kern w:val="0"/>
          <w:lang w:eastAsia="en-GB"/>
          <w14:ligatures w14:val="none"/>
        </w:rPr>
        <w:t>sation of offenders and bringing</w:t>
      </w:r>
      <w:r w:rsidRPr="00E848DE">
        <w:rPr>
          <w:rFonts w:ascii="Arial" w:eastAsia="Times New Roman" w:hAnsi="Arial" w:cs="Arial"/>
          <w:kern w:val="0"/>
          <w:lang w:eastAsia="en-GB"/>
          <w14:ligatures w14:val="none"/>
        </w:rPr>
        <w:t xml:space="preserve"> shame </w:t>
      </w:r>
      <w:r w:rsidR="009B26FA" w:rsidRPr="00E848DE">
        <w:rPr>
          <w:rFonts w:ascii="Arial" w:eastAsia="Times New Roman" w:hAnsi="Arial" w:cs="Arial"/>
          <w:kern w:val="0"/>
          <w:lang w:eastAsia="en-GB"/>
          <w14:ligatures w14:val="none"/>
        </w:rPr>
        <w:t xml:space="preserve">to the individual </w:t>
      </w:r>
      <w:r w:rsidRPr="00E848DE">
        <w:rPr>
          <w:rFonts w:ascii="Arial" w:eastAsia="Times New Roman" w:hAnsi="Arial" w:cs="Arial"/>
          <w:kern w:val="0"/>
          <w:lang w:eastAsia="en-GB"/>
          <w14:ligatures w14:val="none"/>
        </w:rPr>
        <w:t>might have the opposite effect of what is intended and alienate the offender. Unlike traditional justice systems, restorative justice places more emphasis on social processes that involve a disapproval of the offending rather than the offender. This is believed to have a positive impact on a young person's cognitive and social development as well as their self-esteem</w:t>
      </w:r>
      <w:r w:rsidR="009B26FA" w:rsidRPr="00E848DE">
        <w:rPr>
          <w:rFonts w:ascii="Arial" w:eastAsia="Times New Roman" w:hAnsi="Arial" w:cs="Arial"/>
          <w:kern w:val="0"/>
          <w:lang w:eastAsia="en-GB"/>
          <w14:ligatures w14:val="none"/>
        </w:rPr>
        <w:t xml:space="preserve"> </w:t>
      </w:r>
      <w:r w:rsidR="009B26FA" w:rsidRPr="00E848DE">
        <w:rPr>
          <w:rFonts w:ascii="Arial" w:hAnsi="Arial" w:cs="Arial"/>
        </w:rPr>
        <w:t>(Banwell-Moore, 2022)</w:t>
      </w:r>
      <w:r w:rsidRPr="00E848DE">
        <w:rPr>
          <w:rFonts w:ascii="Arial" w:eastAsia="Times New Roman" w:hAnsi="Arial" w:cs="Arial"/>
          <w:kern w:val="0"/>
          <w:lang w:eastAsia="en-GB"/>
          <w14:ligatures w14:val="none"/>
        </w:rPr>
        <w:t>. While the goal of restorative justice is to confront juvenile offenders with the consequences of their actions, the</w:t>
      </w:r>
      <w:r w:rsidR="009B26FA" w:rsidRPr="00E848DE">
        <w:rPr>
          <w:rFonts w:ascii="Arial" w:eastAsia="Times New Roman" w:hAnsi="Arial" w:cs="Arial"/>
          <w:kern w:val="0"/>
          <w:lang w:eastAsia="en-GB"/>
          <w14:ligatures w14:val="none"/>
        </w:rPr>
        <w:t xml:space="preserve">re is a </w:t>
      </w:r>
      <w:r w:rsidRPr="00E848DE">
        <w:rPr>
          <w:rFonts w:ascii="Arial" w:eastAsia="Times New Roman" w:hAnsi="Arial" w:cs="Arial"/>
          <w:kern w:val="0"/>
          <w:lang w:eastAsia="en-GB"/>
          <w14:ligatures w14:val="none"/>
        </w:rPr>
        <w:t xml:space="preserve">requirement that they make reparations </w:t>
      </w:r>
      <w:r w:rsidR="009B26FA" w:rsidRPr="00E848DE">
        <w:rPr>
          <w:rFonts w:ascii="Arial" w:eastAsia="Times New Roman" w:hAnsi="Arial" w:cs="Arial"/>
          <w:kern w:val="0"/>
          <w:lang w:eastAsia="en-GB"/>
          <w14:ligatures w14:val="none"/>
        </w:rPr>
        <w:t>offers for</w:t>
      </w:r>
      <w:r w:rsidRPr="00E848DE">
        <w:rPr>
          <w:rFonts w:ascii="Arial" w:eastAsia="Times New Roman" w:hAnsi="Arial" w:cs="Arial"/>
          <w:kern w:val="0"/>
          <w:lang w:eastAsia="en-GB"/>
          <w14:ligatures w14:val="none"/>
        </w:rPr>
        <w:t xml:space="preserve"> them to be forgiven </w:t>
      </w:r>
      <w:r w:rsidR="009B26FA" w:rsidRPr="00E848DE">
        <w:rPr>
          <w:rFonts w:ascii="Arial" w:hAnsi="Arial" w:cs="Arial"/>
        </w:rPr>
        <w:t>(Balan et al., 2022).</w:t>
      </w:r>
      <w:r w:rsidRPr="00E848DE">
        <w:rPr>
          <w:rFonts w:ascii="Arial" w:eastAsia="Times New Roman" w:hAnsi="Arial" w:cs="Arial"/>
          <w:kern w:val="0"/>
          <w:lang w:eastAsia="en-GB"/>
          <w14:ligatures w14:val="none"/>
        </w:rPr>
        <w:t xml:space="preserve"> Therefore, shame in restorative justice is 'reintegrative' and is supposed to produce better results, but it is dependent upon the victim's presence.</w:t>
      </w:r>
      <w:r w:rsidR="00F44019" w:rsidRPr="00E848DE">
        <w:rPr>
          <w:rFonts w:ascii="Arial" w:eastAsia="Times New Roman" w:hAnsi="Arial" w:cs="Arial"/>
          <w:kern w:val="0"/>
          <w:lang w:eastAsia="en-GB"/>
          <w14:ligatures w14:val="none"/>
        </w:rPr>
        <w:t xml:space="preserve"> </w:t>
      </w:r>
    </w:p>
    <w:p w14:paraId="7886557C" w14:textId="554EF501" w:rsidR="00A5078F" w:rsidRPr="00E848DE" w:rsidRDefault="00A5078F" w:rsidP="00CB74EA">
      <w:pPr>
        <w:rPr>
          <w:rFonts w:ascii="Arial" w:hAnsi="Arial" w:cs="Arial"/>
        </w:rPr>
      </w:pPr>
      <w:r w:rsidRPr="00E848DE">
        <w:rPr>
          <w:rFonts w:ascii="Arial" w:eastAsia="Times New Roman" w:hAnsi="Arial" w:cs="Arial"/>
          <w:kern w:val="0"/>
          <w:lang w:eastAsia="en-GB"/>
          <w14:ligatures w14:val="none"/>
        </w:rPr>
        <w:t xml:space="preserve">Given the years of social disadvantage and exclusion that many offenders are likely to have experienced, along with other factors linked to youth offending and desistance from crime, some have express doubts about the potential effectiveness of a brief intervention like RJ. Specifically, it is commonly known that there are connections between juvenile criminality </w:t>
      </w:r>
      <w:r w:rsidRPr="00E848DE">
        <w:rPr>
          <w:rFonts w:ascii="Arial" w:eastAsia="Times New Roman" w:hAnsi="Arial" w:cs="Arial"/>
          <w:kern w:val="0"/>
          <w:lang w:eastAsia="en-GB"/>
          <w14:ligatures w14:val="none"/>
        </w:rPr>
        <w:lastRenderedPageBreak/>
        <w:t xml:space="preserve">and a lack of educational, training, and job opportunities </w:t>
      </w:r>
      <w:r w:rsidR="009B26FA" w:rsidRPr="00E848DE">
        <w:rPr>
          <w:rFonts w:ascii="Arial" w:hAnsi="Arial" w:cs="Arial"/>
        </w:rPr>
        <w:t>(Bell et al., 2022).</w:t>
      </w:r>
      <w:r w:rsidRPr="00E848DE">
        <w:rPr>
          <w:rFonts w:ascii="Arial" w:eastAsia="Times New Roman" w:hAnsi="Arial" w:cs="Arial"/>
          <w:kern w:val="0"/>
          <w:lang w:eastAsia="en-GB"/>
          <w14:ligatures w14:val="none"/>
        </w:rPr>
        <w:t xml:space="preserve"> </w:t>
      </w:r>
      <w:r w:rsidR="00A065F0" w:rsidRPr="00E848DE">
        <w:rPr>
          <w:rFonts w:ascii="Arial" w:hAnsi="Arial" w:cs="Arial"/>
        </w:rPr>
        <w:t>A keyway reoffending in young people can be reduce is by incorporating education and skill building. RJ programs do not provide educational opportunities and life skills development for young offenders</w:t>
      </w:r>
      <w:r w:rsidR="00CB74EA" w:rsidRPr="00E848DE">
        <w:rPr>
          <w:rFonts w:ascii="Arial" w:hAnsi="Arial" w:cs="Arial"/>
        </w:rPr>
        <w:t xml:space="preserve"> (Pooley, 2020)</w:t>
      </w:r>
      <w:r w:rsidR="00A065F0" w:rsidRPr="00E848DE">
        <w:rPr>
          <w:rFonts w:ascii="Arial" w:hAnsi="Arial" w:cs="Arial"/>
        </w:rPr>
        <w:t xml:space="preserve">. If these were offered it may increase the reduction of recidivism by improving academic and vocational skills of young offenders. </w:t>
      </w:r>
      <w:r w:rsidRPr="00E848DE">
        <w:rPr>
          <w:rFonts w:ascii="Arial" w:eastAsia="Times New Roman" w:hAnsi="Arial" w:cs="Arial"/>
          <w:kern w:val="0"/>
          <w:lang w:eastAsia="en-GB"/>
          <w14:ligatures w14:val="none"/>
        </w:rPr>
        <w:t xml:space="preserve">In a similar vein, there is ample evidence linking drug abuse to juvenile criminality </w:t>
      </w:r>
      <w:r w:rsidR="000A428B" w:rsidRPr="00E848DE">
        <w:rPr>
          <w:rFonts w:ascii="Arial" w:hAnsi="Arial" w:cs="Arial"/>
        </w:rPr>
        <w:t xml:space="preserve">(Saladino et al., 2021). </w:t>
      </w:r>
      <w:r w:rsidRPr="00E848DE">
        <w:rPr>
          <w:rFonts w:ascii="Arial" w:eastAsia="Times New Roman" w:hAnsi="Arial" w:cs="Arial"/>
          <w:kern w:val="0"/>
          <w:lang w:eastAsia="en-GB"/>
          <w14:ligatures w14:val="none"/>
        </w:rPr>
        <w:t>It is maintained that meeting these needs when they are discovered is crucial to lowering recidivism rates. Considering the long-term effects of criminal activity is one of the objectives of restorative justice initiative</w:t>
      </w:r>
      <w:r w:rsidR="000A428B" w:rsidRPr="00E848DE">
        <w:rPr>
          <w:rFonts w:ascii="Arial" w:eastAsia="Times New Roman" w:hAnsi="Arial" w:cs="Arial"/>
          <w:kern w:val="0"/>
          <w:lang w:eastAsia="en-GB"/>
          <w14:ligatures w14:val="none"/>
        </w:rPr>
        <w:t xml:space="preserve"> it can be argued that under lying issues such as education and substance use would need to be addressed for the young offender</w:t>
      </w:r>
      <w:r w:rsidRPr="00E848DE">
        <w:rPr>
          <w:rFonts w:ascii="Arial" w:eastAsia="Times New Roman" w:hAnsi="Arial" w:cs="Arial"/>
          <w:kern w:val="0"/>
          <w:lang w:eastAsia="en-GB"/>
          <w14:ligatures w14:val="none"/>
        </w:rPr>
        <w:t xml:space="preserve"> for an</w:t>
      </w:r>
      <w:r w:rsidR="000A428B" w:rsidRPr="00E848DE">
        <w:rPr>
          <w:rFonts w:ascii="Arial" w:eastAsia="Times New Roman" w:hAnsi="Arial" w:cs="Arial"/>
          <w:kern w:val="0"/>
          <w:lang w:eastAsia="en-GB"/>
          <w14:ligatures w14:val="none"/>
        </w:rPr>
        <w:t xml:space="preserve"> RJ</w:t>
      </w:r>
      <w:r w:rsidRPr="00E848DE">
        <w:rPr>
          <w:rFonts w:ascii="Arial" w:eastAsia="Times New Roman" w:hAnsi="Arial" w:cs="Arial"/>
          <w:kern w:val="0"/>
          <w:lang w:eastAsia="en-GB"/>
          <w14:ligatures w14:val="none"/>
        </w:rPr>
        <w:t xml:space="preserve"> intervention to be considered "successful</w:t>
      </w:r>
      <w:r w:rsidR="00A065F0" w:rsidRPr="00E848DE">
        <w:rPr>
          <w:rFonts w:ascii="Arial" w:eastAsia="Times New Roman" w:hAnsi="Arial" w:cs="Arial"/>
          <w:kern w:val="0"/>
          <w:lang w:eastAsia="en-GB"/>
          <w14:ligatures w14:val="none"/>
        </w:rPr>
        <w:t xml:space="preserve">” </w:t>
      </w:r>
      <w:r w:rsidR="00A065F0" w:rsidRPr="00E848DE">
        <w:rPr>
          <w:rFonts w:ascii="Arial" w:hAnsi="Arial" w:cs="Arial"/>
        </w:rPr>
        <w:t>(Pyle et al., 2019).</w:t>
      </w:r>
    </w:p>
    <w:p w14:paraId="22D75BC9" w14:textId="67200742" w:rsidR="00397E4B" w:rsidRPr="00E848DE" w:rsidRDefault="00397E4B" w:rsidP="00397E4B">
      <w:pPr>
        <w:rPr>
          <w:rFonts w:ascii="Arial" w:hAnsi="Arial" w:cs="Arial"/>
        </w:rPr>
      </w:pPr>
      <w:r w:rsidRPr="00E848DE">
        <w:rPr>
          <w:rFonts w:ascii="Arial" w:hAnsi="Arial" w:cs="Arial"/>
        </w:rPr>
        <w:t>Although RJ is argued to reduce reoffending among young people, others have found inconsistent results. Some programs may be more effective than others in addressing underlying factors that contribute to criminal behaviour</w:t>
      </w:r>
      <w:r w:rsidR="00CB74EA" w:rsidRPr="00E848DE">
        <w:rPr>
          <w:rFonts w:ascii="Arial" w:hAnsi="Arial" w:cs="Arial"/>
        </w:rPr>
        <w:t xml:space="preserve"> (Meléndez, 2020)</w:t>
      </w:r>
      <w:r w:rsidRPr="00E848DE">
        <w:rPr>
          <w:rFonts w:ascii="Arial" w:hAnsi="Arial" w:cs="Arial"/>
        </w:rPr>
        <w:t xml:space="preserve">. Also to note, offenders are a diverse population with varying levels of risk, needs and responsiveness to treatment. It is not a one size fits all and the effectiveness of rehabilitation may differ depending on </w:t>
      </w:r>
      <w:proofErr w:type="gramStart"/>
      <w:r w:rsidRPr="00E848DE">
        <w:rPr>
          <w:rFonts w:ascii="Arial" w:hAnsi="Arial" w:cs="Arial"/>
        </w:rPr>
        <w:t>each individual</w:t>
      </w:r>
      <w:proofErr w:type="gramEnd"/>
      <w:r w:rsidR="009C1AD8" w:rsidRPr="00E848DE">
        <w:rPr>
          <w:rFonts w:ascii="Arial" w:hAnsi="Arial" w:cs="Arial"/>
        </w:rPr>
        <w:t xml:space="preserve"> </w:t>
      </w:r>
      <w:r w:rsidR="00F419B0" w:rsidRPr="00E848DE">
        <w:rPr>
          <w:rFonts w:ascii="Arial" w:hAnsi="Arial" w:cs="Arial"/>
        </w:rPr>
        <w:t>(Willis, 2018)</w:t>
      </w:r>
      <w:r w:rsidR="00F419B0" w:rsidRPr="00E848DE">
        <w:rPr>
          <w:rFonts w:ascii="Arial" w:hAnsi="Arial" w:cs="Arial"/>
        </w:rPr>
        <w:t>.</w:t>
      </w:r>
    </w:p>
    <w:p w14:paraId="7512DC93" w14:textId="1960E326" w:rsidR="00397E4B" w:rsidRPr="00E848DE" w:rsidRDefault="00F419B0" w:rsidP="00397E4B">
      <w:pPr>
        <w:rPr>
          <w:rFonts w:ascii="Arial" w:hAnsi="Arial" w:cs="Arial"/>
        </w:rPr>
      </w:pPr>
      <w:r w:rsidRPr="00E848DE">
        <w:rPr>
          <w:rFonts w:ascii="Arial" w:hAnsi="Arial" w:cs="Arial"/>
        </w:rPr>
        <w:t>It has been argued that it is difficult to</w:t>
      </w:r>
      <w:r w:rsidR="00D43AEF" w:rsidRPr="00E848DE">
        <w:rPr>
          <w:rFonts w:ascii="Arial" w:hAnsi="Arial" w:cs="Arial"/>
        </w:rPr>
        <w:t xml:space="preserve"> measure reoffending rate</w:t>
      </w:r>
      <w:r w:rsidRPr="00E848DE">
        <w:rPr>
          <w:rFonts w:ascii="Arial" w:hAnsi="Arial" w:cs="Arial"/>
        </w:rPr>
        <w:t xml:space="preserve"> of young offenders once they have gone through the RJ process</w:t>
      </w:r>
      <w:r w:rsidR="00D43AEF" w:rsidRPr="00E848DE">
        <w:rPr>
          <w:rFonts w:ascii="Arial" w:hAnsi="Arial" w:cs="Arial"/>
        </w:rPr>
        <w:t xml:space="preserve">, as </w:t>
      </w:r>
      <w:r w:rsidRPr="00E848DE">
        <w:rPr>
          <w:rFonts w:ascii="Arial" w:hAnsi="Arial" w:cs="Arial"/>
        </w:rPr>
        <w:t>reoffending does not have a clear definition.</w:t>
      </w:r>
      <w:r w:rsidR="00D43AEF" w:rsidRPr="00E848DE">
        <w:rPr>
          <w:rFonts w:ascii="Arial" w:hAnsi="Arial" w:cs="Arial"/>
        </w:rPr>
        <w:t xml:space="preserve"> </w:t>
      </w:r>
      <w:r w:rsidRPr="00E848DE">
        <w:rPr>
          <w:rFonts w:ascii="Arial" w:hAnsi="Arial" w:cs="Arial"/>
        </w:rPr>
        <w:t>Reoffending would i</w:t>
      </w:r>
      <w:r w:rsidR="00D43AEF" w:rsidRPr="00E848DE">
        <w:rPr>
          <w:rFonts w:ascii="Arial" w:hAnsi="Arial" w:cs="Arial"/>
        </w:rPr>
        <w:t>nclude arrest, conviction, or imprisonment</w:t>
      </w:r>
      <w:r w:rsidRPr="00E848DE">
        <w:rPr>
          <w:rFonts w:ascii="Arial" w:hAnsi="Arial" w:cs="Arial"/>
        </w:rPr>
        <w:t>, however there may be undetected or unreported crimes committed by young offenders after engaging in RJ</w:t>
      </w:r>
      <w:r w:rsidR="00D43AEF" w:rsidRPr="00E848DE">
        <w:rPr>
          <w:rFonts w:ascii="Arial" w:hAnsi="Arial" w:cs="Arial"/>
        </w:rPr>
        <w:t>. While the effectiveness of rehabilitation in reducing offending may vary depending on multiple factors</w:t>
      </w:r>
      <w:r w:rsidR="00E848DE" w:rsidRPr="00E848DE">
        <w:rPr>
          <w:rFonts w:ascii="Arial" w:hAnsi="Arial" w:cs="Arial"/>
        </w:rPr>
        <w:t>. Vooren et al 2022) found</w:t>
      </w:r>
      <w:r w:rsidR="00E848DE" w:rsidRPr="00E848DE">
        <w:rPr>
          <w:rFonts w:ascii="Arial" w:hAnsi="Arial" w:cs="Arial"/>
        </w:rPr>
        <w:t xml:space="preserve"> that despite </w:t>
      </w:r>
      <w:r w:rsidR="00E848DE" w:rsidRPr="00E848DE">
        <w:rPr>
          <w:rFonts w:ascii="Arial" w:hAnsi="Arial" w:cs="Arial"/>
        </w:rPr>
        <w:t>RJ process is</w:t>
      </w:r>
      <w:r w:rsidR="00E848DE" w:rsidRPr="00E848DE">
        <w:rPr>
          <w:rFonts w:ascii="Arial" w:hAnsi="Arial" w:cs="Arial"/>
        </w:rPr>
        <w:t xml:space="preserve"> backed by criminological and sociological theory, </w:t>
      </w:r>
      <w:r w:rsidR="00E848DE" w:rsidRPr="00E848DE">
        <w:rPr>
          <w:rFonts w:ascii="Arial" w:hAnsi="Arial" w:cs="Arial"/>
        </w:rPr>
        <w:t>RJ</w:t>
      </w:r>
      <w:r w:rsidR="00E848DE" w:rsidRPr="00E848DE">
        <w:rPr>
          <w:rFonts w:ascii="Arial" w:hAnsi="Arial" w:cs="Arial"/>
        </w:rPr>
        <w:t xml:space="preserve"> </w:t>
      </w:r>
      <w:proofErr w:type="gramStart"/>
      <w:r w:rsidR="00E848DE" w:rsidRPr="00E848DE">
        <w:rPr>
          <w:rFonts w:ascii="Arial" w:hAnsi="Arial" w:cs="Arial"/>
        </w:rPr>
        <w:t>does not succeed</w:t>
      </w:r>
      <w:proofErr w:type="gramEnd"/>
      <w:r w:rsidR="00E848DE" w:rsidRPr="00E848DE">
        <w:rPr>
          <w:rFonts w:ascii="Arial" w:hAnsi="Arial" w:cs="Arial"/>
        </w:rPr>
        <w:t xml:space="preserve"> in reducing reoffending rates among young people.</w:t>
      </w:r>
    </w:p>
    <w:p w14:paraId="004513BD" w14:textId="4D507965" w:rsidR="00397E4B" w:rsidRPr="00F71F30" w:rsidRDefault="00397E4B" w:rsidP="00D43AEF">
      <w:pPr>
        <w:rPr>
          <w:rFonts w:ascii="Arial" w:hAnsi="Arial" w:cs="Arial"/>
        </w:rPr>
      </w:pPr>
      <w:r w:rsidRPr="00F71F30">
        <w:rPr>
          <w:rFonts w:ascii="Arial" w:hAnsi="Arial" w:cs="Arial"/>
        </w:rPr>
        <w:t xml:space="preserve">Although RJ </w:t>
      </w:r>
      <w:r w:rsidR="00E848DE" w:rsidRPr="00F71F30">
        <w:rPr>
          <w:rFonts w:ascii="Arial" w:hAnsi="Arial" w:cs="Arial"/>
        </w:rPr>
        <w:t>has been argued to</w:t>
      </w:r>
      <w:r w:rsidRPr="00F71F30">
        <w:rPr>
          <w:rFonts w:ascii="Arial" w:hAnsi="Arial" w:cs="Arial"/>
        </w:rPr>
        <w:t xml:space="preserve"> reduce reoffending, it is imperative that aftercare and support services are provided once a program is completed to ensure positive outcomes and prevent</w:t>
      </w:r>
      <w:r w:rsidR="00F71F30" w:rsidRPr="00F71F30">
        <w:rPr>
          <w:rFonts w:ascii="Arial" w:hAnsi="Arial" w:cs="Arial"/>
        </w:rPr>
        <w:t xml:space="preserve"> reoffending</w:t>
      </w:r>
      <w:r w:rsidRPr="00F71F30">
        <w:rPr>
          <w:rFonts w:ascii="Arial" w:hAnsi="Arial" w:cs="Arial"/>
        </w:rPr>
        <w:t>. Agencies such as education, social services and counselling can help individuals successfully deter from criminal behaviour</w:t>
      </w:r>
      <w:r w:rsidR="00F71F30" w:rsidRPr="00F71F30">
        <w:rPr>
          <w:rFonts w:ascii="Arial" w:hAnsi="Arial" w:cs="Arial"/>
        </w:rPr>
        <w:t xml:space="preserve"> (</w:t>
      </w:r>
      <w:r w:rsidR="00F71F30" w:rsidRPr="00F71F30">
        <w:rPr>
          <w:rFonts w:ascii="Arial" w:hAnsi="Arial" w:cs="Arial"/>
          <w:color w:val="000000" w:themeColor="text1"/>
          <w:shd w:val="clear" w:color="auto" w:fill="FFFFFF"/>
        </w:rPr>
        <w:t>Haers</w:t>
      </w:r>
      <w:r w:rsidR="00F71F30" w:rsidRPr="00F71F30">
        <w:rPr>
          <w:rFonts w:ascii="Arial" w:hAnsi="Arial" w:cs="Arial"/>
          <w:color w:val="000000" w:themeColor="text1"/>
          <w:shd w:val="clear" w:color="auto" w:fill="FFFFFF"/>
        </w:rPr>
        <w:t xml:space="preserve"> </w:t>
      </w:r>
      <w:r w:rsidR="00F71F30" w:rsidRPr="00F71F30">
        <w:rPr>
          <w:rFonts w:ascii="Arial" w:hAnsi="Arial" w:cs="Arial"/>
          <w:color w:val="000000" w:themeColor="text1"/>
          <w:shd w:val="clear" w:color="auto" w:fill="FFFFFF"/>
        </w:rPr>
        <w:t>and Verfaillie</w:t>
      </w:r>
      <w:r w:rsidR="00F71F30" w:rsidRPr="00F71F30">
        <w:rPr>
          <w:rFonts w:ascii="Arial" w:hAnsi="Arial" w:cs="Arial"/>
          <w:color w:val="000000" w:themeColor="text1"/>
          <w:shd w:val="clear" w:color="auto" w:fill="FFFFFF"/>
        </w:rPr>
        <w:t xml:space="preserve">, </w:t>
      </w:r>
      <w:r w:rsidR="00F71F30" w:rsidRPr="00F71F30">
        <w:rPr>
          <w:rFonts w:ascii="Arial" w:hAnsi="Arial" w:cs="Arial"/>
          <w:color w:val="000000" w:themeColor="text1"/>
          <w:shd w:val="clear" w:color="auto" w:fill="FFFFFF"/>
        </w:rPr>
        <w:t>2022)</w:t>
      </w:r>
      <w:r w:rsidRPr="00F71F30">
        <w:rPr>
          <w:rFonts w:ascii="Arial" w:hAnsi="Arial" w:cs="Arial"/>
        </w:rPr>
        <w:t xml:space="preserve">. </w:t>
      </w:r>
    </w:p>
    <w:p w14:paraId="1660F947" w14:textId="5CB3FB7E" w:rsidR="00D43AEF" w:rsidRDefault="00D43AEF" w:rsidP="00D43AEF">
      <w:pPr>
        <w:rPr>
          <w:rFonts w:ascii="Arial" w:hAnsi="Arial" w:cs="Arial"/>
        </w:rPr>
      </w:pPr>
      <w:r w:rsidRPr="00F71F30">
        <w:rPr>
          <w:rFonts w:ascii="Arial" w:hAnsi="Arial" w:cs="Arial"/>
        </w:rPr>
        <w:t>In conclusion restorative justice can be effective in reducing reoffending in young people, it is essential to acknowledge that no intervention is universally successful and there will be different outcomes for different individuals. The effectiveness of RJ may be influenced by external factors such as community support, access to resources and systemic barriers. There needs to be improvement to RJ services to maximise their impact and effectiveness on reducing reoffending in young offenders</w:t>
      </w:r>
      <w:r w:rsidR="00F71F30" w:rsidRPr="00F71F30">
        <w:rPr>
          <w:rFonts w:ascii="Arial" w:hAnsi="Arial" w:cs="Arial"/>
        </w:rPr>
        <w:t xml:space="preserve"> by recognising that a whole system approach may assist young offenders to desist from crime permanently.</w:t>
      </w:r>
    </w:p>
    <w:p w14:paraId="7607A188" w14:textId="77777777" w:rsidR="00824A05" w:rsidRDefault="00824A05" w:rsidP="00824A05">
      <w:pPr>
        <w:spacing w:after="0" w:line="240" w:lineRule="auto"/>
        <w:rPr>
          <w:rFonts w:ascii="Times New Roman" w:eastAsia="Times New Roman" w:hAnsi="Times New Roman" w:cs="Times New Roman"/>
          <w:kern w:val="0"/>
          <w:sz w:val="24"/>
          <w:szCs w:val="24"/>
          <w:lang w:eastAsia="en-GB"/>
          <w14:ligatures w14:val="none"/>
        </w:rPr>
      </w:pPr>
    </w:p>
    <w:p w14:paraId="4AF018E2" w14:textId="77777777" w:rsidR="00F419B0" w:rsidRPr="00824A05" w:rsidRDefault="00F419B0" w:rsidP="00824A05">
      <w:pPr>
        <w:spacing w:after="0" w:line="240" w:lineRule="auto"/>
        <w:rPr>
          <w:rFonts w:ascii="Times New Roman" w:eastAsia="Times New Roman" w:hAnsi="Times New Roman" w:cs="Times New Roman"/>
          <w:kern w:val="0"/>
          <w:sz w:val="24"/>
          <w:szCs w:val="24"/>
          <w:lang w:eastAsia="en-GB"/>
          <w14:ligatures w14:val="none"/>
        </w:rPr>
      </w:pPr>
    </w:p>
    <w:p w14:paraId="723A608B" w14:textId="3E796184" w:rsidR="0090217F" w:rsidRDefault="00397E4B" w:rsidP="00E1255A">
      <w:pPr>
        <w:rPr>
          <w:rFonts w:ascii="Arial" w:hAnsi="Arial" w:cs="Arial"/>
        </w:rPr>
      </w:pPr>
      <w:r>
        <w:rPr>
          <w:rFonts w:ascii="Arial" w:hAnsi="Arial" w:cs="Arial"/>
        </w:rPr>
        <w:t>9</w:t>
      </w:r>
      <w:r w:rsidR="00F71F30">
        <w:rPr>
          <w:rFonts w:ascii="Arial" w:hAnsi="Arial" w:cs="Arial"/>
        </w:rPr>
        <w:t>84</w:t>
      </w:r>
    </w:p>
    <w:p w14:paraId="074CDE57" w14:textId="77777777" w:rsidR="001F3581" w:rsidRPr="001F3581" w:rsidRDefault="001F3581" w:rsidP="00265A70">
      <w:pPr>
        <w:shd w:val="clear" w:color="auto" w:fill="FFFFFF"/>
        <w:spacing w:after="0" w:line="240" w:lineRule="auto"/>
        <w:rPr>
          <w:rFonts w:ascii="Arial" w:eastAsia="Times New Roman" w:hAnsi="Arial" w:cs="Arial"/>
          <w:color w:val="000000"/>
          <w:kern w:val="0"/>
          <w:lang w:eastAsia="en-GB"/>
          <w14:ligatures w14:val="none"/>
        </w:rPr>
      </w:pPr>
    </w:p>
    <w:p w14:paraId="2AFA6854" w14:textId="77777777" w:rsidR="001F3581" w:rsidRPr="001F3581" w:rsidRDefault="001F3581" w:rsidP="00265A70">
      <w:pPr>
        <w:shd w:val="clear" w:color="auto" w:fill="FFFFFF"/>
        <w:spacing w:after="0" w:line="240" w:lineRule="auto"/>
        <w:rPr>
          <w:rFonts w:ascii="Arial" w:eastAsia="Times New Roman" w:hAnsi="Arial" w:cs="Arial"/>
          <w:color w:val="000000"/>
          <w:kern w:val="0"/>
          <w:lang w:eastAsia="en-GB"/>
          <w14:ligatures w14:val="none"/>
        </w:rPr>
      </w:pPr>
    </w:p>
    <w:p w14:paraId="6381253F" w14:textId="77777777" w:rsidR="001F3581" w:rsidRDefault="001F3581" w:rsidP="00265A70">
      <w:pPr>
        <w:shd w:val="clear" w:color="auto" w:fill="FFFFFF"/>
        <w:spacing w:after="0" w:line="240" w:lineRule="auto"/>
        <w:rPr>
          <w:rFonts w:ascii="Arial" w:eastAsia="Times New Roman" w:hAnsi="Arial" w:cs="Arial"/>
          <w:color w:val="000000"/>
          <w:kern w:val="0"/>
          <w:lang w:eastAsia="en-GB"/>
          <w14:ligatures w14:val="none"/>
        </w:rPr>
      </w:pPr>
    </w:p>
    <w:p w14:paraId="711C91FC" w14:textId="77777777" w:rsidR="00F71F30" w:rsidRDefault="00F71F30" w:rsidP="00265A70">
      <w:pPr>
        <w:shd w:val="clear" w:color="auto" w:fill="FFFFFF"/>
        <w:spacing w:after="0" w:line="240" w:lineRule="auto"/>
        <w:rPr>
          <w:rFonts w:ascii="Arial" w:eastAsia="Times New Roman" w:hAnsi="Arial" w:cs="Arial"/>
          <w:color w:val="000000"/>
          <w:kern w:val="0"/>
          <w:lang w:eastAsia="en-GB"/>
          <w14:ligatures w14:val="none"/>
        </w:rPr>
      </w:pPr>
    </w:p>
    <w:p w14:paraId="1BB3BFBD" w14:textId="77777777" w:rsidR="00F71F30" w:rsidRDefault="00F71F30" w:rsidP="00265A70">
      <w:pPr>
        <w:shd w:val="clear" w:color="auto" w:fill="FFFFFF"/>
        <w:spacing w:after="0" w:line="240" w:lineRule="auto"/>
        <w:rPr>
          <w:rFonts w:ascii="Arial" w:eastAsia="Times New Roman" w:hAnsi="Arial" w:cs="Arial"/>
          <w:color w:val="000000"/>
          <w:kern w:val="0"/>
          <w:lang w:eastAsia="en-GB"/>
          <w14:ligatures w14:val="none"/>
        </w:rPr>
      </w:pPr>
    </w:p>
    <w:p w14:paraId="092E8548" w14:textId="77777777" w:rsidR="00F71F30" w:rsidRDefault="00F71F30" w:rsidP="00265A70">
      <w:pPr>
        <w:shd w:val="clear" w:color="auto" w:fill="FFFFFF"/>
        <w:spacing w:after="0" w:line="240" w:lineRule="auto"/>
        <w:rPr>
          <w:rFonts w:ascii="Arial" w:eastAsia="Times New Roman" w:hAnsi="Arial" w:cs="Arial"/>
          <w:color w:val="000000"/>
          <w:kern w:val="0"/>
          <w:lang w:eastAsia="en-GB"/>
          <w14:ligatures w14:val="none"/>
        </w:rPr>
      </w:pPr>
    </w:p>
    <w:p w14:paraId="381B2CB7" w14:textId="77777777" w:rsidR="00F71F30" w:rsidRPr="00265A70" w:rsidRDefault="00F71F30" w:rsidP="00265A70">
      <w:pPr>
        <w:shd w:val="clear" w:color="auto" w:fill="FFFFFF"/>
        <w:spacing w:after="0" w:line="240" w:lineRule="auto"/>
        <w:rPr>
          <w:rFonts w:ascii="Arial" w:eastAsia="Times New Roman" w:hAnsi="Arial" w:cs="Arial"/>
          <w:color w:val="000000"/>
          <w:kern w:val="0"/>
          <w:lang w:eastAsia="en-GB"/>
          <w14:ligatures w14:val="none"/>
        </w:rPr>
      </w:pPr>
    </w:p>
    <w:p w14:paraId="6C74188F" w14:textId="77777777" w:rsidR="006A0ED9" w:rsidRDefault="006A0ED9" w:rsidP="00265A70">
      <w:pPr>
        <w:shd w:val="clear" w:color="auto" w:fill="FFFFFF"/>
        <w:spacing w:after="0" w:line="240" w:lineRule="auto"/>
        <w:rPr>
          <w:rFonts w:ascii="Arial" w:hAnsi="Arial" w:cs="Arial"/>
          <w:color w:val="000000"/>
          <w:shd w:val="clear" w:color="auto" w:fill="FFFFFF"/>
        </w:rPr>
      </w:pPr>
    </w:p>
    <w:p w14:paraId="554394E2" w14:textId="77777777" w:rsidR="006A0ED9" w:rsidRDefault="006A0ED9" w:rsidP="00265A70">
      <w:pPr>
        <w:shd w:val="clear" w:color="auto" w:fill="FFFFFF"/>
        <w:spacing w:after="0" w:line="240" w:lineRule="auto"/>
        <w:rPr>
          <w:rFonts w:ascii="Arial" w:hAnsi="Arial" w:cs="Arial"/>
          <w:color w:val="000000"/>
          <w:shd w:val="clear" w:color="auto" w:fill="FFFFFF"/>
        </w:rPr>
      </w:pPr>
    </w:p>
    <w:p w14:paraId="3C7DA2E1" w14:textId="0A306451" w:rsidR="00F71F30" w:rsidRDefault="00F71F30" w:rsidP="00A77C15">
      <w:pPr>
        <w:pStyle w:val="NormalWeb"/>
        <w:ind w:left="567" w:hanging="567"/>
        <w:rPr>
          <w:rFonts w:ascii="Arial" w:hAnsi="Arial" w:cs="Arial"/>
          <w:sz w:val="22"/>
          <w:szCs w:val="22"/>
        </w:rPr>
      </w:pPr>
      <w:r>
        <w:rPr>
          <w:rFonts w:ascii="Arial" w:hAnsi="Arial" w:cs="Arial"/>
          <w:sz w:val="22"/>
          <w:szCs w:val="22"/>
        </w:rPr>
        <w:lastRenderedPageBreak/>
        <w:t>References</w:t>
      </w:r>
    </w:p>
    <w:p w14:paraId="7AE88ABD" w14:textId="608A80D7" w:rsidR="00F71F30" w:rsidRPr="009C2951" w:rsidRDefault="00F71F30" w:rsidP="00A77C15">
      <w:pPr>
        <w:pStyle w:val="NormalWeb"/>
        <w:ind w:left="567" w:hanging="567"/>
        <w:rPr>
          <w:rFonts w:ascii="Arial" w:hAnsi="Arial" w:cs="Arial"/>
          <w:sz w:val="22"/>
          <w:szCs w:val="22"/>
        </w:rPr>
      </w:pPr>
      <w:r w:rsidRPr="009C2951">
        <w:rPr>
          <w:rFonts w:ascii="Arial" w:hAnsi="Arial" w:cs="Arial"/>
          <w:sz w:val="22"/>
          <w:szCs w:val="22"/>
        </w:rPr>
        <w:t xml:space="preserve">Baker-Eck, B. and Bull, R. (2022) ‘Effects of empathy and question types on suspects’ provision of information in investigative interviews’, </w:t>
      </w:r>
      <w:r w:rsidRPr="009C2951">
        <w:rPr>
          <w:rFonts w:ascii="Arial" w:hAnsi="Arial" w:cs="Arial"/>
          <w:i/>
          <w:iCs/>
          <w:sz w:val="22"/>
          <w:szCs w:val="22"/>
        </w:rPr>
        <w:t>International Journal of Police Science &amp;amp; Management</w:t>
      </w:r>
      <w:r w:rsidRPr="009C2951">
        <w:rPr>
          <w:rFonts w:ascii="Arial" w:hAnsi="Arial" w:cs="Arial"/>
          <w:sz w:val="22"/>
          <w:szCs w:val="22"/>
        </w:rPr>
        <w:t xml:space="preserve">, 24(4), pp. 406–416. doi:10.1177/14613557221106073. </w:t>
      </w:r>
    </w:p>
    <w:p w14:paraId="461F7A7B" w14:textId="77777777" w:rsidR="00F71F30" w:rsidRDefault="00F71F30" w:rsidP="009B26FA">
      <w:pPr>
        <w:pStyle w:val="NormalWeb"/>
        <w:ind w:left="567" w:hanging="567"/>
      </w:pPr>
      <w:r>
        <w:t xml:space="preserve">Balan, S., Stanciu, C. and </w:t>
      </w:r>
      <w:proofErr w:type="spellStart"/>
      <w:r>
        <w:t>Cotoara</w:t>
      </w:r>
      <w:proofErr w:type="spellEnd"/>
      <w:r>
        <w:t xml:space="preserve">, A. (2022) ‘Restorative justice and young offenders’, </w:t>
      </w:r>
      <w:r>
        <w:rPr>
          <w:i/>
          <w:iCs/>
        </w:rPr>
        <w:t>Romanian Journal of Legal Medicine</w:t>
      </w:r>
      <w:r>
        <w:t xml:space="preserve">, 30(4), pp. 302–309. doi:10.4323/rjlm.2022.302. </w:t>
      </w:r>
    </w:p>
    <w:p w14:paraId="40AAAA68" w14:textId="77777777" w:rsidR="00F71F30" w:rsidRDefault="00F71F30" w:rsidP="009B26FA">
      <w:pPr>
        <w:pStyle w:val="NormalWeb"/>
        <w:ind w:left="567" w:hanging="567"/>
      </w:pPr>
      <w:r>
        <w:t xml:space="preserve">Banwell-Moore, R. (2022) ‘The delivery of restorative justice in youth offending teams in England and Wales: Examining disparities and highlighting best practice’, </w:t>
      </w:r>
      <w:r>
        <w:rPr>
          <w:i/>
          <w:iCs/>
        </w:rPr>
        <w:t>Laws</w:t>
      </w:r>
      <w:r>
        <w:t xml:space="preserve">, 11(4), p. 60. doi:10.3390/laws11040060. </w:t>
      </w:r>
    </w:p>
    <w:p w14:paraId="6E583CEF" w14:textId="77777777" w:rsidR="00F71F30" w:rsidRDefault="00F71F30" w:rsidP="009B26FA">
      <w:pPr>
        <w:pStyle w:val="NormalWeb"/>
        <w:ind w:left="567" w:hanging="567"/>
      </w:pPr>
      <w:r>
        <w:t xml:space="preserve">Bell, B., Costa, R. and Machin, S. (2022) ‘Why does education reduce crime?’, </w:t>
      </w:r>
      <w:r>
        <w:rPr>
          <w:i/>
          <w:iCs/>
        </w:rPr>
        <w:t>Journal of Political Economy</w:t>
      </w:r>
      <w:r>
        <w:t xml:space="preserve">, 130(3), pp. 732–765. doi:10.1086/717895. </w:t>
      </w:r>
    </w:p>
    <w:p w14:paraId="4A267EE8" w14:textId="77777777" w:rsidR="00F71F30" w:rsidRPr="009C2951" w:rsidRDefault="00F71F30" w:rsidP="00AC52B5">
      <w:pPr>
        <w:pStyle w:val="NormalWeb"/>
        <w:ind w:left="567" w:hanging="567"/>
        <w:rPr>
          <w:rFonts w:ascii="Arial" w:hAnsi="Arial" w:cs="Arial"/>
          <w:sz w:val="22"/>
          <w:szCs w:val="22"/>
        </w:rPr>
      </w:pPr>
      <w:r w:rsidRPr="009C2951">
        <w:rPr>
          <w:rFonts w:ascii="Arial" w:hAnsi="Arial" w:cs="Arial"/>
          <w:sz w:val="22"/>
          <w:szCs w:val="22"/>
        </w:rPr>
        <w:t xml:space="preserve">Bhatt, N. and Gentile, J. (2021) ‘Interviewing techniques for patients with intellectual disability’, </w:t>
      </w:r>
      <w:r w:rsidRPr="009C2951">
        <w:rPr>
          <w:rFonts w:ascii="Arial" w:hAnsi="Arial" w:cs="Arial"/>
          <w:i/>
          <w:iCs/>
          <w:sz w:val="22"/>
          <w:szCs w:val="22"/>
        </w:rPr>
        <w:t>Journal of Mental Health Disorders</w:t>
      </w:r>
      <w:r w:rsidRPr="009C2951">
        <w:rPr>
          <w:rFonts w:ascii="Arial" w:hAnsi="Arial" w:cs="Arial"/>
          <w:sz w:val="22"/>
          <w:szCs w:val="22"/>
        </w:rPr>
        <w:t xml:space="preserve">, 1(1). doi:10.33696/mentalhealth.1.002. </w:t>
      </w:r>
    </w:p>
    <w:p w14:paraId="41DF5B47" w14:textId="77777777" w:rsidR="00F71F30" w:rsidRPr="009C2951" w:rsidRDefault="00F71F30" w:rsidP="00B916CC">
      <w:pPr>
        <w:pStyle w:val="NormalWeb"/>
        <w:ind w:left="567" w:hanging="567"/>
        <w:rPr>
          <w:rFonts w:ascii="Arial" w:hAnsi="Arial" w:cs="Arial"/>
          <w:sz w:val="22"/>
          <w:szCs w:val="22"/>
        </w:rPr>
      </w:pPr>
      <w:r w:rsidRPr="009C2951">
        <w:rPr>
          <w:rFonts w:ascii="Arial" w:hAnsi="Arial" w:cs="Arial"/>
          <w:sz w:val="22"/>
          <w:szCs w:val="22"/>
        </w:rPr>
        <w:t xml:space="preserve">Brunson, R.K. and Wade, B.A. (2019) ‘“oh hell no, we don’t talk to police”’, </w:t>
      </w:r>
      <w:r w:rsidRPr="009C2951">
        <w:rPr>
          <w:rFonts w:ascii="Arial" w:hAnsi="Arial" w:cs="Arial"/>
          <w:i/>
          <w:iCs/>
          <w:sz w:val="22"/>
          <w:szCs w:val="22"/>
        </w:rPr>
        <w:t>Criminology &amp;amp; Public Policy</w:t>
      </w:r>
      <w:r w:rsidRPr="009C2951">
        <w:rPr>
          <w:rFonts w:ascii="Arial" w:hAnsi="Arial" w:cs="Arial"/>
          <w:sz w:val="22"/>
          <w:szCs w:val="22"/>
        </w:rPr>
        <w:t xml:space="preserve">, 18(3), pp. 623–648. doi:10.1111/1745-9133.12448. </w:t>
      </w:r>
    </w:p>
    <w:p w14:paraId="30BD9A32" w14:textId="77777777" w:rsidR="00F71F30" w:rsidRPr="009C2951" w:rsidRDefault="00F71F30" w:rsidP="00AC52B5">
      <w:pPr>
        <w:pStyle w:val="NormalWeb"/>
        <w:ind w:left="567" w:hanging="567"/>
        <w:rPr>
          <w:rFonts w:ascii="Arial" w:hAnsi="Arial" w:cs="Arial"/>
          <w:sz w:val="22"/>
          <w:szCs w:val="22"/>
        </w:rPr>
      </w:pPr>
      <w:r w:rsidRPr="009C2951">
        <w:rPr>
          <w:rFonts w:ascii="Arial" w:hAnsi="Arial" w:cs="Arial"/>
          <w:i/>
          <w:iCs/>
          <w:sz w:val="22"/>
          <w:szCs w:val="22"/>
        </w:rPr>
        <w:t>College of Policing (2013)</w:t>
      </w:r>
      <w:r w:rsidRPr="009C2951">
        <w:rPr>
          <w:rFonts w:ascii="Arial" w:hAnsi="Arial" w:cs="Arial"/>
          <w:sz w:val="22"/>
          <w:szCs w:val="22"/>
        </w:rPr>
        <w:t xml:space="preserve">. ‘Engagement’. Available at: https://www.college.police.uk/app/engagement-and-communication/engagement#:~:text=an%20increase%20in%20public%20perceptions,see%20engagement%20and%20police%20legitimacy) (Accessed: 27 February 2024). </w:t>
      </w:r>
    </w:p>
    <w:p w14:paraId="74D13D1D" w14:textId="77777777" w:rsidR="00F71F30" w:rsidRPr="009C2951" w:rsidRDefault="00F71F30" w:rsidP="00AC52B5">
      <w:pPr>
        <w:pStyle w:val="NormalWeb"/>
        <w:ind w:left="567" w:hanging="567"/>
        <w:rPr>
          <w:rFonts w:ascii="Arial" w:hAnsi="Arial" w:cs="Arial"/>
          <w:sz w:val="22"/>
          <w:szCs w:val="22"/>
        </w:rPr>
      </w:pPr>
      <w:r w:rsidRPr="009C2951">
        <w:rPr>
          <w:rFonts w:ascii="Arial" w:hAnsi="Arial" w:cs="Arial"/>
          <w:i/>
          <w:iCs/>
          <w:sz w:val="22"/>
          <w:szCs w:val="22"/>
        </w:rPr>
        <w:t>College of Policing ‘Media relations’</w:t>
      </w:r>
      <w:r w:rsidRPr="009C2951">
        <w:rPr>
          <w:rFonts w:ascii="Arial" w:hAnsi="Arial" w:cs="Arial"/>
          <w:sz w:val="22"/>
          <w:szCs w:val="22"/>
        </w:rPr>
        <w:t xml:space="preserve"> (2022). Available at: https://www.college.police.uk/app/engagement-and-communication/media-relations (Accessed: 01 March 2024). </w:t>
      </w:r>
    </w:p>
    <w:p w14:paraId="1A227048" w14:textId="77777777" w:rsidR="00F71F30" w:rsidRDefault="00F71F30" w:rsidP="003500AC">
      <w:pPr>
        <w:pStyle w:val="NormalWeb"/>
        <w:ind w:left="567" w:hanging="567"/>
      </w:pPr>
      <w:r>
        <w:t xml:space="preserve">Dekker, R., van den Brink, P. and Meijer, A. (2020) ‘Social media adoption in the police: Barriers and strategies’, </w:t>
      </w:r>
      <w:r>
        <w:rPr>
          <w:i/>
          <w:iCs/>
        </w:rPr>
        <w:t>Government Information Quarterly</w:t>
      </w:r>
      <w:r>
        <w:t xml:space="preserve">, 37(2), p. 101441. </w:t>
      </w:r>
      <w:proofErr w:type="gramStart"/>
      <w:r>
        <w:t>doi:10.1016/j.giq</w:t>
      </w:r>
      <w:proofErr w:type="gramEnd"/>
      <w:r>
        <w:t xml:space="preserve">.2019.101441. </w:t>
      </w:r>
    </w:p>
    <w:p w14:paraId="363A3F9E" w14:textId="77777777" w:rsidR="00F71F30" w:rsidRPr="009C2951" w:rsidRDefault="00F71F30" w:rsidP="00E40AB2">
      <w:pPr>
        <w:pStyle w:val="NormalWeb"/>
        <w:ind w:left="567" w:hanging="567"/>
        <w:rPr>
          <w:rFonts w:ascii="Arial" w:hAnsi="Arial" w:cs="Arial"/>
          <w:sz w:val="22"/>
          <w:szCs w:val="22"/>
        </w:rPr>
      </w:pPr>
      <w:r w:rsidRPr="009C2951">
        <w:rPr>
          <w:rFonts w:ascii="Arial" w:hAnsi="Arial" w:cs="Arial"/>
          <w:sz w:val="22"/>
          <w:szCs w:val="22"/>
        </w:rPr>
        <w:t xml:space="preserve">Eisenberg, P. (2019) ‘The cognitive interview and enhanced cognitive interview in financial forensics and investigations’, </w:t>
      </w:r>
      <w:r w:rsidRPr="009C2951">
        <w:rPr>
          <w:rFonts w:ascii="Arial" w:hAnsi="Arial" w:cs="Arial"/>
          <w:i/>
          <w:iCs/>
          <w:sz w:val="22"/>
          <w:szCs w:val="22"/>
        </w:rPr>
        <w:t>SSRN Electronic Journal</w:t>
      </w:r>
      <w:r w:rsidRPr="009C2951">
        <w:rPr>
          <w:rFonts w:ascii="Arial" w:hAnsi="Arial" w:cs="Arial"/>
          <w:sz w:val="22"/>
          <w:szCs w:val="22"/>
        </w:rPr>
        <w:t xml:space="preserve"> [Preprint]. doi:10.2139/ssrn.3324292. </w:t>
      </w:r>
    </w:p>
    <w:p w14:paraId="73A7527B" w14:textId="77777777" w:rsidR="00F71F30" w:rsidRPr="009C2951" w:rsidRDefault="00F71F30" w:rsidP="00E40AB2">
      <w:pPr>
        <w:pStyle w:val="NormalWeb"/>
        <w:ind w:left="567" w:hanging="567"/>
        <w:rPr>
          <w:rFonts w:ascii="Arial" w:hAnsi="Arial" w:cs="Arial"/>
          <w:sz w:val="22"/>
          <w:szCs w:val="22"/>
        </w:rPr>
      </w:pPr>
      <w:r w:rsidRPr="009C2951">
        <w:rPr>
          <w:rFonts w:ascii="Arial" w:hAnsi="Arial" w:cs="Arial"/>
          <w:sz w:val="22"/>
          <w:szCs w:val="22"/>
        </w:rPr>
        <w:t xml:space="preserve">Finn, W., </w:t>
      </w:r>
      <w:proofErr w:type="spellStart"/>
      <w:r w:rsidRPr="009C2951">
        <w:rPr>
          <w:rFonts w:ascii="Arial" w:hAnsi="Arial" w:cs="Arial"/>
          <w:sz w:val="22"/>
          <w:szCs w:val="22"/>
        </w:rPr>
        <w:t>Mcneill</w:t>
      </w:r>
      <w:proofErr w:type="spellEnd"/>
      <w:r w:rsidRPr="009C2951">
        <w:rPr>
          <w:rFonts w:ascii="Arial" w:hAnsi="Arial" w:cs="Arial"/>
          <w:sz w:val="22"/>
          <w:szCs w:val="22"/>
        </w:rPr>
        <w:t xml:space="preserve">, A. and Mclean, F. (2019) </w:t>
      </w:r>
      <w:r w:rsidRPr="009C2951">
        <w:rPr>
          <w:rFonts w:ascii="Arial" w:hAnsi="Arial" w:cs="Arial"/>
          <w:i/>
          <w:iCs/>
          <w:sz w:val="22"/>
          <w:szCs w:val="22"/>
        </w:rPr>
        <w:t>Obtaining initial accounts from victims and witnesses</w:t>
      </w:r>
      <w:r w:rsidRPr="009C2951">
        <w:rPr>
          <w:rFonts w:ascii="Arial" w:hAnsi="Arial" w:cs="Arial"/>
          <w:sz w:val="22"/>
          <w:szCs w:val="22"/>
        </w:rPr>
        <w:t xml:space="preserve">, </w:t>
      </w:r>
      <w:r w:rsidRPr="009C2951">
        <w:rPr>
          <w:rFonts w:ascii="Arial" w:hAnsi="Arial" w:cs="Arial"/>
          <w:i/>
          <w:iCs/>
          <w:sz w:val="22"/>
          <w:szCs w:val="22"/>
        </w:rPr>
        <w:t xml:space="preserve">College of </w:t>
      </w:r>
      <w:proofErr w:type="gramStart"/>
      <w:r w:rsidRPr="009C2951">
        <w:rPr>
          <w:rFonts w:ascii="Arial" w:hAnsi="Arial" w:cs="Arial"/>
          <w:i/>
          <w:iCs/>
          <w:sz w:val="22"/>
          <w:szCs w:val="22"/>
        </w:rPr>
        <w:t xml:space="preserve">Policing </w:t>
      </w:r>
      <w:r w:rsidRPr="009C2951">
        <w:rPr>
          <w:rFonts w:ascii="Arial" w:hAnsi="Arial" w:cs="Arial"/>
          <w:sz w:val="22"/>
          <w:szCs w:val="22"/>
        </w:rPr>
        <w:t>.</w:t>
      </w:r>
      <w:proofErr w:type="gramEnd"/>
      <w:r w:rsidRPr="009C2951">
        <w:rPr>
          <w:rFonts w:ascii="Arial" w:hAnsi="Arial" w:cs="Arial"/>
          <w:sz w:val="22"/>
          <w:szCs w:val="22"/>
        </w:rPr>
        <w:t xml:space="preserve"> Available at: https://assets.college.police.uk/s3fs-public/2020-11/Initial_Accounts_REA.pdf (Accessed: 03 April 2024). </w:t>
      </w:r>
    </w:p>
    <w:p w14:paraId="751440D3" w14:textId="77777777" w:rsidR="00F71F30" w:rsidRPr="009C2951" w:rsidRDefault="00F71F30" w:rsidP="00AC52B5">
      <w:pPr>
        <w:pStyle w:val="NormalWeb"/>
        <w:ind w:left="567" w:hanging="567"/>
        <w:rPr>
          <w:rFonts w:ascii="Arial" w:hAnsi="Arial" w:cs="Arial"/>
          <w:sz w:val="22"/>
          <w:szCs w:val="22"/>
        </w:rPr>
      </w:pPr>
      <w:r w:rsidRPr="009C2951">
        <w:rPr>
          <w:rFonts w:ascii="Arial" w:hAnsi="Arial" w:cs="Arial"/>
          <w:sz w:val="22"/>
          <w:szCs w:val="22"/>
        </w:rPr>
        <w:t xml:space="preserve">Greaves, I. and Hunt, P. (2017) ‘Dealing with the media’, </w:t>
      </w:r>
      <w:r w:rsidRPr="009C2951">
        <w:rPr>
          <w:rFonts w:ascii="Arial" w:hAnsi="Arial" w:cs="Arial"/>
          <w:i/>
          <w:iCs/>
          <w:sz w:val="22"/>
          <w:szCs w:val="22"/>
        </w:rPr>
        <w:t>Oxford Medicine Online</w:t>
      </w:r>
      <w:r w:rsidRPr="009C2951">
        <w:rPr>
          <w:rFonts w:ascii="Arial" w:hAnsi="Arial" w:cs="Arial"/>
          <w:sz w:val="22"/>
          <w:szCs w:val="22"/>
        </w:rPr>
        <w:t xml:space="preserve"> [Preprint]. doi:10.1093/med/9780199238088.003.0015. </w:t>
      </w:r>
    </w:p>
    <w:p w14:paraId="2507E081" w14:textId="77777777" w:rsidR="00F71F30" w:rsidRPr="00F71F30" w:rsidRDefault="00F71F30" w:rsidP="005870FF">
      <w:pPr>
        <w:pStyle w:val="NormalWeb"/>
        <w:ind w:left="567" w:hanging="567"/>
        <w:rPr>
          <w:rFonts w:ascii="Arial" w:hAnsi="Arial" w:cs="Arial"/>
          <w:color w:val="000000" w:themeColor="text1"/>
          <w:sz w:val="22"/>
          <w:szCs w:val="22"/>
        </w:rPr>
      </w:pPr>
      <w:r w:rsidRPr="00F71F30">
        <w:rPr>
          <w:rFonts w:ascii="Arial" w:hAnsi="Arial" w:cs="Arial"/>
          <w:color w:val="000000" w:themeColor="text1"/>
          <w:shd w:val="clear" w:color="auto" w:fill="FFFFFF"/>
        </w:rPr>
        <w:t>Haers, R </w:t>
      </w:r>
      <w:r>
        <w:rPr>
          <w:rFonts w:ascii="Arial" w:hAnsi="Arial" w:cs="Arial"/>
          <w:color w:val="000000" w:themeColor="text1"/>
          <w:shd w:val="clear" w:color="auto" w:fill="FFFFFF"/>
        </w:rPr>
        <w:t>and</w:t>
      </w:r>
      <w:r w:rsidRPr="00F71F30">
        <w:rPr>
          <w:rFonts w:ascii="Arial" w:hAnsi="Arial" w:cs="Arial"/>
          <w:color w:val="000000" w:themeColor="text1"/>
          <w:shd w:val="clear" w:color="auto" w:fill="FFFFFF"/>
        </w:rPr>
        <w:t xml:space="preserve"> Verfaillie, K </w:t>
      </w:r>
      <w:r>
        <w:rPr>
          <w:rFonts w:ascii="Arial" w:hAnsi="Arial" w:cs="Arial"/>
          <w:color w:val="000000" w:themeColor="text1"/>
          <w:shd w:val="clear" w:color="auto" w:fill="FFFFFF"/>
        </w:rPr>
        <w:t>(</w:t>
      </w:r>
      <w:r w:rsidRPr="00F71F30">
        <w:rPr>
          <w:rFonts w:ascii="Arial" w:hAnsi="Arial" w:cs="Arial"/>
          <w:color w:val="000000" w:themeColor="text1"/>
          <w:shd w:val="clear" w:color="auto" w:fill="FFFFFF"/>
        </w:rPr>
        <w:t>2022</w:t>
      </w:r>
      <w:r>
        <w:rPr>
          <w:rFonts w:ascii="Arial" w:hAnsi="Arial" w:cs="Arial"/>
          <w:color w:val="000000" w:themeColor="text1"/>
          <w:shd w:val="clear" w:color="auto" w:fill="FFFFFF"/>
        </w:rPr>
        <w:t>)</w:t>
      </w:r>
      <w:r w:rsidRPr="00F71F30">
        <w:rPr>
          <w:rFonts w:ascii="Arial" w:hAnsi="Arial" w:cs="Arial"/>
          <w:color w:val="000000" w:themeColor="text1"/>
          <w:shd w:val="clear" w:color="auto" w:fill="FFFFFF"/>
        </w:rPr>
        <w:t xml:space="preserve"> '</w:t>
      </w:r>
      <w:proofErr w:type="gramStart"/>
      <w:r w:rsidRPr="00F71F30">
        <w:rPr>
          <w:rFonts w:ascii="Arial" w:hAnsi="Arial" w:cs="Arial"/>
          <w:color w:val="000000" w:themeColor="text1"/>
          <w:shd w:val="clear" w:color="auto" w:fill="FFFFFF"/>
        </w:rPr>
        <w:t>Multi-agency</w:t>
      </w:r>
      <w:proofErr w:type="gramEnd"/>
      <w:r w:rsidRPr="00F71F30">
        <w:rPr>
          <w:rFonts w:ascii="Arial" w:hAnsi="Arial" w:cs="Arial"/>
          <w:color w:val="000000" w:themeColor="text1"/>
          <w:shd w:val="clear" w:color="auto" w:fill="FFFFFF"/>
        </w:rPr>
        <w:t xml:space="preserve"> work to prevent repeat offending: a theory of change', European Society of Criminology, Malaga, Spain, </w:t>
      </w:r>
      <w:r>
        <w:rPr>
          <w:rFonts w:ascii="Arial" w:hAnsi="Arial" w:cs="Arial"/>
          <w:color w:val="000000" w:themeColor="text1"/>
          <w:shd w:val="clear" w:color="auto" w:fill="FFFFFF"/>
        </w:rPr>
        <w:t xml:space="preserve">pp. </w:t>
      </w:r>
      <w:r w:rsidRPr="00F71F30">
        <w:rPr>
          <w:rFonts w:ascii="Arial" w:hAnsi="Arial" w:cs="Arial"/>
          <w:color w:val="000000" w:themeColor="text1"/>
          <w:shd w:val="clear" w:color="auto" w:fill="FFFFFF"/>
        </w:rPr>
        <w:t>836.</w:t>
      </w:r>
    </w:p>
    <w:p w14:paraId="3A3C8676" w14:textId="77777777" w:rsidR="00F71F30" w:rsidRPr="009C2951" w:rsidRDefault="00F71F30" w:rsidP="00A60B00">
      <w:pPr>
        <w:pStyle w:val="NormalWeb"/>
        <w:ind w:left="567" w:hanging="567"/>
        <w:rPr>
          <w:rFonts w:ascii="Arial" w:hAnsi="Arial" w:cs="Arial"/>
          <w:sz w:val="22"/>
          <w:szCs w:val="22"/>
        </w:rPr>
      </w:pPr>
      <w:r w:rsidRPr="009C2951">
        <w:rPr>
          <w:rFonts w:ascii="Arial" w:hAnsi="Arial" w:cs="Arial"/>
          <w:sz w:val="22"/>
          <w:szCs w:val="22"/>
        </w:rPr>
        <w:t xml:space="preserve">Hanway, P. </w:t>
      </w:r>
      <w:r w:rsidRPr="009C2951">
        <w:rPr>
          <w:rFonts w:ascii="Arial" w:hAnsi="Arial" w:cs="Arial"/>
          <w:i/>
          <w:iCs/>
          <w:sz w:val="22"/>
          <w:szCs w:val="22"/>
        </w:rPr>
        <w:t>et al.</w:t>
      </w:r>
      <w:r w:rsidRPr="009C2951">
        <w:rPr>
          <w:rFonts w:ascii="Arial" w:hAnsi="Arial" w:cs="Arial"/>
          <w:sz w:val="22"/>
          <w:szCs w:val="22"/>
        </w:rPr>
        <w:t xml:space="preserve"> (2020) ‘The effects of cognitive load during an investigative interviewing task on mock interviewers’ recall of information’, </w:t>
      </w:r>
      <w:r w:rsidRPr="009C2951">
        <w:rPr>
          <w:rFonts w:ascii="Arial" w:hAnsi="Arial" w:cs="Arial"/>
          <w:i/>
          <w:iCs/>
          <w:sz w:val="22"/>
          <w:szCs w:val="22"/>
        </w:rPr>
        <w:t>Legal and Criminological Psychology</w:t>
      </w:r>
      <w:r w:rsidRPr="009C2951">
        <w:rPr>
          <w:rFonts w:ascii="Arial" w:hAnsi="Arial" w:cs="Arial"/>
          <w:sz w:val="22"/>
          <w:szCs w:val="22"/>
        </w:rPr>
        <w:t xml:space="preserve">, 26(1), pp. 25–41. doi:10.1111/lcrp.12182. </w:t>
      </w:r>
    </w:p>
    <w:p w14:paraId="3EFF2F4A" w14:textId="77777777" w:rsidR="00F71F30" w:rsidRPr="009C2951" w:rsidRDefault="00F71F30" w:rsidP="005870FF">
      <w:pPr>
        <w:pStyle w:val="NormalWeb"/>
        <w:ind w:left="567" w:hanging="567"/>
        <w:rPr>
          <w:rFonts w:ascii="Arial" w:hAnsi="Arial" w:cs="Arial"/>
          <w:color w:val="222222"/>
          <w:sz w:val="22"/>
          <w:szCs w:val="22"/>
          <w:shd w:val="clear" w:color="auto" w:fill="FFFFFF"/>
        </w:rPr>
      </w:pPr>
      <w:r w:rsidRPr="009C2951">
        <w:rPr>
          <w:rFonts w:ascii="Arial" w:hAnsi="Arial" w:cs="Arial"/>
          <w:color w:val="222222"/>
          <w:sz w:val="22"/>
          <w:szCs w:val="22"/>
          <w:shd w:val="clear" w:color="auto" w:fill="FFFFFF"/>
        </w:rPr>
        <w:lastRenderedPageBreak/>
        <w:t>Haworth, K., 2020. Police interviews in the judicial process: Police interviews as evidence. In </w:t>
      </w:r>
      <w:r w:rsidRPr="009C2951">
        <w:rPr>
          <w:rFonts w:ascii="Arial" w:hAnsi="Arial" w:cs="Arial"/>
          <w:i/>
          <w:iCs/>
          <w:color w:val="222222"/>
          <w:sz w:val="22"/>
          <w:szCs w:val="22"/>
          <w:shd w:val="clear" w:color="auto" w:fill="FFFFFF"/>
        </w:rPr>
        <w:t>The Routledge handbook of forensic linguistics</w:t>
      </w:r>
      <w:r w:rsidRPr="009C2951">
        <w:rPr>
          <w:rFonts w:ascii="Arial" w:hAnsi="Arial" w:cs="Arial"/>
          <w:color w:val="222222"/>
          <w:sz w:val="22"/>
          <w:szCs w:val="22"/>
          <w:shd w:val="clear" w:color="auto" w:fill="FFFFFF"/>
        </w:rPr>
        <w:t> (pp. 144-158). Routledge.</w:t>
      </w:r>
    </w:p>
    <w:p w14:paraId="5EC5FC3A" w14:textId="77777777" w:rsidR="00F71F30" w:rsidRPr="009C2951" w:rsidRDefault="00F71F30" w:rsidP="00700891">
      <w:pPr>
        <w:pStyle w:val="NormalWeb"/>
        <w:ind w:left="567" w:hanging="567"/>
        <w:rPr>
          <w:rFonts w:ascii="Arial" w:hAnsi="Arial" w:cs="Arial"/>
          <w:color w:val="70AD47" w:themeColor="accent6"/>
          <w:sz w:val="22"/>
          <w:szCs w:val="22"/>
        </w:rPr>
      </w:pPr>
      <w:r w:rsidRPr="009C2951">
        <w:rPr>
          <w:rFonts w:ascii="Arial" w:hAnsi="Arial" w:cs="Arial"/>
          <w:color w:val="000000" w:themeColor="text1"/>
          <w:sz w:val="22"/>
          <w:szCs w:val="22"/>
        </w:rPr>
        <w:t>HMICFRS (2019) ‘</w:t>
      </w:r>
      <w:r w:rsidRPr="009C2951">
        <w:rPr>
          <w:rFonts w:ascii="Arial" w:hAnsi="Arial" w:cs="Arial"/>
          <w:i/>
          <w:iCs/>
          <w:color w:val="000000" w:themeColor="text1"/>
          <w:sz w:val="22"/>
          <w:szCs w:val="22"/>
        </w:rPr>
        <w:t>Public Perceptions of Policing in England and Wales 2018 report</w:t>
      </w:r>
      <w:r w:rsidRPr="009C2951">
        <w:rPr>
          <w:rFonts w:ascii="Arial" w:hAnsi="Arial" w:cs="Arial"/>
          <w:color w:val="000000" w:themeColor="text1"/>
          <w:sz w:val="22"/>
          <w:szCs w:val="22"/>
        </w:rPr>
        <w:t>.’</w:t>
      </w:r>
    </w:p>
    <w:p w14:paraId="6C6A2ECF" w14:textId="77777777" w:rsidR="00F71F30" w:rsidRDefault="00F71F30" w:rsidP="00C53049">
      <w:pPr>
        <w:pStyle w:val="NormalWeb"/>
        <w:ind w:left="567" w:hanging="567"/>
      </w:pPr>
      <w:r>
        <w:t xml:space="preserve">Hope, L. and </w:t>
      </w:r>
      <w:proofErr w:type="spellStart"/>
      <w:r>
        <w:t>Garbbert</w:t>
      </w:r>
      <w:proofErr w:type="spellEnd"/>
      <w:r>
        <w:t xml:space="preserve">, F. (2019) ‘Interviewing Witnesses and Victims’, in </w:t>
      </w:r>
      <w:r>
        <w:rPr>
          <w:i/>
          <w:iCs/>
        </w:rPr>
        <w:t>Psychological Science and the Law</w:t>
      </w:r>
      <w:r>
        <w:t xml:space="preserve">. New </w:t>
      </w:r>
      <w:proofErr w:type="gramStart"/>
      <w:r>
        <w:t>York :</w:t>
      </w:r>
      <w:proofErr w:type="gramEnd"/>
      <w:r>
        <w:t xml:space="preserve"> The Guilford Press, pp. 130–156. </w:t>
      </w:r>
    </w:p>
    <w:p w14:paraId="4092B110" w14:textId="77777777" w:rsidR="00F71F30" w:rsidRDefault="00F71F30" w:rsidP="003500AC">
      <w:pPr>
        <w:pStyle w:val="NormalWeb"/>
        <w:ind w:left="567" w:hanging="567"/>
      </w:pPr>
      <w:r>
        <w:t xml:space="preserve">Hu, </w:t>
      </w:r>
      <w:proofErr w:type="gramStart"/>
      <w:r>
        <w:t>X.</w:t>
      </w:r>
      <w:proofErr w:type="gramEnd"/>
      <w:r>
        <w:t xml:space="preserve"> and Lovrich, N.P. (2019) ‘Small police agency use of social media: Positive and negative outcomes noted in a case study’, </w:t>
      </w:r>
      <w:r>
        <w:rPr>
          <w:i/>
          <w:iCs/>
        </w:rPr>
        <w:t>Policing: A Journal of Policy and Practice</w:t>
      </w:r>
      <w:r>
        <w:t xml:space="preserve">, 15(2), pp. 1584–1599. doi:10.1093/police/paz077. </w:t>
      </w:r>
    </w:p>
    <w:p w14:paraId="569F8203" w14:textId="77777777" w:rsidR="00F71F30" w:rsidRPr="009C2951" w:rsidRDefault="00F71F30" w:rsidP="00724F6E">
      <w:pPr>
        <w:pStyle w:val="NormalWeb"/>
        <w:ind w:left="567" w:hanging="567"/>
        <w:rPr>
          <w:rFonts w:ascii="Arial" w:hAnsi="Arial" w:cs="Arial"/>
          <w:sz w:val="22"/>
          <w:szCs w:val="22"/>
        </w:rPr>
      </w:pPr>
      <w:r w:rsidRPr="009C2951">
        <w:rPr>
          <w:rFonts w:ascii="Arial" w:hAnsi="Arial" w:cs="Arial"/>
          <w:sz w:val="22"/>
          <w:szCs w:val="22"/>
        </w:rPr>
        <w:t xml:space="preserve">Hu, X. </w:t>
      </w:r>
      <w:r w:rsidRPr="009C2951">
        <w:rPr>
          <w:rFonts w:ascii="Arial" w:hAnsi="Arial" w:cs="Arial"/>
          <w:i/>
          <w:iCs/>
          <w:sz w:val="22"/>
          <w:szCs w:val="22"/>
        </w:rPr>
        <w:t>et al.</w:t>
      </w:r>
      <w:r w:rsidRPr="009C2951">
        <w:rPr>
          <w:rFonts w:ascii="Arial" w:hAnsi="Arial" w:cs="Arial"/>
          <w:sz w:val="22"/>
          <w:szCs w:val="22"/>
        </w:rPr>
        <w:t xml:space="preserve"> (2020) ‘Understanding public attitudes towards the police: Co-variates of satisfaction, trust, and confidence’, </w:t>
      </w:r>
      <w:r w:rsidRPr="009C2951">
        <w:rPr>
          <w:rFonts w:ascii="Arial" w:hAnsi="Arial" w:cs="Arial"/>
          <w:i/>
          <w:iCs/>
          <w:sz w:val="22"/>
          <w:szCs w:val="22"/>
        </w:rPr>
        <w:t>Canadian Journal of Criminology and Criminal Justice</w:t>
      </w:r>
      <w:r w:rsidRPr="009C2951">
        <w:rPr>
          <w:rFonts w:ascii="Arial" w:hAnsi="Arial" w:cs="Arial"/>
          <w:sz w:val="22"/>
          <w:szCs w:val="22"/>
        </w:rPr>
        <w:t xml:space="preserve">, 62(1), pp. 26–49. doi:10.3138/cjccj.2019-0011. </w:t>
      </w:r>
    </w:p>
    <w:p w14:paraId="404B86B4" w14:textId="77777777" w:rsidR="00F71F30" w:rsidRPr="009C2951" w:rsidRDefault="00F71F30" w:rsidP="00D90CC7">
      <w:pPr>
        <w:pStyle w:val="NormalWeb"/>
        <w:ind w:left="567" w:hanging="567"/>
        <w:rPr>
          <w:rFonts w:ascii="Arial" w:hAnsi="Arial" w:cs="Arial"/>
          <w:sz w:val="22"/>
          <w:szCs w:val="22"/>
        </w:rPr>
      </w:pPr>
      <w:r w:rsidRPr="009C2951">
        <w:rPr>
          <w:rFonts w:ascii="Arial" w:hAnsi="Arial" w:cs="Arial"/>
          <w:sz w:val="22"/>
          <w:szCs w:val="22"/>
        </w:rPr>
        <w:t xml:space="preserve">Hunt, P. and Greaves, I. (2017) ‘Oxford Manual of Major Incident Management’, </w:t>
      </w:r>
      <w:r w:rsidRPr="009C2951">
        <w:rPr>
          <w:rFonts w:ascii="Arial" w:hAnsi="Arial" w:cs="Arial"/>
          <w:i/>
          <w:iCs/>
          <w:sz w:val="22"/>
          <w:szCs w:val="22"/>
        </w:rPr>
        <w:t>Oxford Medicine Online</w:t>
      </w:r>
      <w:r w:rsidRPr="009C2951">
        <w:rPr>
          <w:rFonts w:ascii="Arial" w:hAnsi="Arial" w:cs="Arial"/>
          <w:sz w:val="22"/>
          <w:szCs w:val="22"/>
        </w:rPr>
        <w:t xml:space="preserve"> [Preprint]. doi:10.1093/med/9780199238088.001.0001. </w:t>
      </w:r>
    </w:p>
    <w:p w14:paraId="2C7B8A86" w14:textId="77777777" w:rsidR="00F71F30" w:rsidRPr="009C2951" w:rsidRDefault="00F71F30" w:rsidP="005870FF">
      <w:pPr>
        <w:pStyle w:val="NormalWeb"/>
        <w:ind w:left="567" w:hanging="567"/>
        <w:rPr>
          <w:rFonts w:ascii="Arial" w:hAnsi="Arial" w:cs="Arial"/>
          <w:color w:val="222222"/>
          <w:sz w:val="22"/>
          <w:szCs w:val="22"/>
          <w:shd w:val="clear" w:color="auto" w:fill="FFFFFF"/>
        </w:rPr>
      </w:pPr>
      <w:r w:rsidRPr="009C2951">
        <w:rPr>
          <w:rFonts w:ascii="Arial" w:hAnsi="Arial" w:cs="Arial"/>
          <w:color w:val="222222"/>
          <w:sz w:val="22"/>
          <w:szCs w:val="22"/>
          <w:shd w:val="clear" w:color="auto" w:fill="FFFFFF"/>
        </w:rPr>
        <w:t xml:space="preserve">Hwang, A., 2020. Restorative Justice: A Better Alternative for Reducing </w:t>
      </w:r>
      <w:proofErr w:type="gramStart"/>
      <w:r w:rsidRPr="009C2951">
        <w:rPr>
          <w:rFonts w:ascii="Arial" w:hAnsi="Arial" w:cs="Arial"/>
          <w:color w:val="222222"/>
          <w:sz w:val="22"/>
          <w:szCs w:val="22"/>
          <w:shd w:val="clear" w:color="auto" w:fill="FFFFFF"/>
        </w:rPr>
        <w:t>Recidivism?.</w:t>
      </w:r>
      <w:proofErr w:type="gramEnd"/>
      <w:r w:rsidRPr="009C2951">
        <w:rPr>
          <w:rFonts w:ascii="Arial" w:hAnsi="Arial" w:cs="Arial"/>
          <w:color w:val="222222"/>
          <w:sz w:val="22"/>
          <w:szCs w:val="22"/>
          <w:shd w:val="clear" w:color="auto" w:fill="FFFFFF"/>
        </w:rPr>
        <w:t> </w:t>
      </w:r>
      <w:r w:rsidRPr="009C2951">
        <w:rPr>
          <w:rFonts w:ascii="Arial" w:hAnsi="Arial" w:cs="Arial"/>
          <w:i/>
          <w:iCs/>
          <w:color w:val="222222"/>
          <w:sz w:val="22"/>
          <w:szCs w:val="22"/>
          <w:shd w:val="clear" w:color="auto" w:fill="FFFFFF"/>
        </w:rPr>
        <w:t>The Sociological Imagination: Undergraduate Journal</w:t>
      </w:r>
      <w:r w:rsidRPr="009C2951">
        <w:rPr>
          <w:rFonts w:ascii="Arial" w:hAnsi="Arial" w:cs="Arial"/>
          <w:color w:val="222222"/>
          <w:sz w:val="22"/>
          <w:szCs w:val="22"/>
          <w:shd w:val="clear" w:color="auto" w:fill="FFFFFF"/>
        </w:rPr>
        <w:t>, </w:t>
      </w:r>
      <w:r w:rsidRPr="009C2951">
        <w:rPr>
          <w:rFonts w:ascii="Arial" w:hAnsi="Arial" w:cs="Arial"/>
          <w:i/>
          <w:iCs/>
          <w:color w:val="222222"/>
          <w:sz w:val="22"/>
          <w:szCs w:val="22"/>
          <w:shd w:val="clear" w:color="auto" w:fill="FFFFFF"/>
        </w:rPr>
        <w:t>6</w:t>
      </w:r>
      <w:r w:rsidRPr="009C2951">
        <w:rPr>
          <w:rFonts w:ascii="Arial" w:hAnsi="Arial" w:cs="Arial"/>
          <w:color w:val="222222"/>
          <w:sz w:val="22"/>
          <w:szCs w:val="22"/>
          <w:shd w:val="clear" w:color="auto" w:fill="FFFFFF"/>
        </w:rPr>
        <w:t>(1).</w:t>
      </w:r>
    </w:p>
    <w:p w14:paraId="1A7DF612" w14:textId="77777777" w:rsidR="00F71F30" w:rsidRPr="009C2951" w:rsidRDefault="00F71F30" w:rsidP="00C41366">
      <w:pPr>
        <w:pStyle w:val="NormalWeb"/>
        <w:ind w:left="567" w:hanging="567"/>
        <w:rPr>
          <w:rFonts w:ascii="Arial" w:hAnsi="Arial" w:cs="Arial"/>
          <w:color w:val="000000" w:themeColor="text1"/>
          <w:sz w:val="22"/>
          <w:szCs w:val="22"/>
        </w:rPr>
      </w:pPr>
      <w:r w:rsidRPr="009C2951">
        <w:rPr>
          <w:rFonts w:ascii="Arial" w:hAnsi="Arial" w:cs="Arial"/>
          <w:color w:val="000000" w:themeColor="text1"/>
          <w:sz w:val="22"/>
          <w:szCs w:val="22"/>
        </w:rPr>
        <w:t xml:space="preserve">IOPC (2022) </w:t>
      </w:r>
      <w:r w:rsidRPr="009C2951">
        <w:rPr>
          <w:rFonts w:ascii="Arial" w:hAnsi="Arial" w:cs="Arial"/>
          <w:i/>
          <w:iCs/>
          <w:color w:val="000000" w:themeColor="text1"/>
          <w:sz w:val="22"/>
          <w:szCs w:val="22"/>
        </w:rPr>
        <w:t xml:space="preserve">IOPC Public Perceptions </w:t>
      </w:r>
      <w:proofErr w:type="gramStart"/>
      <w:r w:rsidRPr="009C2951">
        <w:rPr>
          <w:rFonts w:ascii="Arial" w:hAnsi="Arial" w:cs="Arial"/>
          <w:i/>
          <w:iCs/>
          <w:color w:val="000000" w:themeColor="text1"/>
          <w:sz w:val="22"/>
          <w:szCs w:val="22"/>
        </w:rPr>
        <w:t>Tracker  Summary</w:t>
      </w:r>
      <w:proofErr w:type="gramEnd"/>
      <w:r w:rsidRPr="009C2951">
        <w:rPr>
          <w:rFonts w:ascii="Arial" w:hAnsi="Arial" w:cs="Arial"/>
          <w:i/>
          <w:iCs/>
          <w:color w:val="000000" w:themeColor="text1"/>
          <w:sz w:val="22"/>
          <w:szCs w:val="22"/>
        </w:rPr>
        <w:t xml:space="preserve"> Report, Waves 6.1 – 6.3</w:t>
      </w:r>
      <w:r w:rsidRPr="009C2951">
        <w:rPr>
          <w:rFonts w:ascii="Arial" w:hAnsi="Arial" w:cs="Arial"/>
          <w:color w:val="000000" w:themeColor="text1"/>
          <w:sz w:val="22"/>
          <w:szCs w:val="22"/>
        </w:rPr>
        <w:t xml:space="preserve">, </w:t>
      </w:r>
      <w:r w:rsidRPr="009C2951">
        <w:rPr>
          <w:rFonts w:ascii="Arial" w:hAnsi="Arial" w:cs="Arial"/>
          <w:i/>
          <w:iCs/>
          <w:color w:val="000000" w:themeColor="text1"/>
          <w:sz w:val="22"/>
          <w:szCs w:val="22"/>
        </w:rPr>
        <w:t>Independent Office for Police Conduct (IOPC)</w:t>
      </w:r>
      <w:r w:rsidRPr="009C2951">
        <w:rPr>
          <w:rFonts w:ascii="Arial" w:hAnsi="Arial" w:cs="Arial"/>
          <w:color w:val="000000" w:themeColor="text1"/>
          <w:sz w:val="22"/>
          <w:szCs w:val="22"/>
        </w:rPr>
        <w:t xml:space="preserve">. Available at: https://www.policeconduct.gov.uk/publications/public-perceptions-tracker-summary-report-202122 (Accessed: 02 April 2024). </w:t>
      </w:r>
    </w:p>
    <w:p w14:paraId="6D55DDA3" w14:textId="77777777" w:rsidR="00F71F30" w:rsidRPr="009C2951" w:rsidRDefault="00F71F30" w:rsidP="00AC52B5">
      <w:pPr>
        <w:pStyle w:val="NormalWeb"/>
        <w:ind w:left="567" w:hanging="567"/>
        <w:rPr>
          <w:rFonts w:ascii="Arial" w:hAnsi="Arial" w:cs="Arial"/>
          <w:sz w:val="22"/>
          <w:szCs w:val="22"/>
        </w:rPr>
      </w:pPr>
      <w:r w:rsidRPr="009C2951">
        <w:rPr>
          <w:rFonts w:ascii="Arial" w:hAnsi="Arial" w:cs="Arial"/>
          <w:sz w:val="22"/>
          <w:szCs w:val="22"/>
        </w:rPr>
        <w:t>Jackson, J and Bradford, B. (2019). ‘Measuring Public Attitudes towards the Police.’ 10.13140/RG.2.2.36499.84003.</w:t>
      </w:r>
    </w:p>
    <w:p w14:paraId="1224B2E6" w14:textId="77777777" w:rsidR="00F71F30" w:rsidRPr="009C2951" w:rsidRDefault="00F71F30" w:rsidP="00B916CC">
      <w:pPr>
        <w:pStyle w:val="NormalWeb"/>
        <w:ind w:left="567" w:hanging="567"/>
        <w:rPr>
          <w:rFonts w:ascii="Arial" w:hAnsi="Arial" w:cs="Arial"/>
          <w:sz w:val="22"/>
          <w:szCs w:val="22"/>
        </w:rPr>
      </w:pPr>
      <w:r w:rsidRPr="009C2951">
        <w:rPr>
          <w:rFonts w:ascii="Arial" w:hAnsi="Arial" w:cs="Arial"/>
          <w:sz w:val="22"/>
          <w:szCs w:val="22"/>
        </w:rPr>
        <w:t xml:space="preserve">Kwak, H., </w:t>
      </w:r>
      <w:proofErr w:type="spellStart"/>
      <w:r w:rsidRPr="009C2951">
        <w:rPr>
          <w:rFonts w:ascii="Arial" w:hAnsi="Arial" w:cs="Arial"/>
          <w:sz w:val="22"/>
          <w:szCs w:val="22"/>
        </w:rPr>
        <w:t>Dierenfeldt</w:t>
      </w:r>
      <w:proofErr w:type="spellEnd"/>
      <w:r w:rsidRPr="009C2951">
        <w:rPr>
          <w:rFonts w:ascii="Arial" w:hAnsi="Arial" w:cs="Arial"/>
          <w:sz w:val="22"/>
          <w:szCs w:val="22"/>
        </w:rPr>
        <w:t xml:space="preserve">, R. and McNeeley, S. (2019) ‘The code of the street and cooperation with the police: Do codes of violence, procedural injustice, and police ineffectiveness discourage reporting violent victimization to the police?’, </w:t>
      </w:r>
      <w:r w:rsidRPr="009C2951">
        <w:rPr>
          <w:rFonts w:ascii="Arial" w:hAnsi="Arial" w:cs="Arial"/>
          <w:i/>
          <w:iCs/>
          <w:sz w:val="22"/>
          <w:szCs w:val="22"/>
        </w:rPr>
        <w:t>Journal of Criminal Justice</w:t>
      </w:r>
      <w:r w:rsidRPr="009C2951">
        <w:rPr>
          <w:rFonts w:ascii="Arial" w:hAnsi="Arial" w:cs="Arial"/>
          <w:sz w:val="22"/>
          <w:szCs w:val="22"/>
        </w:rPr>
        <w:t xml:space="preserve">, 60, pp. 25–34. </w:t>
      </w:r>
      <w:proofErr w:type="gramStart"/>
      <w:r w:rsidRPr="009C2951">
        <w:rPr>
          <w:rFonts w:ascii="Arial" w:hAnsi="Arial" w:cs="Arial"/>
          <w:sz w:val="22"/>
          <w:szCs w:val="22"/>
        </w:rPr>
        <w:t>doi:10.1016/j.jcrimjus</w:t>
      </w:r>
      <w:proofErr w:type="gramEnd"/>
      <w:r w:rsidRPr="009C2951">
        <w:rPr>
          <w:rFonts w:ascii="Arial" w:hAnsi="Arial" w:cs="Arial"/>
          <w:sz w:val="22"/>
          <w:szCs w:val="22"/>
        </w:rPr>
        <w:t xml:space="preserve">.2018.11.001. </w:t>
      </w:r>
    </w:p>
    <w:p w14:paraId="24EFDEA0" w14:textId="77777777" w:rsidR="00F71F30" w:rsidRPr="009C2951" w:rsidRDefault="00F71F30" w:rsidP="00A60B00">
      <w:pPr>
        <w:pStyle w:val="NormalWeb"/>
        <w:ind w:left="567" w:hanging="567"/>
        <w:rPr>
          <w:rFonts w:ascii="Arial" w:hAnsi="Arial" w:cs="Arial"/>
          <w:sz w:val="22"/>
          <w:szCs w:val="22"/>
        </w:rPr>
      </w:pPr>
      <w:r w:rsidRPr="009C2951">
        <w:rPr>
          <w:rFonts w:ascii="Arial" w:hAnsi="Arial" w:cs="Arial"/>
          <w:sz w:val="22"/>
          <w:szCs w:val="22"/>
        </w:rPr>
        <w:t xml:space="preserve">Leahy-Harland, S. and Bull, R. (2020) ‘The impact of context on real-life serious crime interviews’, </w:t>
      </w:r>
      <w:r w:rsidRPr="009C2951">
        <w:rPr>
          <w:rFonts w:ascii="Arial" w:hAnsi="Arial" w:cs="Arial"/>
          <w:i/>
          <w:iCs/>
          <w:sz w:val="22"/>
          <w:szCs w:val="22"/>
        </w:rPr>
        <w:t>Police Practice and Research</w:t>
      </w:r>
      <w:r w:rsidRPr="009C2951">
        <w:rPr>
          <w:rFonts w:ascii="Arial" w:hAnsi="Arial" w:cs="Arial"/>
          <w:sz w:val="22"/>
          <w:szCs w:val="22"/>
        </w:rPr>
        <w:t xml:space="preserve">, 22(1), pp. 1009–1026. doi:10.1080/15614263.2020.1848565. </w:t>
      </w:r>
    </w:p>
    <w:p w14:paraId="213C5507" w14:textId="77777777" w:rsidR="00F71F30" w:rsidRDefault="00F71F30" w:rsidP="003500AC">
      <w:pPr>
        <w:pStyle w:val="NormalWeb"/>
        <w:ind w:left="567" w:hanging="567"/>
      </w:pPr>
      <w:r>
        <w:t xml:space="preserve">Marsh, I. and Melville, G. (2019) ‘The media and moral panics - Theories and examples’, in </w:t>
      </w:r>
      <w:r>
        <w:rPr>
          <w:i/>
          <w:iCs/>
        </w:rPr>
        <w:t xml:space="preserve">Crime, Justice and the </w:t>
      </w:r>
      <w:proofErr w:type="gramStart"/>
      <w:r>
        <w:rPr>
          <w:i/>
          <w:iCs/>
        </w:rPr>
        <w:t xml:space="preserve">Media </w:t>
      </w:r>
      <w:r>
        <w:t>.</w:t>
      </w:r>
      <w:proofErr w:type="gramEnd"/>
      <w:r>
        <w:t xml:space="preserve"> </w:t>
      </w:r>
      <w:proofErr w:type="gramStart"/>
      <w:r>
        <w:t>Routledge ,</w:t>
      </w:r>
      <w:proofErr w:type="gramEnd"/>
      <w:r>
        <w:t xml:space="preserve"> pp. 50–72. </w:t>
      </w:r>
    </w:p>
    <w:p w14:paraId="2296AA29" w14:textId="77777777" w:rsidR="00F71F30" w:rsidRPr="009C2951" w:rsidRDefault="00F71F30" w:rsidP="009C2951">
      <w:pPr>
        <w:pStyle w:val="NormalWeb"/>
        <w:ind w:left="567" w:hanging="567"/>
        <w:rPr>
          <w:rFonts w:ascii="Arial" w:hAnsi="Arial" w:cs="Arial"/>
          <w:sz w:val="22"/>
          <w:szCs w:val="22"/>
        </w:rPr>
      </w:pPr>
      <w:r w:rsidRPr="009C2951">
        <w:rPr>
          <w:rFonts w:ascii="Arial" w:hAnsi="Arial" w:cs="Arial"/>
          <w:sz w:val="22"/>
          <w:szCs w:val="22"/>
        </w:rPr>
        <w:t xml:space="preserve">Marshall, C.D. (2020) ‘Restorative justice’, </w:t>
      </w:r>
      <w:r w:rsidRPr="009C2951">
        <w:rPr>
          <w:rFonts w:ascii="Arial" w:hAnsi="Arial" w:cs="Arial"/>
          <w:i/>
          <w:iCs/>
          <w:sz w:val="22"/>
          <w:szCs w:val="22"/>
        </w:rPr>
        <w:t>Religion Matters</w:t>
      </w:r>
      <w:r w:rsidRPr="009C2951">
        <w:rPr>
          <w:rFonts w:ascii="Arial" w:hAnsi="Arial" w:cs="Arial"/>
          <w:sz w:val="22"/>
          <w:szCs w:val="22"/>
        </w:rPr>
        <w:t xml:space="preserve">, pp. 101–117. doi:10.1007/978-981-15-2489-9_7. </w:t>
      </w:r>
    </w:p>
    <w:p w14:paraId="090ABEB7" w14:textId="77777777" w:rsidR="00F71F30" w:rsidRDefault="00F71F30" w:rsidP="00C53049">
      <w:pPr>
        <w:pStyle w:val="NormalWeb"/>
        <w:ind w:left="567" w:hanging="567"/>
      </w:pPr>
      <w:proofErr w:type="spellStart"/>
      <w:r>
        <w:t>Mavrodieva</w:t>
      </w:r>
      <w:proofErr w:type="spellEnd"/>
      <w:r>
        <w:t xml:space="preserve">, A. </w:t>
      </w:r>
      <w:r>
        <w:rPr>
          <w:i/>
          <w:iCs/>
        </w:rPr>
        <w:t>et al.</w:t>
      </w:r>
      <w:r>
        <w:t xml:space="preserve"> (2019) ‘Role of social media as a soft power tool in raising public awareness and engagement in addressing climate change’, </w:t>
      </w:r>
      <w:r>
        <w:rPr>
          <w:i/>
          <w:iCs/>
        </w:rPr>
        <w:t>Climate</w:t>
      </w:r>
      <w:r>
        <w:t xml:space="preserve">, 7(10), p. 122. doi:10.3390/cli7100122. </w:t>
      </w:r>
    </w:p>
    <w:p w14:paraId="7C432175" w14:textId="77777777" w:rsidR="00F71F30" w:rsidRDefault="00F71F30" w:rsidP="00E95E2E">
      <w:pPr>
        <w:pStyle w:val="NormalWeb"/>
        <w:ind w:left="567" w:hanging="567"/>
      </w:pPr>
      <w:r>
        <w:t xml:space="preserve">McCrea, K.T. </w:t>
      </w:r>
      <w:r>
        <w:rPr>
          <w:i/>
          <w:iCs/>
        </w:rPr>
        <w:t>et al.</w:t>
      </w:r>
      <w:r>
        <w:t xml:space="preserve"> (2019) ‘Understanding violence and developing resilience with African American youth in high-poverty, high-crime communities’, </w:t>
      </w:r>
      <w:r>
        <w:rPr>
          <w:i/>
          <w:iCs/>
        </w:rPr>
        <w:t>Children and Youth Services Review</w:t>
      </w:r>
      <w:r>
        <w:t xml:space="preserve">, 99, pp. 296–307. </w:t>
      </w:r>
      <w:proofErr w:type="gramStart"/>
      <w:r>
        <w:t>doi:10.1016/j.childyouth</w:t>
      </w:r>
      <w:proofErr w:type="gramEnd"/>
      <w:r>
        <w:t xml:space="preserve">.2018.12.018. </w:t>
      </w:r>
    </w:p>
    <w:p w14:paraId="36678170" w14:textId="77777777" w:rsidR="00F71F30" w:rsidRPr="009C2951" w:rsidRDefault="00F71F30" w:rsidP="00AC52B5">
      <w:pPr>
        <w:pStyle w:val="NormalWeb"/>
        <w:ind w:left="567" w:hanging="567"/>
        <w:rPr>
          <w:rFonts w:ascii="Arial" w:hAnsi="Arial" w:cs="Arial"/>
          <w:sz w:val="22"/>
          <w:szCs w:val="22"/>
        </w:rPr>
      </w:pPr>
      <w:r w:rsidRPr="009C2951">
        <w:rPr>
          <w:rFonts w:ascii="Arial" w:hAnsi="Arial" w:cs="Arial"/>
          <w:sz w:val="22"/>
          <w:szCs w:val="22"/>
        </w:rPr>
        <w:lastRenderedPageBreak/>
        <w:t xml:space="preserve">Meadows, K. (2021) ‘Cognitive interviewing methodologies’, </w:t>
      </w:r>
      <w:r w:rsidRPr="009C2951">
        <w:rPr>
          <w:rFonts w:ascii="Arial" w:hAnsi="Arial" w:cs="Arial"/>
          <w:i/>
          <w:iCs/>
          <w:sz w:val="22"/>
          <w:szCs w:val="22"/>
        </w:rPr>
        <w:t>Clinical Nursing Research</w:t>
      </w:r>
      <w:r w:rsidRPr="009C2951">
        <w:rPr>
          <w:rFonts w:ascii="Arial" w:hAnsi="Arial" w:cs="Arial"/>
          <w:sz w:val="22"/>
          <w:szCs w:val="22"/>
        </w:rPr>
        <w:t xml:space="preserve">, 30(4), pp. 375–379. doi:10.1177/10547738211014099. </w:t>
      </w:r>
    </w:p>
    <w:p w14:paraId="3BDD69F3" w14:textId="77777777" w:rsidR="00F71F30" w:rsidRDefault="00F71F30" w:rsidP="00CB74EA">
      <w:pPr>
        <w:pStyle w:val="NormalWeb"/>
        <w:ind w:left="567" w:hanging="567"/>
      </w:pPr>
      <w:r>
        <w:t xml:space="preserve">Meléndez, A. (2020) ‘The role of criminogenic needs and emotions in restorative justice: Offenders’ experiences in victim–offender mediation’, </w:t>
      </w:r>
      <w:r>
        <w:rPr>
          <w:i/>
          <w:iCs/>
        </w:rPr>
        <w:t>European Journal of Probation</w:t>
      </w:r>
      <w:r>
        <w:t xml:space="preserve">, 13(1), pp. 21–40. doi:10.1177/2066220320948374. </w:t>
      </w:r>
    </w:p>
    <w:p w14:paraId="383654F6" w14:textId="77777777" w:rsidR="00F71F30" w:rsidRPr="009C2951" w:rsidRDefault="00F71F30" w:rsidP="00E1255A">
      <w:pPr>
        <w:rPr>
          <w:rFonts w:ascii="Arial" w:hAnsi="Arial" w:cs="Arial"/>
          <w:color w:val="000000"/>
          <w:shd w:val="clear" w:color="auto" w:fill="FFFFFF"/>
        </w:rPr>
      </w:pPr>
      <w:r w:rsidRPr="009C2951">
        <w:rPr>
          <w:rFonts w:ascii="Arial" w:hAnsi="Arial" w:cs="Arial"/>
          <w:color w:val="222222"/>
          <w:shd w:val="clear" w:color="auto" w:fill="FFFFFF"/>
        </w:rPr>
        <w:t>Miller, C., 2019. Interviewing strategies, rapport, and empathy. </w:t>
      </w:r>
      <w:r w:rsidRPr="009C2951">
        <w:rPr>
          <w:rFonts w:ascii="Arial" w:hAnsi="Arial" w:cs="Arial"/>
          <w:i/>
          <w:iCs/>
          <w:color w:val="222222"/>
          <w:shd w:val="clear" w:color="auto" w:fill="FFFFFF"/>
        </w:rPr>
        <w:t>Diagnostic interviewing</w:t>
      </w:r>
      <w:r w:rsidRPr="009C2951">
        <w:rPr>
          <w:rFonts w:ascii="Arial" w:hAnsi="Arial" w:cs="Arial"/>
          <w:color w:val="222222"/>
          <w:shd w:val="clear" w:color="auto" w:fill="FFFFFF"/>
        </w:rPr>
        <w:t xml:space="preserve">, pp.29-53. Routledge </w:t>
      </w:r>
    </w:p>
    <w:p w14:paraId="1766385D" w14:textId="77777777" w:rsidR="00F71F30" w:rsidRPr="009C2951" w:rsidRDefault="00F71F30" w:rsidP="00E1255A">
      <w:pPr>
        <w:rPr>
          <w:rFonts w:ascii="Arial" w:hAnsi="Arial" w:cs="Arial"/>
          <w:color w:val="222222"/>
          <w:shd w:val="clear" w:color="auto" w:fill="FFFFFF"/>
        </w:rPr>
      </w:pPr>
      <w:r w:rsidRPr="009C2951">
        <w:rPr>
          <w:rFonts w:ascii="Arial" w:hAnsi="Arial" w:cs="Arial"/>
          <w:color w:val="222222"/>
          <w:shd w:val="clear" w:color="auto" w:fill="FFFFFF"/>
        </w:rPr>
        <w:t>Milne, B., Griffiths, A., Clarke, C. and Dando, C., (2019). ‘The cognitive interview: A tiered approach in the real world. In </w:t>
      </w:r>
      <w:r w:rsidRPr="009C2951">
        <w:rPr>
          <w:rFonts w:ascii="Arial" w:hAnsi="Arial" w:cs="Arial"/>
          <w:i/>
          <w:iCs/>
          <w:color w:val="222222"/>
          <w:shd w:val="clear" w:color="auto" w:fill="FFFFFF"/>
        </w:rPr>
        <w:t>Evidence-based investigative interviewing’</w:t>
      </w:r>
      <w:r w:rsidRPr="009C2951">
        <w:rPr>
          <w:rFonts w:ascii="Arial" w:hAnsi="Arial" w:cs="Arial"/>
          <w:color w:val="222222"/>
          <w:shd w:val="clear" w:color="auto" w:fill="FFFFFF"/>
        </w:rPr>
        <w:t> (pp. 56-73). Routledge.</w:t>
      </w:r>
    </w:p>
    <w:p w14:paraId="478CF6D7" w14:textId="77777777" w:rsidR="00F71F30" w:rsidRPr="009C2951" w:rsidRDefault="00F71F30" w:rsidP="00E40AB2">
      <w:pPr>
        <w:pStyle w:val="NormalWeb"/>
        <w:ind w:left="567" w:hanging="567"/>
        <w:rPr>
          <w:rFonts w:ascii="Arial" w:hAnsi="Arial" w:cs="Arial"/>
          <w:sz w:val="22"/>
          <w:szCs w:val="22"/>
        </w:rPr>
      </w:pPr>
      <w:r w:rsidRPr="009C2951">
        <w:rPr>
          <w:rFonts w:ascii="Arial" w:hAnsi="Arial" w:cs="Arial"/>
          <w:sz w:val="22"/>
          <w:szCs w:val="22"/>
        </w:rPr>
        <w:t xml:space="preserve">Molinaro, P.F. </w:t>
      </w:r>
      <w:r w:rsidRPr="009C2951">
        <w:rPr>
          <w:rFonts w:ascii="Arial" w:hAnsi="Arial" w:cs="Arial"/>
          <w:i/>
          <w:iCs/>
          <w:sz w:val="22"/>
          <w:szCs w:val="22"/>
        </w:rPr>
        <w:t>et al.</w:t>
      </w:r>
      <w:r w:rsidRPr="009C2951">
        <w:rPr>
          <w:rFonts w:ascii="Arial" w:hAnsi="Arial" w:cs="Arial"/>
          <w:sz w:val="22"/>
          <w:szCs w:val="22"/>
        </w:rPr>
        <w:t xml:space="preserve"> (2019) ‘Train</w:t>
      </w:r>
      <w:r w:rsidRPr="009C2951">
        <w:rPr>
          <w:rFonts w:ascii="Cambria Math" w:hAnsi="Cambria Math" w:cs="Cambria Math"/>
          <w:sz w:val="22"/>
          <w:szCs w:val="22"/>
        </w:rPr>
        <w:t>‐</w:t>
      </w:r>
      <w:r w:rsidRPr="009C2951">
        <w:rPr>
          <w:rFonts w:ascii="Arial" w:hAnsi="Arial" w:cs="Arial"/>
          <w:sz w:val="22"/>
          <w:szCs w:val="22"/>
        </w:rPr>
        <w:t>the</w:t>
      </w:r>
      <w:r w:rsidRPr="009C2951">
        <w:rPr>
          <w:rFonts w:ascii="Cambria Math" w:hAnsi="Cambria Math" w:cs="Cambria Math"/>
          <w:sz w:val="22"/>
          <w:szCs w:val="22"/>
        </w:rPr>
        <w:t>‐</w:t>
      </w:r>
      <w:r w:rsidRPr="009C2951">
        <w:rPr>
          <w:rFonts w:ascii="Arial" w:hAnsi="Arial" w:cs="Arial"/>
          <w:sz w:val="22"/>
          <w:szCs w:val="22"/>
        </w:rPr>
        <w:t xml:space="preserve">trainer: Methodology to learn the cognitive interview’, </w:t>
      </w:r>
      <w:r w:rsidRPr="009C2951">
        <w:rPr>
          <w:rFonts w:ascii="Arial" w:hAnsi="Arial" w:cs="Arial"/>
          <w:i/>
          <w:iCs/>
          <w:sz w:val="22"/>
          <w:szCs w:val="22"/>
        </w:rPr>
        <w:t>Journal of Investigative Psychology and Offender Profiling</w:t>
      </w:r>
      <w:r w:rsidRPr="009C2951">
        <w:rPr>
          <w:rFonts w:ascii="Arial" w:hAnsi="Arial" w:cs="Arial"/>
          <w:sz w:val="22"/>
          <w:szCs w:val="22"/>
        </w:rPr>
        <w:t xml:space="preserve">, 16(1), pp. 32–43. doi:10.1002/jip.1518. </w:t>
      </w:r>
    </w:p>
    <w:p w14:paraId="05E672A5" w14:textId="77777777" w:rsidR="00F71F30" w:rsidRPr="009C2951" w:rsidRDefault="00F71F30" w:rsidP="00AC52B5">
      <w:pPr>
        <w:pStyle w:val="NormalWeb"/>
        <w:ind w:left="567" w:hanging="567"/>
        <w:rPr>
          <w:rFonts w:ascii="Arial" w:hAnsi="Arial" w:cs="Arial"/>
          <w:i/>
          <w:iCs/>
          <w:sz w:val="22"/>
          <w:szCs w:val="22"/>
        </w:rPr>
      </w:pPr>
      <w:r w:rsidRPr="009C2951">
        <w:rPr>
          <w:rFonts w:ascii="Arial" w:hAnsi="Arial" w:cs="Arial"/>
          <w:color w:val="222222"/>
          <w:sz w:val="22"/>
          <w:szCs w:val="22"/>
          <w:shd w:val="clear" w:color="auto" w:fill="FFFFFF"/>
        </w:rPr>
        <w:t>Morgan, R., (2023) ‘Policing by consent’: legitimating the doctrine. In </w:t>
      </w:r>
      <w:r w:rsidRPr="009C2951">
        <w:rPr>
          <w:rFonts w:ascii="Arial" w:hAnsi="Arial" w:cs="Arial"/>
          <w:i/>
          <w:iCs/>
          <w:color w:val="222222"/>
          <w:sz w:val="22"/>
          <w:szCs w:val="22"/>
          <w:shd w:val="clear" w:color="auto" w:fill="FFFFFF"/>
        </w:rPr>
        <w:t>Coming to terms with policing</w:t>
      </w:r>
      <w:r w:rsidRPr="009C2951">
        <w:rPr>
          <w:rFonts w:ascii="Arial" w:hAnsi="Arial" w:cs="Arial"/>
          <w:color w:val="222222"/>
          <w:sz w:val="22"/>
          <w:szCs w:val="22"/>
          <w:shd w:val="clear" w:color="auto" w:fill="FFFFFF"/>
        </w:rPr>
        <w:t> (pp. 217-234). Routledge.</w:t>
      </w:r>
    </w:p>
    <w:p w14:paraId="74C8E3ED" w14:textId="77777777" w:rsidR="00F71F30" w:rsidRDefault="00F71F30" w:rsidP="00C1720F">
      <w:pPr>
        <w:pStyle w:val="NormalWeb"/>
        <w:ind w:left="567" w:hanging="567"/>
      </w:pPr>
      <w:proofErr w:type="spellStart"/>
      <w:r>
        <w:t>Näsi</w:t>
      </w:r>
      <w:proofErr w:type="spellEnd"/>
      <w:r>
        <w:t xml:space="preserve">, M. </w:t>
      </w:r>
      <w:r>
        <w:rPr>
          <w:i/>
          <w:iCs/>
        </w:rPr>
        <w:t>et al.</w:t>
      </w:r>
      <w:r>
        <w:t xml:space="preserve"> (2020) ‘Crime news consumption and fear of violence: The role of traditional media, social media, and alternative information sources’, </w:t>
      </w:r>
      <w:r>
        <w:rPr>
          <w:i/>
          <w:iCs/>
        </w:rPr>
        <w:t>Crime &amp;amp; Delinquency</w:t>
      </w:r>
      <w:r>
        <w:t xml:space="preserve">, 67(4), pp. 574–600. doi:10.1177/0011128720922539. </w:t>
      </w:r>
    </w:p>
    <w:p w14:paraId="59DCFFF2" w14:textId="77777777" w:rsidR="00F71F30" w:rsidRDefault="00F71F30" w:rsidP="00D002D1">
      <w:pPr>
        <w:pStyle w:val="NormalWeb"/>
        <w:ind w:left="567" w:hanging="567"/>
      </w:pPr>
      <w:proofErr w:type="spellStart"/>
      <w:r>
        <w:t>Ntontis</w:t>
      </w:r>
      <w:proofErr w:type="spellEnd"/>
      <w:r>
        <w:t xml:space="preserve">, E. </w:t>
      </w:r>
      <w:r>
        <w:rPr>
          <w:i/>
          <w:iCs/>
        </w:rPr>
        <w:t>et al.</w:t>
      </w:r>
      <w:r>
        <w:t xml:space="preserve"> (2020) ‘Endurance or decline of emergent groups following a flood disaster: Implications for Community Resilience’, </w:t>
      </w:r>
      <w:r>
        <w:rPr>
          <w:i/>
          <w:iCs/>
        </w:rPr>
        <w:t>International Journal of Disaster Risk Reduction</w:t>
      </w:r>
      <w:r>
        <w:t xml:space="preserve">, 45, p. 101493. </w:t>
      </w:r>
      <w:proofErr w:type="gramStart"/>
      <w:r>
        <w:t>doi:10.1016/j.ijdrr</w:t>
      </w:r>
      <w:proofErr w:type="gramEnd"/>
      <w:r>
        <w:t xml:space="preserve">.2020.101493. </w:t>
      </w:r>
    </w:p>
    <w:p w14:paraId="0E53C2B4" w14:textId="77777777" w:rsidR="00F71F30" w:rsidRPr="009C2951" w:rsidRDefault="00F71F30" w:rsidP="00F150D7">
      <w:pPr>
        <w:pStyle w:val="NormalWeb"/>
        <w:ind w:left="567" w:hanging="567"/>
        <w:rPr>
          <w:rFonts w:ascii="Arial" w:hAnsi="Arial" w:cs="Arial"/>
          <w:sz w:val="22"/>
          <w:szCs w:val="22"/>
        </w:rPr>
      </w:pPr>
      <w:r w:rsidRPr="009C2951">
        <w:rPr>
          <w:rFonts w:ascii="Arial" w:hAnsi="Arial" w:cs="Arial"/>
          <w:sz w:val="22"/>
          <w:szCs w:val="22"/>
        </w:rPr>
        <w:t>Peyton, K., Sierra-</w:t>
      </w:r>
      <w:proofErr w:type="spellStart"/>
      <w:r w:rsidRPr="009C2951">
        <w:rPr>
          <w:rFonts w:ascii="Arial" w:hAnsi="Arial" w:cs="Arial"/>
          <w:sz w:val="22"/>
          <w:szCs w:val="22"/>
        </w:rPr>
        <w:t>Arévalo</w:t>
      </w:r>
      <w:proofErr w:type="spellEnd"/>
      <w:r w:rsidRPr="009C2951">
        <w:rPr>
          <w:rFonts w:ascii="Arial" w:hAnsi="Arial" w:cs="Arial"/>
          <w:sz w:val="22"/>
          <w:szCs w:val="22"/>
        </w:rPr>
        <w:t xml:space="preserve">, M. and Rand, D.G. (2019) ‘A field experiment on community policing and police legitimacy’, </w:t>
      </w:r>
      <w:r w:rsidRPr="009C2951">
        <w:rPr>
          <w:rFonts w:ascii="Arial" w:hAnsi="Arial" w:cs="Arial"/>
          <w:i/>
          <w:iCs/>
          <w:sz w:val="22"/>
          <w:szCs w:val="22"/>
        </w:rPr>
        <w:t>Proceedings of the National Academy of Sciences</w:t>
      </w:r>
      <w:r w:rsidRPr="009C2951">
        <w:rPr>
          <w:rFonts w:ascii="Arial" w:hAnsi="Arial" w:cs="Arial"/>
          <w:sz w:val="22"/>
          <w:szCs w:val="22"/>
        </w:rPr>
        <w:t xml:space="preserve">, 116(40), pp. 19894–19898. doi:10.1073/pnas.1910157116. </w:t>
      </w:r>
    </w:p>
    <w:p w14:paraId="3E613A6C" w14:textId="77777777" w:rsidR="00F71F30" w:rsidRPr="009C2951" w:rsidRDefault="00F71F30" w:rsidP="000B7EDC">
      <w:pPr>
        <w:pStyle w:val="NormalWeb"/>
        <w:ind w:left="567" w:hanging="567"/>
        <w:rPr>
          <w:rFonts w:ascii="Arial" w:hAnsi="Arial" w:cs="Arial"/>
          <w:sz w:val="22"/>
          <w:szCs w:val="22"/>
        </w:rPr>
      </w:pPr>
      <w:proofErr w:type="spellStart"/>
      <w:r w:rsidRPr="009C2951">
        <w:rPr>
          <w:rFonts w:ascii="Arial" w:hAnsi="Arial" w:cs="Arial"/>
          <w:sz w:val="22"/>
          <w:szCs w:val="22"/>
        </w:rPr>
        <w:t>Ponizovsky</w:t>
      </w:r>
      <w:proofErr w:type="spellEnd"/>
      <w:r w:rsidRPr="009C2951">
        <w:rPr>
          <w:rFonts w:ascii="Arial" w:hAnsi="Arial" w:cs="Arial"/>
          <w:sz w:val="22"/>
          <w:szCs w:val="22"/>
        </w:rPr>
        <w:t xml:space="preserve">-Bergelson, Y. </w:t>
      </w:r>
      <w:r w:rsidRPr="009C2951">
        <w:rPr>
          <w:rFonts w:ascii="Arial" w:hAnsi="Arial" w:cs="Arial"/>
          <w:i/>
          <w:iCs/>
          <w:sz w:val="22"/>
          <w:szCs w:val="22"/>
        </w:rPr>
        <w:t>et al.</w:t>
      </w:r>
      <w:r w:rsidRPr="009C2951">
        <w:rPr>
          <w:rFonts w:ascii="Arial" w:hAnsi="Arial" w:cs="Arial"/>
          <w:sz w:val="22"/>
          <w:szCs w:val="22"/>
        </w:rPr>
        <w:t xml:space="preserve"> (2019b) ‘A qualitative interview with young children: What encourages or inhibits young children’s participation?’, </w:t>
      </w:r>
      <w:r w:rsidRPr="009C2951">
        <w:rPr>
          <w:rFonts w:ascii="Arial" w:hAnsi="Arial" w:cs="Arial"/>
          <w:i/>
          <w:iCs/>
          <w:sz w:val="22"/>
          <w:szCs w:val="22"/>
        </w:rPr>
        <w:t>International Journal of Qualitative Methods</w:t>
      </w:r>
      <w:r w:rsidRPr="009C2951">
        <w:rPr>
          <w:rFonts w:ascii="Arial" w:hAnsi="Arial" w:cs="Arial"/>
          <w:sz w:val="22"/>
          <w:szCs w:val="22"/>
        </w:rPr>
        <w:t xml:space="preserve">, 18, p. 160940691984051. doi:10.1177/1609406919840516. </w:t>
      </w:r>
    </w:p>
    <w:p w14:paraId="330B2291" w14:textId="77777777" w:rsidR="00F71F30" w:rsidRPr="00CB74EA" w:rsidRDefault="00F71F30" w:rsidP="00CB74EA">
      <w:pPr>
        <w:pStyle w:val="NormalWeb"/>
        <w:ind w:left="567" w:hanging="567"/>
      </w:pPr>
      <w:r>
        <w:t xml:space="preserve">Pooley, K. (2020) </w:t>
      </w:r>
      <w:r>
        <w:rPr>
          <w:i/>
          <w:iCs/>
        </w:rPr>
        <w:t>What are the characteristics of effective youth offender programs?</w:t>
      </w:r>
      <w:r>
        <w:t xml:space="preserve"> Canberra, ACT: Australian Institute of Criminology. </w:t>
      </w:r>
    </w:p>
    <w:p w14:paraId="4D39ECA4" w14:textId="77777777" w:rsidR="00F71F30" w:rsidRDefault="00F71F30" w:rsidP="00C1720F">
      <w:pPr>
        <w:pStyle w:val="NormalWeb"/>
        <w:ind w:left="567" w:hanging="567"/>
      </w:pPr>
      <w:r>
        <w:t xml:space="preserve">Porro, C. (2021) ‘Criminal blame, exclusion and moral dialogue’, </w:t>
      </w:r>
      <w:r>
        <w:rPr>
          <w:i/>
          <w:iCs/>
        </w:rPr>
        <w:t>Criminal Law and Philosophy</w:t>
      </w:r>
      <w:r>
        <w:t xml:space="preserve">, 15(2), pp. 223–235. doi:10.1007/s11572-021-09563-y. </w:t>
      </w:r>
    </w:p>
    <w:p w14:paraId="423832DC" w14:textId="77777777" w:rsidR="00F71F30" w:rsidRDefault="00F71F30" w:rsidP="00A065F0">
      <w:pPr>
        <w:pStyle w:val="NormalWeb"/>
        <w:ind w:left="567" w:hanging="567"/>
      </w:pPr>
      <w:r>
        <w:t xml:space="preserve">Pyle, N. </w:t>
      </w:r>
      <w:r>
        <w:rPr>
          <w:i/>
          <w:iCs/>
        </w:rPr>
        <w:t>et al.</w:t>
      </w:r>
      <w:r>
        <w:t xml:space="preserve"> (2019) ‘Social risk factors of institutionalized juvenile offenders: A systematic review’, </w:t>
      </w:r>
      <w:r>
        <w:rPr>
          <w:i/>
          <w:iCs/>
        </w:rPr>
        <w:t>Adolescent Research Review</w:t>
      </w:r>
      <w:r>
        <w:t xml:space="preserve">, 5(2), pp. 173–186. doi:10.1007/s40894-019-00120-2. </w:t>
      </w:r>
    </w:p>
    <w:p w14:paraId="0103EF41" w14:textId="77777777" w:rsidR="00F71F30" w:rsidRDefault="00F71F30" w:rsidP="004829E8">
      <w:pPr>
        <w:pStyle w:val="NormalWeb"/>
        <w:ind w:left="567" w:hanging="567"/>
      </w:pPr>
      <w:proofErr w:type="spellStart"/>
      <w:r>
        <w:t>Rıos</w:t>
      </w:r>
      <w:proofErr w:type="spellEnd"/>
      <w:r>
        <w:t xml:space="preserve">, V. and Ferguson, C.J. (2019) ‘News media coverage of crime and violent drug crime: A case for cause or catalyst?’, </w:t>
      </w:r>
      <w:r>
        <w:rPr>
          <w:i/>
          <w:iCs/>
        </w:rPr>
        <w:t>Justice Quarterly</w:t>
      </w:r>
      <w:r>
        <w:t>, 37(6), pp. 1012–1039. doi:10.1080/07418825.2018.1561925.</w:t>
      </w:r>
    </w:p>
    <w:p w14:paraId="0EFE2F1D" w14:textId="77777777" w:rsidR="00F71F30" w:rsidRPr="009C2951" w:rsidRDefault="00F71F30" w:rsidP="007A4075">
      <w:pPr>
        <w:pStyle w:val="NormalWeb"/>
        <w:ind w:left="567" w:hanging="567"/>
        <w:rPr>
          <w:rFonts w:ascii="Arial" w:hAnsi="Arial" w:cs="Arial"/>
          <w:sz w:val="22"/>
          <w:szCs w:val="22"/>
        </w:rPr>
      </w:pPr>
      <w:r w:rsidRPr="009C2951">
        <w:rPr>
          <w:rFonts w:ascii="Arial" w:hAnsi="Arial" w:cs="Arial"/>
          <w:sz w:val="22"/>
          <w:szCs w:val="22"/>
        </w:rPr>
        <w:lastRenderedPageBreak/>
        <w:t xml:space="preserve">Rossini, P. </w:t>
      </w:r>
      <w:r w:rsidRPr="009C2951">
        <w:rPr>
          <w:rFonts w:ascii="Arial" w:hAnsi="Arial" w:cs="Arial"/>
          <w:i/>
          <w:iCs/>
          <w:sz w:val="22"/>
          <w:szCs w:val="22"/>
        </w:rPr>
        <w:t>et al.</w:t>
      </w:r>
      <w:r w:rsidRPr="009C2951">
        <w:rPr>
          <w:rFonts w:ascii="Arial" w:hAnsi="Arial" w:cs="Arial"/>
          <w:sz w:val="22"/>
          <w:szCs w:val="22"/>
        </w:rPr>
        <w:t xml:space="preserve"> (2020) ‘Dysfunctional information sharing on WhatsApp and Facebook: The role of political talk, cross-cutting exposure and social corrections’, </w:t>
      </w:r>
      <w:r w:rsidRPr="009C2951">
        <w:rPr>
          <w:rFonts w:ascii="Arial" w:hAnsi="Arial" w:cs="Arial"/>
          <w:i/>
          <w:iCs/>
          <w:sz w:val="22"/>
          <w:szCs w:val="22"/>
        </w:rPr>
        <w:t>New Media &amp;amp; Society</w:t>
      </w:r>
      <w:r w:rsidRPr="009C2951">
        <w:rPr>
          <w:rFonts w:ascii="Arial" w:hAnsi="Arial" w:cs="Arial"/>
          <w:sz w:val="22"/>
          <w:szCs w:val="22"/>
        </w:rPr>
        <w:t xml:space="preserve">, 23(8), pp. 2430–2451. doi:10.1177/1461444820928059. </w:t>
      </w:r>
    </w:p>
    <w:p w14:paraId="48621C3D" w14:textId="77777777" w:rsidR="00F71F30" w:rsidRDefault="00F71F30" w:rsidP="000A428B">
      <w:pPr>
        <w:pStyle w:val="NormalWeb"/>
        <w:ind w:left="567" w:hanging="567"/>
      </w:pPr>
      <w:r>
        <w:t xml:space="preserve">Saladino, V. </w:t>
      </w:r>
      <w:r>
        <w:rPr>
          <w:i/>
          <w:iCs/>
        </w:rPr>
        <w:t>et al.</w:t>
      </w:r>
      <w:r>
        <w:t xml:space="preserve"> (2021) ‘The vicious cycle: Problematic family relations, Substance Abuse, and crime in adolescence: A narrative review’, </w:t>
      </w:r>
      <w:r>
        <w:rPr>
          <w:i/>
          <w:iCs/>
        </w:rPr>
        <w:t>Frontiers in Psychology</w:t>
      </w:r>
      <w:r>
        <w:t xml:space="preserve">, 12. doi:10.3389/fpsyg.2021.673954. </w:t>
      </w:r>
    </w:p>
    <w:p w14:paraId="76E2380C" w14:textId="77777777" w:rsidR="00F71F30" w:rsidRPr="009C2951" w:rsidRDefault="00F71F30" w:rsidP="00AC52B5">
      <w:pPr>
        <w:pStyle w:val="NormalWeb"/>
        <w:ind w:left="567" w:hanging="567"/>
        <w:rPr>
          <w:rFonts w:ascii="Arial" w:hAnsi="Arial" w:cs="Arial"/>
          <w:sz w:val="22"/>
          <w:szCs w:val="22"/>
        </w:rPr>
      </w:pPr>
      <w:r w:rsidRPr="009C2951">
        <w:rPr>
          <w:rFonts w:ascii="Arial" w:hAnsi="Arial" w:cs="Arial"/>
          <w:sz w:val="22"/>
          <w:szCs w:val="22"/>
        </w:rPr>
        <w:t xml:space="preserve">Schmiedeberg, C. and Schröder, J. (2023) ‘Did you like the interview? interviewer effects on respondents’ interview pleasantness ratings’, </w:t>
      </w:r>
      <w:r w:rsidRPr="009C2951">
        <w:rPr>
          <w:rFonts w:ascii="Arial" w:hAnsi="Arial" w:cs="Arial"/>
          <w:i/>
          <w:iCs/>
          <w:sz w:val="22"/>
          <w:szCs w:val="22"/>
        </w:rPr>
        <w:t>Field Methods</w:t>
      </w:r>
      <w:r w:rsidRPr="009C2951">
        <w:rPr>
          <w:rFonts w:ascii="Arial" w:hAnsi="Arial" w:cs="Arial"/>
          <w:sz w:val="22"/>
          <w:szCs w:val="22"/>
        </w:rPr>
        <w:t xml:space="preserve">, 36(1), pp. 21–36. doi:10.1177/1525822x231209251. </w:t>
      </w:r>
    </w:p>
    <w:p w14:paraId="5F8D0B76" w14:textId="77777777" w:rsidR="00F71F30" w:rsidRPr="009C2951" w:rsidRDefault="00F71F30" w:rsidP="00AC52B5">
      <w:pPr>
        <w:pStyle w:val="NormalWeb"/>
        <w:ind w:left="567" w:hanging="567"/>
        <w:rPr>
          <w:rFonts w:ascii="Arial" w:hAnsi="Arial" w:cs="Arial"/>
          <w:sz w:val="22"/>
          <w:szCs w:val="22"/>
        </w:rPr>
      </w:pPr>
      <w:r w:rsidRPr="009C2951">
        <w:rPr>
          <w:rFonts w:ascii="Arial" w:hAnsi="Arial" w:cs="Arial"/>
          <w:sz w:val="22"/>
          <w:szCs w:val="22"/>
        </w:rPr>
        <w:t xml:space="preserve">Shannon, I. (2022) </w:t>
      </w:r>
      <w:r w:rsidRPr="009C2951">
        <w:rPr>
          <w:rFonts w:ascii="Arial" w:hAnsi="Arial" w:cs="Arial"/>
          <w:i/>
          <w:iCs/>
          <w:sz w:val="22"/>
          <w:szCs w:val="22"/>
        </w:rPr>
        <w:t>Chief police officers’ stories of legitimacy power, protection, consent and Control</w:t>
      </w:r>
      <w:r w:rsidRPr="009C2951">
        <w:rPr>
          <w:rFonts w:ascii="Arial" w:hAnsi="Arial" w:cs="Arial"/>
          <w:sz w:val="22"/>
          <w:szCs w:val="22"/>
        </w:rPr>
        <w:t>, pp 124-173. Cham: Springer International Publishing, Imprint: Palgrave Macmillan.</w:t>
      </w:r>
    </w:p>
    <w:p w14:paraId="40FD854F" w14:textId="77777777" w:rsidR="00F71F30" w:rsidRDefault="00F71F30" w:rsidP="00C53049">
      <w:pPr>
        <w:pStyle w:val="NormalWeb"/>
        <w:ind w:left="567" w:hanging="567"/>
      </w:pPr>
      <w:r>
        <w:t xml:space="preserve">Shin, S.Y. and Watson, B.R. (2022) ‘Trial by </w:t>
      </w:r>
      <w:proofErr w:type="gramStart"/>
      <w:r>
        <w:t>media?:</w:t>
      </w:r>
      <w:proofErr w:type="gramEnd"/>
      <w:r>
        <w:t xml:space="preserve"> Media use, fear of crime, and attitudes toward police’, </w:t>
      </w:r>
      <w:r>
        <w:rPr>
          <w:i/>
          <w:iCs/>
        </w:rPr>
        <w:t>Journalism Practice</w:t>
      </w:r>
      <w:r>
        <w:t xml:space="preserve">, 18(4), pp. 1015–1036. doi:10.1080/17512786.2022.2055624. </w:t>
      </w:r>
    </w:p>
    <w:p w14:paraId="58F00090" w14:textId="77777777" w:rsidR="00F71F30" w:rsidRDefault="00F71F30" w:rsidP="00C1720F">
      <w:pPr>
        <w:pStyle w:val="NormalWeb"/>
        <w:ind w:left="567" w:hanging="567"/>
      </w:pPr>
      <w:r>
        <w:t xml:space="preserve">Solove, D.J. and Schwartz, P.M. (2021) </w:t>
      </w:r>
      <w:r>
        <w:rPr>
          <w:i/>
          <w:iCs/>
        </w:rPr>
        <w:t>Information privacy law</w:t>
      </w:r>
      <w:r>
        <w:t xml:space="preserve">. New York: Wolters Kluwer. </w:t>
      </w:r>
    </w:p>
    <w:p w14:paraId="0A527E7D" w14:textId="77777777" w:rsidR="00F71F30" w:rsidRPr="009C2951" w:rsidRDefault="00F71F30" w:rsidP="009C2951">
      <w:pPr>
        <w:pStyle w:val="NormalWeb"/>
        <w:ind w:left="567" w:hanging="567"/>
        <w:rPr>
          <w:rFonts w:ascii="Arial" w:hAnsi="Arial" w:cs="Arial"/>
          <w:sz w:val="22"/>
          <w:szCs w:val="22"/>
        </w:rPr>
      </w:pPr>
      <w:r w:rsidRPr="009C2951">
        <w:rPr>
          <w:rFonts w:ascii="Arial" w:hAnsi="Arial" w:cs="Arial"/>
          <w:sz w:val="22"/>
          <w:szCs w:val="22"/>
        </w:rPr>
        <w:t xml:space="preserve">Strang, H. </w:t>
      </w:r>
      <w:r w:rsidRPr="009C2951">
        <w:rPr>
          <w:rFonts w:ascii="Arial" w:hAnsi="Arial" w:cs="Arial"/>
          <w:i/>
          <w:iCs/>
          <w:sz w:val="22"/>
          <w:szCs w:val="22"/>
        </w:rPr>
        <w:t>et al.</w:t>
      </w:r>
      <w:r w:rsidRPr="009C2951">
        <w:rPr>
          <w:rFonts w:ascii="Arial" w:hAnsi="Arial" w:cs="Arial"/>
          <w:sz w:val="22"/>
          <w:szCs w:val="22"/>
        </w:rPr>
        <w:t xml:space="preserve"> (2013) ‘Restorative justice conferencing (RJC) using face</w:t>
      </w:r>
      <w:r w:rsidRPr="009C2951">
        <w:rPr>
          <w:rFonts w:ascii="Cambria Math" w:hAnsi="Cambria Math" w:cs="Cambria Math"/>
          <w:sz w:val="22"/>
          <w:szCs w:val="22"/>
        </w:rPr>
        <w:t>‐</w:t>
      </w:r>
      <w:r w:rsidRPr="009C2951">
        <w:rPr>
          <w:rFonts w:ascii="Arial" w:hAnsi="Arial" w:cs="Arial"/>
          <w:sz w:val="22"/>
          <w:szCs w:val="22"/>
        </w:rPr>
        <w:t>to</w:t>
      </w:r>
      <w:r w:rsidRPr="009C2951">
        <w:rPr>
          <w:rFonts w:ascii="Cambria Math" w:hAnsi="Cambria Math" w:cs="Cambria Math"/>
          <w:sz w:val="22"/>
          <w:szCs w:val="22"/>
        </w:rPr>
        <w:t>‐</w:t>
      </w:r>
      <w:r w:rsidRPr="009C2951">
        <w:rPr>
          <w:rFonts w:ascii="Arial" w:hAnsi="Arial" w:cs="Arial"/>
          <w:sz w:val="22"/>
          <w:szCs w:val="22"/>
        </w:rPr>
        <w:t xml:space="preserve">face meetings of offenders and victims: Effects on offender recidivism and victim satisfaction. A systematic review’, </w:t>
      </w:r>
      <w:r w:rsidRPr="009C2951">
        <w:rPr>
          <w:rFonts w:ascii="Arial" w:hAnsi="Arial" w:cs="Arial"/>
          <w:i/>
          <w:iCs/>
          <w:sz w:val="22"/>
          <w:szCs w:val="22"/>
        </w:rPr>
        <w:t>Campbell Systematic Reviews</w:t>
      </w:r>
      <w:r w:rsidRPr="009C2951">
        <w:rPr>
          <w:rFonts w:ascii="Arial" w:hAnsi="Arial" w:cs="Arial"/>
          <w:sz w:val="22"/>
          <w:szCs w:val="22"/>
        </w:rPr>
        <w:t xml:space="preserve">, 9(1), pp. 1–59. doi:10.4073/csr.2013.12. </w:t>
      </w:r>
    </w:p>
    <w:p w14:paraId="19CB43A6" w14:textId="77777777" w:rsidR="00F71F30" w:rsidRDefault="00F71F30" w:rsidP="00F419B0">
      <w:pPr>
        <w:pStyle w:val="NormalWeb"/>
        <w:ind w:left="567" w:hanging="567"/>
      </w:pPr>
      <w:r>
        <w:t xml:space="preserve">Vooren, M. </w:t>
      </w:r>
      <w:r>
        <w:rPr>
          <w:i/>
          <w:iCs/>
        </w:rPr>
        <w:t>et al.</w:t>
      </w:r>
      <w:r>
        <w:t xml:space="preserve"> (2022) ‘The effects of a restorative justice programme (HALT) on Educational Outcomes and recidivism of young people’, </w:t>
      </w:r>
      <w:r>
        <w:rPr>
          <w:i/>
          <w:iCs/>
        </w:rPr>
        <w:t>Journal of Experimental Criminology</w:t>
      </w:r>
      <w:r>
        <w:t xml:space="preserve">, 19(3), pp. 691–711. doi:10.1007/s11292-022-09502-4. </w:t>
      </w:r>
    </w:p>
    <w:p w14:paraId="25EF00A9" w14:textId="77777777" w:rsidR="00F71F30" w:rsidRPr="009C2951" w:rsidRDefault="00F71F30" w:rsidP="007A4075">
      <w:pPr>
        <w:pStyle w:val="NormalWeb"/>
        <w:ind w:left="567" w:hanging="567"/>
        <w:rPr>
          <w:rFonts w:ascii="Arial" w:hAnsi="Arial" w:cs="Arial"/>
          <w:sz w:val="22"/>
          <w:szCs w:val="22"/>
        </w:rPr>
      </w:pPr>
      <w:r w:rsidRPr="009C2951">
        <w:rPr>
          <w:rFonts w:ascii="Arial" w:hAnsi="Arial" w:cs="Arial"/>
          <w:sz w:val="22"/>
          <w:szCs w:val="22"/>
        </w:rPr>
        <w:t xml:space="preserve">Walsh, J.P. and O’Connor, C. (2018) ‘Social Media and Policing: A review of recent research’, </w:t>
      </w:r>
      <w:r w:rsidRPr="009C2951">
        <w:rPr>
          <w:rFonts w:ascii="Arial" w:hAnsi="Arial" w:cs="Arial"/>
          <w:i/>
          <w:iCs/>
          <w:sz w:val="22"/>
          <w:szCs w:val="22"/>
        </w:rPr>
        <w:t>Sociology Compass</w:t>
      </w:r>
      <w:r w:rsidRPr="009C2951">
        <w:rPr>
          <w:rFonts w:ascii="Arial" w:hAnsi="Arial" w:cs="Arial"/>
          <w:sz w:val="22"/>
          <w:szCs w:val="22"/>
        </w:rPr>
        <w:t xml:space="preserve">, 13(1). doi:10.1111/soc4.12648. </w:t>
      </w:r>
    </w:p>
    <w:p w14:paraId="5CF92690" w14:textId="77777777" w:rsidR="00F71F30" w:rsidRPr="009C2951" w:rsidRDefault="00F71F30" w:rsidP="000B7EDC">
      <w:pPr>
        <w:pStyle w:val="NormalWeb"/>
        <w:ind w:left="567" w:hanging="567"/>
        <w:rPr>
          <w:rFonts w:ascii="Arial" w:hAnsi="Arial" w:cs="Arial"/>
          <w:sz w:val="22"/>
          <w:szCs w:val="22"/>
        </w:rPr>
      </w:pPr>
      <w:r w:rsidRPr="009C2951">
        <w:rPr>
          <w:rFonts w:ascii="Arial" w:hAnsi="Arial" w:cs="Arial"/>
          <w:sz w:val="22"/>
          <w:szCs w:val="22"/>
        </w:rPr>
        <w:t xml:space="preserve">Waterhouse, G.F. </w:t>
      </w:r>
      <w:r w:rsidRPr="009C2951">
        <w:rPr>
          <w:rFonts w:ascii="Arial" w:hAnsi="Arial" w:cs="Arial"/>
          <w:i/>
          <w:iCs/>
          <w:sz w:val="22"/>
          <w:szCs w:val="22"/>
        </w:rPr>
        <w:t>et al.</w:t>
      </w:r>
      <w:r w:rsidRPr="009C2951">
        <w:rPr>
          <w:rFonts w:ascii="Arial" w:hAnsi="Arial" w:cs="Arial"/>
          <w:sz w:val="22"/>
          <w:szCs w:val="22"/>
        </w:rPr>
        <w:t xml:space="preserve"> (2023) ‘Rapport</w:t>
      </w:r>
      <w:r w:rsidRPr="009C2951">
        <w:rPr>
          <w:rFonts w:ascii="Cambria Math" w:hAnsi="Cambria Math" w:cs="Cambria Math"/>
          <w:sz w:val="22"/>
          <w:szCs w:val="22"/>
        </w:rPr>
        <w:t>‐</w:t>
      </w:r>
      <w:r w:rsidRPr="009C2951">
        <w:rPr>
          <w:rFonts w:ascii="Arial" w:hAnsi="Arial" w:cs="Arial"/>
          <w:sz w:val="22"/>
          <w:szCs w:val="22"/>
        </w:rPr>
        <w:t xml:space="preserve">building in multiple interviews of children’, </w:t>
      </w:r>
      <w:r w:rsidRPr="009C2951">
        <w:rPr>
          <w:rFonts w:ascii="Arial" w:hAnsi="Arial" w:cs="Arial"/>
          <w:i/>
          <w:iCs/>
          <w:sz w:val="22"/>
          <w:szCs w:val="22"/>
        </w:rPr>
        <w:t>Applied Cognitive Psychology</w:t>
      </w:r>
      <w:r w:rsidRPr="009C2951">
        <w:rPr>
          <w:rFonts w:ascii="Arial" w:hAnsi="Arial" w:cs="Arial"/>
          <w:sz w:val="22"/>
          <w:szCs w:val="22"/>
        </w:rPr>
        <w:t xml:space="preserve">, 37(6), pp. 1210–1222. doi:10.1002/acp.4116. </w:t>
      </w:r>
    </w:p>
    <w:p w14:paraId="5D4953FA" w14:textId="77777777" w:rsidR="00F71F30" w:rsidRDefault="00F71F30" w:rsidP="00F419B0">
      <w:pPr>
        <w:pStyle w:val="NormalWeb"/>
        <w:ind w:left="567" w:hanging="567"/>
      </w:pPr>
      <w:r>
        <w:t xml:space="preserve">Willis, R. (2018) ‘“let’s talk about it”: Why social class matters to restorative justice’, </w:t>
      </w:r>
      <w:r>
        <w:rPr>
          <w:i/>
          <w:iCs/>
        </w:rPr>
        <w:t>Criminology &amp;amp; Criminal Justice</w:t>
      </w:r>
      <w:r>
        <w:t xml:space="preserve">, 20(2), pp. 187–206. doi:10.1177/1748895818804307. </w:t>
      </w:r>
    </w:p>
    <w:p w14:paraId="61278CB6" w14:textId="77777777" w:rsidR="00F71F30" w:rsidRDefault="00F71F30" w:rsidP="009B26FA">
      <w:pPr>
        <w:pStyle w:val="NormalWeb"/>
        <w:ind w:left="567" w:hanging="567"/>
      </w:pPr>
      <w:r>
        <w:t xml:space="preserve">Yeager, M.G. and Chappelle, M. (2021) ‘Restorative justice: The feasibility of alternative models of Justice’, </w:t>
      </w:r>
      <w:r>
        <w:rPr>
          <w:i/>
          <w:iCs/>
        </w:rPr>
        <w:t>Contemporary Justice Review</w:t>
      </w:r>
      <w:r>
        <w:t xml:space="preserve">, 25(1), pp. 122–140. doi:10.1080/10282580.2021.2009816. </w:t>
      </w:r>
    </w:p>
    <w:p w14:paraId="454E1BBA" w14:textId="77777777" w:rsidR="00F71F30" w:rsidRPr="009C2951" w:rsidRDefault="00F71F30" w:rsidP="005870FF">
      <w:pPr>
        <w:pStyle w:val="NormalWeb"/>
        <w:ind w:left="567" w:hanging="567"/>
        <w:rPr>
          <w:rFonts w:ascii="Arial" w:hAnsi="Arial" w:cs="Arial"/>
          <w:sz w:val="22"/>
          <w:szCs w:val="22"/>
        </w:rPr>
      </w:pPr>
      <w:proofErr w:type="spellStart"/>
      <w:r w:rsidRPr="009C2951">
        <w:rPr>
          <w:rFonts w:ascii="Arial" w:hAnsi="Arial" w:cs="Arial"/>
          <w:sz w:val="22"/>
          <w:szCs w:val="22"/>
        </w:rPr>
        <w:t>Yesberg</w:t>
      </w:r>
      <w:proofErr w:type="spellEnd"/>
      <w:r w:rsidRPr="009C2951">
        <w:rPr>
          <w:rFonts w:ascii="Arial" w:hAnsi="Arial" w:cs="Arial"/>
          <w:sz w:val="22"/>
          <w:szCs w:val="22"/>
        </w:rPr>
        <w:t xml:space="preserve">, J., Brunton-Smith, I. and Bradford, B. (2021) ‘Police visibility, trust in police fairness, and collective efficacy: A multilevel structural equation model’, </w:t>
      </w:r>
      <w:r w:rsidRPr="009C2951">
        <w:rPr>
          <w:rFonts w:ascii="Arial" w:hAnsi="Arial" w:cs="Arial"/>
          <w:i/>
          <w:iCs/>
          <w:sz w:val="22"/>
          <w:szCs w:val="22"/>
        </w:rPr>
        <w:t>European Journal of Criminology</w:t>
      </w:r>
      <w:r w:rsidRPr="009C2951">
        <w:rPr>
          <w:rFonts w:ascii="Arial" w:hAnsi="Arial" w:cs="Arial"/>
          <w:sz w:val="22"/>
          <w:szCs w:val="22"/>
        </w:rPr>
        <w:t xml:space="preserve">, 20(2), pp. 712–737. doi:10.1177/14773708211035306. </w:t>
      </w:r>
    </w:p>
    <w:sectPr w:rsidR="00F71F30" w:rsidRPr="009C29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F49CA" w14:textId="77777777" w:rsidR="003A3E59" w:rsidRDefault="003A3E59" w:rsidP="002814EC">
      <w:pPr>
        <w:spacing w:after="0" w:line="240" w:lineRule="auto"/>
      </w:pPr>
      <w:r>
        <w:separator/>
      </w:r>
    </w:p>
  </w:endnote>
  <w:endnote w:type="continuationSeparator" w:id="0">
    <w:p w14:paraId="22F9CE20" w14:textId="77777777" w:rsidR="003A3E59" w:rsidRDefault="003A3E59" w:rsidP="00281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A8BC5" w14:textId="77777777" w:rsidR="003A3E59" w:rsidRDefault="003A3E59" w:rsidP="002814EC">
      <w:pPr>
        <w:spacing w:after="0" w:line="240" w:lineRule="auto"/>
      </w:pPr>
      <w:r>
        <w:separator/>
      </w:r>
    </w:p>
  </w:footnote>
  <w:footnote w:type="continuationSeparator" w:id="0">
    <w:p w14:paraId="14D490F7" w14:textId="77777777" w:rsidR="003A3E59" w:rsidRDefault="003A3E59" w:rsidP="00281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F1485"/>
    <w:multiLevelType w:val="multilevel"/>
    <w:tmpl w:val="CDBC5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540FC"/>
    <w:multiLevelType w:val="multilevel"/>
    <w:tmpl w:val="7ED2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4F21CE"/>
    <w:multiLevelType w:val="multilevel"/>
    <w:tmpl w:val="2C90F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E31FD"/>
    <w:multiLevelType w:val="multilevel"/>
    <w:tmpl w:val="F81A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2473C1"/>
    <w:multiLevelType w:val="multilevel"/>
    <w:tmpl w:val="FA7C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50471C"/>
    <w:multiLevelType w:val="multilevel"/>
    <w:tmpl w:val="83CEE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8F0043"/>
    <w:multiLevelType w:val="multilevel"/>
    <w:tmpl w:val="82FC6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9964007">
    <w:abstractNumId w:val="4"/>
  </w:num>
  <w:num w:numId="2" w16cid:durableId="867568096">
    <w:abstractNumId w:val="1"/>
  </w:num>
  <w:num w:numId="3" w16cid:durableId="349139587">
    <w:abstractNumId w:val="2"/>
  </w:num>
  <w:num w:numId="4" w16cid:durableId="1169908005">
    <w:abstractNumId w:val="5"/>
  </w:num>
  <w:num w:numId="5" w16cid:durableId="2033264374">
    <w:abstractNumId w:val="0"/>
  </w:num>
  <w:num w:numId="6" w16cid:durableId="1125855034">
    <w:abstractNumId w:val="3"/>
  </w:num>
  <w:num w:numId="7" w16cid:durableId="20514878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55A"/>
    <w:rsid w:val="000149EA"/>
    <w:rsid w:val="0002487A"/>
    <w:rsid w:val="0003626F"/>
    <w:rsid w:val="00086A85"/>
    <w:rsid w:val="000903EA"/>
    <w:rsid w:val="000A428B"/>
    <w:rsid w:val="000B0ACA"/>
    <w:rsid w:val="000B2D0E"/>
    <w:rsid w:val="000B7EDC"/>
    <w:rsid w:val="000C3452"/>
    <w:rsid w:val="000E3482"/>
    <w:rsid w:val="000E3AC3"/>
    <w:rsid w:val="000F02D3"/>
    <w:rsid w:val="000F14E9"/>
    <w:rsid w:val="0016336D"/>
    <w:rsid w:val="0017191E"/>
    <w:rsid w:val="00194D09"/>
    <w:rsid w:val="001C4676"/>
    <w:rsid w:val="001F3581"/>
    <w:rsid w:val="00262CB6"/>
    <w:rsid w:val="00265A70"/>
    <w:rsid w:val="002814EC"/>
    <w:rsid w:val="00282AFA"/>
    <w:rsid w:val="00285C29"/>
    <w:rsid w:val="00292A6F"/>
    <w:rsid w:val="002968B3"/>
    <w:rsid w:val="002973F4"/>
    <w:rsid w:val="002B2DE6"/>
    <w:rsid w:val="002B45A2"/>
    <w:rsid w:val="002B6C91"/>
    <w:rsid w:val="002E4E2C"/>
    <w:rsid w:val="00313E9A"/>
    <w:rsid w:val="00317559"/>
    <w:rsid w:val="003256B4"/>
    <w:rsid w:val="0033715D"/>
    <w:rsid w:val="003500AC"/>
    <w:rsid w:val="00352C70"/>
    <w:rsid w:val="00392A04"/>
    <w:rsid w:val="00397E4B"/>
    <w:rsid w:val="003A3E59"/>
    <w:rsid w:val="003C022A"/>
    <w:rsid w:val="003C5924"/>
    <w:rsid w:val="003C5BA9"/>
    <w:rsid w:val="003D382D"/>
    <w:rsid w:val="00400A9C"/>
    <w:rsid w:val="00406D48"/>
    <w:rsid w:val="00467F45"/>
    <w:rsid w:val="00472D20"/>
    <w:rsid w:val="004829E8"/>
    <w:rsid w:val="004E1917"/>
    <w:rsid w:val="004F7117"/>
    <w:rsid w:val="004F7EDE"/>
    <w:rsid w:val="00505CBE"/>
    <w:rsid w:val="00533EA4"/>
    <w:rsid w:val="005809C4"/>
    <w:rsid w:val="005870FF"/>
    <w:rsid w:val="005B70A7"/>
    <w:rsid w:val="005C0609"/>
    <w:rsid w:val="005D20CA"/>
    <w:rsid w:val="005E4030"/>
    <w:rsid w:val="005E57D0"/>
    <w:rsid w:val="00601EF0"/>
    <w:rsid w:val="006112B6"/>
    <w:rsid w:val="00634924"/>
    <w:rsid w:val="00647983"/>
    <w:rsid w:val="0065261A"/>
    <w:rsid w:val="006A0ED9"/>
    <w:rsid w:val="006D0191"/>
    <w:rsid w:val="006E3DB0"/>
    <w:rsid w:val="00700891"/>
    <w:rsid w:val="0070346C"/>
    <w:rsid w:val="00717AA7"/>
    <w:rsid w:val="00724F6E"/>
    <w:rsid w:val="00726166"/>
    <w:rsid w:val="00736AA9"/>
    <w:rsid w:val="00737677"/>
    <w:rsid w:val="00746FBE"/>
    <w:rsid w:val="00780EA7"/>
    <w:rsid w:val="00791E79"/>
    <w:rsid w:val="007A3E5C"/>
    <w:rsid w:val="007A4075"/>
    <w:rsid w:val="008013F3"/>
    <w:rsid w:val="0081234E"/>
    <w:rsid w:val="008249BB"/>
    <w:rsid w:val="00824A05"/>
    <w:rsid w:val="00843B0A"/>
    <w:rsid w:val="00886801"/>
    <w:rsid w:val="008A1C7E"/>
    <w:rsid w:val="008A513D"/>
    <w:rsid w:val="008B06A1"/>
    <w:rsid w:val="008D3833"/>
    <w:rsid w:val="008E029E"/>
    <w:rsid w:val="0090217F"/>
    <w:rsid w:val="00924489"/>
    <w:rsid w:val="0093399C"/>
    <w:rsid w:val="009546F9"/>
    <w:rsid w:val="009639F3"/>
    <w:rsid w:val="0099242B"/>
    <w:rsid w:val="00994C86"/>
    <w:rsid w:val="00996276"/>
    <w:rsid w:val="009A2350"/>
    <w:rsid w:val="009B26FA"/>
    <w:rsid w:val="009C1AD8"/>
    <w:rsid w:val="009C2951"/>
    <w:rsid w:val="009C5C3F"/>
    <w:rsid w:val="009C6A1A"/>
    <w:rsid w:val="009C7BED"/>
    <w:rsid w:val="009D29C4"/>
    <w:rsid w:val="00A065F0"/>
    <w:rsid w:val="00A3771C"/>
    <w:rsid w:val="00A411B7"/>
    <w:rsid w:val="00A42E15"/>
    <w:rsid w:val="00A5078F"/>
    <w:rsid w:val="00A60B00"/>
    <w:rsid w:val="00A64303"/>
    <w:rsid w:val="00A71093"/>
    <w:rsid w:val="00A77C15"/>
    <w:rsid w:val="00A97D74"/>
    <w:rsid w:val="00A97FC4"/>
    <w:rsid w:val="00AB7D25"/>
    <w:rsid w:val="00AC52B5"/>
    <w:rsid w:val="00AD4BC4"/>
    <w:rsid w:val="00AE3F76"/>
    <w:rsid w:val="00B37FC2"/>
    <w:rsid w:val="00B52DC7"/>
    <w:rsid w:val="00B5757C"/>
    <w:rsid w:val="00B67920"/>
    <w:rsid w:val="00B916CC"/>
    <w:rsid w:val="00B9630C"/>
    <w:rsid w:val="00BA0C56"/>
    <w:rsid w:val="00BB1009"/>
    <w:rsid w:val="00BC1CB8"/>
    <w:rsid w:val="00BF3324"/>
    <w:rsid w:val="00C036B5"/>
    <w:rsid w:val="00C06DB3"/>
    <w:rsid w:val="00C1720F"/>
    <w:rsid w:val="00C36CBF"/>
    <w:rsid w:val="00C41366"/>
    <w:rsid w:val="00C444C6"/>
    <w:rsid w:val="00C44834"/>
    <w:rsid w:val="00C47971"/>
    <w:rsid w:val="00C516A1"/>
    <w:rsid w:val="00C52952"/>
    <w:rsid w:val="00C53049"/>
    <w:rsid w:val="00C55102"/>
    <w:rsid w:val="00C669A8"/>
    <w:rsid w:val="00C67F8E"/>
    <w:rsid w:val="00C738B7"/>
    <w:rsid w:val="00C83375"/>
    <w:rsid w:val="00C846A1"/>
    <w:rsid w:val="00CA5954"/>
    <w:rsid w:val="00CA6B21"/>
    <w:rsid w:val="00CB74EA"/>
    <w:rsid w:val="00D002D1"/>
    <w:rsid w:val="00D0697D"/>
    <w:rsid w:val="00D43AEF"/>
    <w:rsid w:val="00D90CC7"/>
    <w:rsid w:val="00D962AF"/>
    <w:rsid w:val="00D96C7C"/>
    <w:rsid w:val="00DB4976"/>
    <w:rsid w:val="00DD38EB"/>
    <w:rsid w:val="00DD450F"/>
    <w:rsid w:val="00DE10DA"/>
    <w:rsid w:val="00E02837"/>
    <w:rsid w:val="00E05EAD"/>
    <w:rsid w:val="00E1255A"/>
    <w:rsid w:val="00E26282"/>
    <w:rsid w:val="00E40AB2"/>
    <w:rsid w:val="00E47DBE"/>
    <w:rsid w:val="00E61C1C"/>
    <w:rsid w:val="00E767F8"/>
    <w:rsid w:val="00E848DE"/>
    <w:rsid w:val="00E95E2E"/>
    <w:rsid w:val="00EA1DAC"/>
    <w:rsid w:val="00EC21F5"/>
    <w:rsid w:val="00EC5F0F"/>
    <w:rsid w:val="00ED0986"/>
    <w:rsid w:val="00F11CA4"/>
    <w:rsid w:val="00F150D7"/>
    <w:rsid w:val="00F224DA"/>
    <w:rsid w:val="00F419B0"/>
    <w:rsid w:val="00F44019"/>
    <w:rsid w:val="00F46AAE"/>
    <w:rsid w:val="00F71F30"/>
    <w:rsid w:val="00F77221"/>
    <w:rsid w:val="00FA289D"/>
    <w:rsid w:val="00FA29B0"/>
    <w:rsid w:val="00FA61BB"/>
    <w:rsid w:val="00FB2F7D"/>
    <w:rsid w:val="00FC2E1E"/>
    <w:rsid w:val="00FD2BAE"/>
    <w:rsid w:val="00FF7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264B6"/>
  <w15:chartTrackingRefBased/>
  <w15:docId w15:val="{0184C331-3CA9-44A8-91F5-4596F993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2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F35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C444C6"/>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255A"/>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0B0ACA"/>
    <w:rPr>
      <w:color w:val="0000FF"/>
      <w:u w:val="single"/>
    </w:rPr>
  </w:style>
  <w:style w:type="paragraph" w:styleId="NormalWeb">
    <w:name w:val="Normal (Web)"/>
    <w:basedOn w:val="Normal"/>
    <w:uiPriority w:val="99"/>
    <w:unhideWhenUsed/>
    <w:rsid w:val="000B0A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96C7C"/>
    <w:rPr>
      <w:b/>
      <w:bCs/>
    </w:rPr>
  </w:style>
  <w:style w:type="paragraph" w:customStyle="1" w:styleId="phrase">
    <w:name w:val="phrase"/>
    <w:basedOn w:val="Normal"/>
    <w:rsid w:val="00D96C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visually-hidden">
    <w:name w:val="visually-hidden"/>
    <w:basedOn w:val="DefaultParagraphFont"/>
    <w:rsid w:val="00C444C6"/>
  </w:style>
  <w:style w:type="character" w:customStyle="1" w:styleId="Heading5Char">
    <w:name w:val="Heading 5 Char"/>
    <w:basedOn w:val="DefaultParagraphFont"/>
    <w:link w:val="Heading5"/>
    <w:uiPriority w:val="9"/>
    <w:rsid w:val="00C444C6"/>
    <w:rPr>
      <w:rFonts w:ascii="Times New Roman" w:eastAsia="Times New Roman" w:hAnsi="Times New Roman" w:cs="Times New Roman"/>
      <w:b/>
      <w:bCs/>
      <w:kern w:val="0"/>
      <w:sz w:val="20"/>
      <w:szCs w:val="20"/>
      <w:lang w:eastAsia="en-GB"/>
      <w14:ligatures w14:val="none"/>
    </w:rPr>
  </w:style>
  <w:style w:type="character" w:customStyle="1" w:styleId="Heading1Char">
    <w:name w:val="Heading 1 Char"/>
    <w:basedOn w:val="DefaultParagraphFont"/>
    <w:link w:val="Heading1"/>
    <w:uiPriority w:val="9"/>
    <w:rsid w:val="00D962AF"/>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71093"/>
    <w:rPr>
      <w:color w:val="954F72" w:themeColor="followedHyperlink"/>
      <w:u w:val="single"/>
    </w:rPr>
  </w:style>
  <w:style w:type="paragraph" w:styleId="Header">
    <w:name w:val="header"/>
    <w:basedOn w:val="Normal"/>
    <w:link w:val="HeaderChar"/>
    <w:uiPriority w:val="99"/>
    <w:unhideWhenUsed/>
    <w:rsid w:val="00281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4EC"/>
  </w:style>
  <w:style w:type="paragraph" w:styleId="Footer">
    <w:name w:val="footer"/>
    <w:basedOn w:val="Normal"/>
    <w:link w:val="FooterChar"/>
    <w:uiPriority w:val="99"/>
    <w:unhideWhenUsed/>
    <w:rsid w:val="00281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4EC"/>
  </w:style>
  <w:style w:type="character" w:styleId="Emphasis">
    <w:name w:val="Emphasis"/>
    <w:basedOn w:val="DefaultParagraphFont"/>
    <w:uiPriority w:val="20"/>
    <w:qFormat/>
    <w:rsid w:val="00C036B5"/>
    <w:rPr>
      <w:i/>
      <w:iCs/>
    </w:rPr>
  </w:style>
  <w:style w:type="character" w:styleId="UnresolvedMention">
    <w:name w:val="Unresolved Mention"/>
    <w:basedOn w:val="DefaultParagraphFont"/>
    <w:uiPriority w:val="99"/>
    <w:semiHidden/>
    <w:unhideWhenUsed/>
    <w:rsid w:val="000903EA"/>
    <w:rPr>
      <w:color w:val="605E5C"/>
      <w:shd w:val="clear" w:color="auto" w:fill="E1DFDD"/>
    </w:rPr>
  </w:style>
  <w:style w:type="character" w:customStyle="1" w:styleId="ls8">
    <w:name w:val="ls8"/>
    <w:basedOn w:val="DefaultParagraphFont"/>
    <w:rsid w:val="00265A70"/>
  </w:style>
  <w:style w:type="character" w:customStyle="1" w:styleId="ff3">
    <w:name w:val="ff3"/>
    <w:basedOn w:val="DefaultParagraphFont"/>
    <w:rsid w:val="00265A70"/>
  </w:style>
  <w:style w:type="character" w:customStyle="1" w:styleId="citation">
    <w:name w:val="citation"/>
    <w:basedOn w:val="DefaultParagraphFont"/>
    <w:rsid w:val="009C5C3F"/>
  </w:style>
  <w:style w:type="character" w:customStyle="1" w:styleId="citation-title">
    <w:name w:val="citation-title"/>
    <w:basedOn w:val="DefaultParagraphFont"/>
    <w:rsid w:val="009C5C3F"/>
  </w:style>
  <w:style w:type="character" w:customStyle="1" w:styleId="pubyear">
    <w:name w:val="pubyear"/>
    <w:basedOn w:val="DefaultParagraphFont"/>
    <w:rsid w:val="009C5C3F"/>
  </w:style>
  <w:style w:type="character" w:customStyle="1" w:styleId="Heading3Char">
    <w:name w:val="Heading 3 Char"/>
    <w:basedOn w:val="DefaultParagraphFont"/>
    <w:link w:val="Heading3"/>
    <w:uiPriority w:val="9"/>
    <w:rsid w:val="001F3581"/>
    <w:rPr>
      <w:rFonts w:asciiTheme="majorHAnsi" w:eastAsiaTheme="majorEastAsia" w:hAnsiTheme="majorHAnsi" w:cstheme="majorBidi"/>
      <w:color w:val="1F3763" w:themeColor="accent1" w:themeShade="7F"/>
      <w:sz w:val="24"/>
      <w:szCs w:val="24"/>
    </w:rPr>
  </w:style>
  <w:style w:type="character" w:customStyle="1" w:styleId="date">
    <w:name w:val="date"/>
    <w:basedOn w:val="DefaultParagraphFont"/>
    <w:rsid w:val="00F71F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86658">
      <w:bodyDiv w:val="1"/>
      <w:marLeft w:val="0"/>
      <w:marRight w:val="0"/>
      <w:marTop w:val="0"/>
      <w:marBottom w:val="0"/>
      <w:divBdr>
        <w:top w:val="none" w:sz="0" w:space="0" w:color="auto"/>
        <w:left w:val="none" w:sz="0" w:space="0" w:color="auto"/>
        <w:bottom w:val="none" w:sz="0" w:space="0" w:color="auto"/>
        <w:right w:val="none" w:sz="0" w:space="0" w:color="auto"/>
      </w:divBdr>
    </w:div>
    <w:div w:id="61107247">
      <w:bodyDiv w:val="1"/>
      <w:marLeft w:val="0"/>
      <w:marRight w:val="0"/>
      <w:marTop w:val="0"/>
      <w:marBottom w:val="0"/>
      <w:divBdr>
        <w:top w:val="none" w:sz="0" w:space="0" w:color="auto"/>
        <w:left w:val="none" w:sz="0" w:space="0" w:color="auto"/>
        <w:bottom w:val="none" w:sz="0" w:space="0" w:color="auto"/>
        <w:right w:val="none" w:sz="0" w:space="0" w:color="auto"/>
      </w:divBdr>
    </w:div>
    <w:div w:id="63721221">
      <w:bodyDiv w:val="1"/>
      <w:marLeft w:val="0"/>
      <w:marRight w:val="0"/>
      <w:marTop w:val="0"/>
      <w:marBottom w:val="0"/>
      <w:divBdr>
        <w:top w:val="none" w:sz="0" w:space="0" w:color="auto"/>
        <w:left w:val="none" w:sz="0" w:space="0" w:color="auto"/>
        <w:bottom w:val="none" w:sz="0" w:space="0" w:color="auto"/>
        <w:right w:val="none" w:sz="0" w:space="0" w:color="auto"/>
      </w:divBdr>
    </w:div>
    <w:div w:id="74666068">
      <w:bodyDiv w:val="1"/>
      <w:marLeft w:val="0"/>
      <w:marRight w:val="0"/>
      <w:marTop w:val="0"/>
      <w:marBottom w:val="0"/>
      <w:divBdr>
        <w:top w:val="none" w:sz="0" w:space="0" w:color="auto"/>
        <w:left w:val="none" w:sz="0" w:space="0" w:color="auto"/>
        <w:bottom w:val="none" w:sz="0" w:space="0" w:color="auto"/>
        <w:right w:val="none" w:sz="0" w:space="0" w:color="auto"/>
      </w:divBdr>
    </w:div>
    <w:div w:id="98529801">
      <w:bodyDiv w:val="1"/>
      <w:marLeft w:val="0"/>
      <w:marRight w:val="0"/>
      <w:marTop w:val="0"/>
      <w:marBottom w:val="0"/>
      <w:divBdr>
        <w:top w:val="none" w:sz="0" w:space="0" w:color="auto"/>
        <w:left w:val="none" w:sz="0" w:space="0" w:color="auto"/>
        <w:bottom w:val="none" w:sz="0" w:space="0" w:color="auto"/>
        <w:right w:val="none" w:sz="0" w:space="0" w:color="auto"/>
      </w:divBdr>
    </w:div>
    <w:div w:id="136529843">
      <w:bodyDiv w:val="1"/>
      <w:marLeft w:val="0"/>
      <w:marRight w:val="0"/>
      <w:marTop w:val="0"/>
      <w:marBottom w:val="0"/>
      <w:divBdr>
        <w:top w:val="none" w:sz="0" w:space="0" w:color="auto"/>
        <w:left w:val="none" w:sz="0" w:space="0" w:color="auto"/>
        <w:bottom w:val="none" w:sz="0" w:space="0" w:color="auto"/>
        <w:right w:val="none" w:sz="0" w:space="0" w:color="auto"/>
      </w:divBdr>
    </w:div>
    <w:div w:id="142814513">
      <w:bodyDiv w:val="1"/>
      <w:marLeft w:val="0"/>
      <w:marRight w:val="0"/>
      <w:marTop w:val="0"/>
      <w:marBottom w:val="0"/>
      <w:divBdr>
        <w:top w:val="none" w:sz="0" w:space="0" w:color="auto"/>
        <w:left w:val="none" w:sz="0" w:space="0" w:color="auto"/>
        <w:bottom w:val="none" w:sz="0" w:space="0" w:color="auto"/>
        <w:right w:val="none" w:sz="0" w:space="0" w:color="auto"/>
      </w:divBdr>
    </w:div>
    <w:div w:id="149295108">
      <w:bodyDiv w:val="1"/>
      <w:marLeft w:val="0"/>
      <w:marRight w:val="0"/>
      <w:marTop w:val="0"/>
      <w:marBottom w:val="0"/>
      <w:divBdr>
        <w:top w:val="none" w:sz="0" w:space="0" w:color="auto"/>
        <w:left w:val="none" w:sz="0" w:space="0" w:color="auto"/>
        <w:bottom w:val="none" w:sz="0" w:space="0" w:color="auto"/>
        <w:right w:val="none" w:sz="0" w:space="0" w:color="auto"/>
      </w:divBdr>
    </w:div>
    <w:div w:id="150215319">
      <w:bodyDiv w:val="1"/>
      <w:marLeft w:val="0"/>
      <w:marRight w:val="0"/>
      <w:marTop w:val="0"/>
      <w:marBottom w:val="0"/>
      <w:divBdr>
        <w:top w:val="none" w:sz="0" w:space="0" w:color="auto"/>
        <w:left w:val="none" w:sz="0" w:space="0" w:color="auto"/>
        <w:bottom w:val="none" w:sz="0" w:space="0" w:color="auto"/>
        <w:right w:val="none" w:sz="0" w:space="0" w:color="auto"/>
      </w:divBdr>
    </w:div>
    <w:div w:id="154493669">
      <w:bodyDiv w:val="1"/>
      <w:marLeft w:val="0"/>
      <w:marRight w:val="0"/>
      <w:marTop w:val="0"/>
      <w:marBottom w:val="0"/>
      <w:divBdr>
        <w:top w:val="none" w:sz="0" w:space="0" w:color="auto"/>
        <w:left w:val="none" w:sz="0" w:space="0" w:color="auto"/>
        <w:bottom w:val="none" w:sz="0" w:space="0" w:color="auto"/>
        <w:right w:val="none" w:sz="0" w:space="0" w:color="auto"/>
      </w:divBdr>
    </w:div>
    <w:div w:id="155079099">
      <w:bodyDiv w:val="1"/>
      <w:marLeft w:val="0"/>
      <w:marRight w:val="0"/>
      <w:marTop w:val="0"/>
      <w:marBottom w:val="0"/>
      <w:divBdr>
        <w:top w:val="none" w:sz="0" w:space="0" w:color="auto"/>
        <w:left w:val="none" w:sz="0" w:space="0" w:color="auto"/>
        <w:bottom w:val="none" w:sz="0" w:space="0" w:color="auto"/>
        <w:right w:val="none" w:sz="0" w:space="0" w:color="auto"/>
      </w:divBdr>
    </w:div>
    <w:div w:id="156657780">
      <w:bodyDiv w:val="1"/>
      <w:marLeft w:val="0"/>
      <w:marRight w:val="0"/>
      <w:marTop w:val="0"/>
      <w:marBottom w:val="0"/>
      <w:divBdr>
        <w:top w:val="none" w:sz="0" w:space="0" w:color="auto"/>
        <w:left w:val="none" w:sz="0" w:space="0" w:color="auto"/>
        <w:bottom w:val="none" w:sz="0" w:space="0" w:color="auto"/>
        <w:right w:val="none" w:sz="0" w:space="0" w:color="auto"/>
      </w:divBdr>
    </w:div>
    <w:div w:id="161552760">
      <w:bodyDiv w:val="1"/>
      <w:marLeft w:val="0"/>
      <w:marRight w:val="0"/>
      <w:marTop w:val="0"/>
      <w:marBottom w:val="0"/>
      <w:divBdr>
        <w:top w:val="none" w:sz="0" w:space="0" w:color="auto"/>
        <w:left w:val="none" w:sz="0" w:space="0" w:color="auto"/>
        <w:bottom w:val="none" w:sz="0" w:space="0" w:color="auto"/>
        <w:right w:val="none" w:sz="0" w:space="0" w:color="auto"/>
      </w:divBdr>
    </w:div>
    <w:div w:id="185411395">
      <w:bodyDiv w:val="1"/>
      <w:marLeft w:val="0"/>
      <w:marRight w:val="0"/>
      <w:marTop w:val="0"/>
      <w:marBottom w:val="0"/>
      <w:divBdr>
        <w:top w:val="none" w:sz="0" w:space="0" w:color="auto"/>
        <w:left w:val="none" w:sz="0" w:space="0" w:color="auto"/>
        <w:bottom w:val="none" w:sz="0" w:space="0" w:color="auto"/>
        <w:right w:val="none" w:sz="0" w:space="0" w:color="auto"/>
      </w:divBdr>
    </w:div>
    <w:div w:id="212040961">
      <w:bodyDiv w:val="1"/>
      <w:marLeft w:val="0"/>
      <w:marRight w:val="0"/>
      <w:marTop w:val="0"/>
      <w:marBottom w:val="0"/>
      <w:divBdr>
        <w:top w:val="none" w:sz="0" w:space="0" w:color="auto"/>
        <w:left w:val="none" w:sz="0" w:space="0" w:color="auto"/>
        <w:bottom w:val="none" w:sz="0" w:space="0" w:color="auto"/>
        <w:right w:val="none" w:sz="0" w:space="0" w:color="auto"/>
      </w:divBdr>
    </w:div>
    <w:div w:id="266737883">
      <w:bodyDiv w:val="1"/>
      <w:marLeft w:val="0"/>
      <w:marRight w:val="0"/>
      <w:marTop w:val="0"/>
      <w:marBottom w:val="0"/>
      <w:divBdr>
        <w:top w:val="none" w:sz="0" w:space="0" w:color="auto"/>
        <w:left w:val="none" w:sz="0" w:space="0" w:color="auto"/>
        <w:bottom w:val="none" w:sz="0" w:space="0" w:color="auto"/>
        <w:right w:val="none" w:sz="0" w:space="0" w:color="auto"/>
      </w:divBdr>
    </w:div>
    <w:div w:id="267541608">
      <w:bodyDiv w:val="1"/>
      <w:marLeft w:val="0"/>
      <w:marRight w:val="0"/>
      <w:marTop w:val="0"/>
      <w:marBottom w:val="0"/>
      <w:divBdr>
        <w:top w:val="none" w:sz="0" w:space="0" w:color="auto"/>
        <w:left w:val="none" w:sz="0" w:space="0" w:color="auto"/>
        <w:bottom w:val="none" w:sz="0" w:space="0" w:color="auto"/>
        <w:right w:val="none" w:sz="0" w:space="0" w:color="auto"/>
      </w:divBdr>
    </w:div>
    <w:div w:id="316880501">
      <w:bodyDiv w:val="1"/>
      <w:marLeft w:val="0"/>
      <w:marRight w:val="0"/>
      <w:marTop w:val="0"/>
      <w:marBottom w:val="0"/>
      <w:divBdr>
        <w:top w:val="none" w:sz="0" w:space="0" w:color="auto"/>
        <w:left w:val="none" w:sz="0" w:space="0" w:color="auto"/>
        <w:bottom w:val="none" w:sz="0" w:space="0" w:color="auto"/>
        <w:right w:val="none" w:sz="0" w:space="0" w:color="auto"/>
      </w:divBdr>
    </w:div>
    <w:div w:id="320503050">
      <w:bodyDiv w:val="1"/>
      <w:marLeft w:val="0"/>
      <w:marRight w:val="0"/>
      <w:marTop w:val="0"/>
      <w:marBottom w:val="0"/>
      <w:divBdr>
        <w:top w:val="none" w:sz="0" w:space="0" w:color="auto"/>
        <w:left w:val="none" w:sz="0" w:space="0" w:color="auto"/>
        <w:bottom w:val="none" w:sz="0" w:space="0" w:color="auto"/>
        <w:right w:val="none" w:sz="0" w:space="0" w:color="auto"/>
      </w:divBdr>
    </w:div>
    <w:div w:id="342321019">
      <w:bodyDiv w:val="1"/>
      <w:marLeft w:val="0"/>
      <w:marRight w:val="0"/>
      <w:marTop w:val="0"/>
      <w:marBottom w:val="0"/>
      <w:divBdr>
        <w:top w:val="none" w:sz="0" w:space="0" w:color="auto"/>
        <w:left w:val="none" w:sz="0" w:space="0" w:color="auto"/>
        <w:bottom w:val="none" w:sz="0" w:space="0" w:color="auto"/>
        <w:right w:val="none" w:sz="0" w:space="0" w:color="auto"/>
      </w:divBdr>
    </w:div>
    <w:div w:id="393699199">
      <w:bodyDiv w:val="1"/>
      <w:marLeft w:val="0"/>
      <w:marRight w:val="0"/>
      <w:marTop w:val="0"/>
      <w:marBottom w:val="0"/>
      <w:divBdr>
        <w:top w:val="none" w:sz="0" w:space="0" w:color="auto"/>
        <w:left w:val="none" w:sz="0" w:space="0" w:color="auto"/>
        <w:bottom w:val="none" w:sz="0" w:space="0" w:color="auto"/>
        <w:right w:val="none" w:sz="0" w:space="0" w:color="auto"/>
      </w:divBdr>
    </w:div>
    <w:div w:id="403331973">
      <w:bodyDiv w:val="1"/>
      <w:marLeft w:val="0"/>
      <w:marRight w:val="0"/>
      <w:marTop w:val="0"/>
      <w:marBottom w:val="0"/>
      <w:divBdr>
        <w:top w:val="none" w:sz="0" w:space="0" w:color="auto"/>
        <w:left w:val="none" w:sz="0" w:space="0" w:color="auto"/>
        <w:bottom w:val="none" w:sz="0" w:space="0" w:color="auto"/>
        <w:right w:val="none" w:sz="0" w:space="0" w:color="auto"/>
      </w:divBdr>
    </w:div>
    <w:div w:id="422460555">
      <w:bodyDiv w:val="1"/>
      <w:marLeft w:val="0"/>
      <w:marRight w:val="0"/>
      <w:marTop w:val="0"/>
      <w:marBottom w:val="0"/>
      <w:divBdr>
        <w:top w:val="none" w:sz="0" w:space="0" w:color="auto"/>
        <w:left w:val="none" w:sz="0" w:space="0" w:color="auto"/>
        <w:bottom w:val="none" w:sz="0" w:space="0" w:color="auto"/>
        <w:right w:val="none" w:sz="0" w:space="0" w:color="auto"/>
      </w:divBdr>
    </w:div>
    <w:div w:id="429355049">
      <w:bodyDiv w:val="1"/>
      <w:marLeft w:val="0"/>
      <w:marRight w:val="0"/>
      <w:marTop w:val="0"/>
      <w:marBottom w:val="0"/>
      <w:divBdr>
        <w:top w:val="none" w:sz="0" w:space="0" w:color="auto"/>
        <w:left w:val="none" w:sz="0" w:space="0" w:color="auto"/>
        <w:bottom w:val="none" w:sz="0" w:space="0" w:color="auto"/>
        <w:right w:val="none" w:sz="0" w:space="0" w:color="auto"/>
      </w:divBdr>
    </w:div>
    <w:div w:id="433021478">
      <w:bodyDiv w:val="1"/>
      <w:marLeft w:val="0"/>
      <w:marRight w:val="0"/>
      <w:marTop w:val="0"/>
      <w:marBottom w:val="0"/>
      <w:divBdr>
        <w:top w:val="none" w:sz="0" w:space="0" w:color="auto"/>
        <w:left w:val="none" w:sz="0" w:space="0" w:color="auto"/>
        <w:bottom w:val="none" w:sz="0" w:space="0" w:color="auto"/>
        <w:right w:val="none" w:sz="0" w:space="0" w:color="auto"/>
      </w:divBdr>
    </w:div>
    <w:div w:id="433792370">
      <w:bodyDiv w:val="1"/>
      <w:marLeft w:val="0"/>
      <w:marRight w:val="0"/>
      <w:marTop w:val="0"/>
      <w:marBottom w:val="0"/>
      <w:divBdr>
        <w:top w:val="none" w:sz="0" w:space="0" w:color="auto"/>
        <w:left w:val="none" w:sz="0" w:space="0" w:color="auto"/>
        <w:bottom w:val="none" w:sz="0" w:space="0" w:color="auto"/>
        <w:right w:val="none" w:sz="0" w:space="0" w:color="auto"/>
      </w:divBdr>
    </w:div>
    <w:div w:id="434716801">
      <w:bodyDiv w:val="1"/>
      <w:marLeft w:val="0"/>
      <w:marRight w:val="0"/>
      <w:marTop w:val="0"/>
      <w:marBottom w:val="0"/>
      <w:divBdr>
        <w:top w:val="none" w:sz="0" w:space="0" w:color="auto"/>
        <w:left w:val="none" w:sz="0" w:space="0" w:color="auto"/>
        <w:bottom w:val="none" w:sz="0" w:space="0" w:color="auto"/>
        <w:right w:val="none" w:sz="0" w:space="0" w:color="auto"/>
      </w:divBdr>
    </w:div>
    <w:div w:id="468212590">
      <w:bodyDiv w:val="1"/>
      <w:marLeft w:val="0"/>
      <w:marRight w:val="0"/>
      <w:marTop w:val="0"/>
      <w:marBottom w:val="0"/>
      <w:divBdr>
        <w:top w:val="none" w:sz="0" w:space="0" w:color="auto"/>
        <w:left w:val="none" w:sz="0" w:space="0" w:color="auto"/>
        <w:bottom w:val="none" w:sz="0" w:space="0" w:color="auto"/>
        <w:right w:val="none" w:sz="0" w:space="0" w:color="auto"/>
      </w:divBdr>
    </w:div>
    <w:div w:id="491876828">
      <w:bodyDiv w:val="1"/>
      <w:marLeft w:val="0"/>
      <w:marRight w:val="0"/>
      <w:marTop w:val="0"/>
      <w:marBottom w:val="0"/>
      <w:divBdr>
        <w:top w:val="none" w:sz="0" w:space="0" w:color="auto"/>
        <w:left w:val="none" w:sz="0" w:space="0" w:color="auto"/>
        <w:bottom w:val="none" w:sz="0" w:space="0" w:color="auto"/>
        <w:right w:val="none" w:sz="0" w:space="0" w:color="auto"/>
      </w:divBdr>
    </w:div>
    <w:div w:id="496112119">
      <w:bodyDiv w:val="1"/>
      <w:marLeft w:val="0"/>
      <w:marRight w:val="0"/>
      <w:marTop w:val="0"/>
      <w:marBottom w:val="0"/>
      <w:divBdr>
        <w:top w:val="none" w:sz="0" w:space="0" w:color="auto"/>
        <w:left w:val="none" w:sz="0" w:space="0" w:color="auto"/>
        <w:bottom w:val="none" w:sz="0" w:space="0" w:color="auto"/>
        <w:right w:val="none" w:sz="0" w:space="0" w:color="auto"/>
      </w:divBdr>
    </w:div>
    <w:div w:id="504518103">
      <w:bodyDiv w:val="1"/>
      <w:marLeft w:val="0"/>
      <w:marRight w:val="0"/>
      <w:marTop w:val="0"/>
      <w:marBottom w:val="0"/>
      <w:divBdr>
        <w:top w:val="none" w:sz="0" w:space="0" w:color="auto"/>
        <w:left w:val="none" w:sz="0" w:space="0" w:color="auto"/>
        <w:bottom w:val="none" w:sz="0" w:space="0" w:color="auto"/>
        <w:right w:val="none" w:sz="0" w:space="0" w:color="auto"/>
      </w:divBdr>
    </w:div>
    <w:div w:id="527648528">
      <w:bodyDiv w:val="1"/>
      <w:marLeft w:val="0"/>
      <w:marRight w:val="0"/>
      <w:marTop w:val="0"/>
      <w:marBottom w:val="0"/>
      <w:divBdr>
        <w:top w:val="none" w:sz="0" w:space="0" w:color="auto"/>
        <w:left w:val="none" w:sz="0" w:space="0" w:color="auto"/>
        <w:bottom w:val="none" w:sz="0" w:space="0" w:color="auto"/>
        <w:right w:val="none" w:sz="0" w:space="0" w:color="auto"/>
      </w:divBdr>
    </w:div>
    <w:div w:id="544947186">
      <w:bodyDiv w:val="1"/>
      <w:marLeft w:val="0"/>
      <w:marRight w:val="0"/>
      <w:marTop w:val="0"/>
      <w:marBottom w:val="0"/>
      <w:divBdr>
        <w:top w:val="none" w:sz="0" w:space="0" w:color="auto"/>
        <w:left w:val="none" w:sz="0" w:space="0" w:color="auto"/>
        <w:bottom w:val="none" w:sz="0" w:space="0" w:color="auto"/>
        <w:right w:val="none" w:sz="0" w:space="0" w:color="auto"/>
      </w:divBdr>
    </w:div>
    <w:div w:id="546844223">
      <w:bodyDiv w:val="1"/>
      <w:marLeft w:val="0"/>
      <w:marRight w:val="0"/>
      <w:marTop w:val="0"/>
      <w:marBottom w:val="0"/>
      <w:divBdr>
        <w:top w:val="none" w:sz="0" w:space="0" w:color="auto"/>
        <w:left w:val="none" w:sz="0" w:space="0" w:color="auto"/>
        <w:bottom w:val="none" w:sz="0" w:space="0" w:color="auto"/>
        <w:right w:val="none" w:sz="0" w:space="0" w:color="auto"/>
      </w:divBdr>
    </w:div>
    <w:div w:id="549808766">
      <w:bodyDiv w:val="1"/>
      <w:marLeft w:val="0"/>
      <w:marRight w:val="0"/>
      <w:marTop w:val="0"/>
      <w:marBottom w:val="0"/>
      <w:divBdr>
        <w:top w:val="none" w:sz="0" w:space="0" w:color="auto"/>
        <w:left w:val="none" w:sz="0" w:space="0" w:color="auto"/>
        <w:bottom w:val="none" w:sz="0" w:space="0" w:color="auto"/>
        <w:right w:val="none" w:sz="0" w:space="0" w:color="auto"/>
      </w:divBdr>
    </w:div>
    <w:div w:id="576284741">
      <w:bodyDiv w:val="1"/>
      <w:marLeft w:val="0"/>
      <w:marRight w:val="0"/>
      <w:marTop w:val="0"/>
      <w:marBottom w:val="0"/>
      <w:divBdr>
        <w:top w:val="none" w:sz="0" w:space="0" w:color="auto"/>
        <w:left w:val="none" w:sz="0" w:space="0" w:color="auto"/>
        <w:bottom w:val="none" w:sz="0" w:space="0" w:color="auto"/>
        <w:right w:val="none" w:sz="0" w:space="0" w:color="auto"/>
      </w:divBdr>
    </w:div>
    <w:div w:id="626281082">
      <w:bodyDiv w:val="1"/>
      <w:marLeft w:val="0"/>
      <w:marRight w:val="0"/>
      <w:marTop w:val="0"/>
      <w:marBottom w:val="0"/>
      <w:divBdr>
        <w:top w:val="none" w:sz="0" w:space="0" w:color="auto"/>
        <w:left w:val="none" w:sz="0" w:space="0" w:color="auto"/>
        <w:bottom w:val="none" w:sz="0" w:space="0" w:color="auto"/>
        <w:right w:val="none" w:sz="0" w:space="0" w:color="auto"/>
      </w:divBdr>
      <w:divsChild>
        <w:div w:id="1901399736">
          <w:marLeft w:val="0"/>
          <w:marRight w:val="0"/>
          <w:marTop w:val="0"/>
          <w:marBottom w:val="0"/>
          <w:divBdr>
            <w:top w:val="none" w:sz="0" w:space="0" w:color="auto"/>
            <w:left w:val="none" w:sz="0" w:space="0" w:color="auto"/>
            <w:bottom w:val="none" w:sz="0" w:space="0" w:color="auto"/>
            <w:right w:val="none" w:sz="0" w:space="0" w:color="auto"/>
          </w:divBdr>
          <w:divsChild>
            <w:div w:id="52363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08347">
      <w:bodyDiv w:val="1"/>
      <w:marLeft w:val="0"/>
      <w:marRight w:val="0"/>
      <w:marTop w:val="0"/>
      <w:marBottom w:val="0"/>
      <w:divBdr>
        <w:top w:val="none" w:sz="0" w:space="0" w:color="auto"/>
        <w:left w:val="none" w:sz="0" w:space="0" w:color="auto"/>
        <w:bottom w:val="none" w:sz="0" w:space="0" w:color="auto"/>
        <w:right w:val="none" w:sz="0" w:space="0" w:color="auto"/>
      </w:divBdr>
    </w:div>
    <w:div w:id="649599695">
      <w:bodyDiv w:val="1"/>
      <w:marLeft w:val="0"/>
      <w:marRight w:val="0"/>
      <w:marTop w:val="0"/>
      <w:marBottom w:val="0"/>
      <w:divBdr>
        <w:top w:val="none" w:sz="0" w:space="0" w:color="auto"/>
        <w:left w:val="none" w:sz="0" w:space="0" w:color="auto"/>
        <w:bottom w:val="none" w:sz="0" w:space="0" w:color="auto"/>
        <w:right w:val="none" w:sz="0" w:space="0" w:color="auto"/>
      </w:divBdr>
    </w:div>
    <w:div w:id="701438241">
      <w:bodyDiv w:val="1"/>
      <w:marLeft w:val="0"/>
      <w:marRight w:val="0"/>
      <w:marTop w:val="0"/>
      <w:marBottom w:val="0"/>
      <w:divBdr>
        <w:top w:val="none" w:sz="0" w:space="0" w:color="auto"/>
        <w:left w:val="none" w:sz="0" w:space="0" w:color="auto"/>
        <w:bottom w:val="none" w:sz="0" w:space="0" w:color="auto"/>
        <w:right w:val="none" w:sz="0" w:space="0" w:color="auto"/>
      </w:divBdr>
    </w:div>
    <w:div w:id="703478684">
      <w:bodyDiv w:val="1"/>
      <w:marLeft w:val="0"/>
      <w:marRight w:val="0"/>
      <w:marTop w:val="0"/>
      <w:marBottom w:val="0"/>
      <w:divBdr>
        <w:top w:val="none" w:sz="0" w:space="0" w:color="auto"/>
        <w:left w:val="none" w:sz="0" w:space="0" w:color="auto"/>
        <w:bottom w:val="none" w:sz="0" w:space="0" w:color="auto"/>
        <w:right w:val="none" w:sz="0" w:space="0" w:color="auto"/>
      </w:divBdr>
    </w:div>
    <w:div w:id="714812006">
      <w:bodyDiv w:val="1"/>
      <w:marLeft w:val="0"/>
      <w:marRight w:val="0"/>
      <w:marTop w:val="0"/>
      <w:marBottom w:val="0"/>
      <w:divBdr>
        <w:top w:val="none" w:sz="0" w:space="0" w:color="auto"/>
        <w:left w:val="none" w:sz="0" w:space="0" w:color="auto"/>
        <w:bottom w:val="none" w:sz="0" w:space="0" w:color="auto"/>
        <w:right w:val="none" w:sz="0" w:space="0" w:color="auto"/>
      </w:divBdr>
    </w:div>
    <w:div w:id="743256977">
      <w:bodyDiv w:val="1"/>
      <w:marLeft w:val="0"/>
      <w:marRight w:val="0"/>
      <w:marTop w:val="0"/>
      <w:marBottom w:val="0"/>
      <w:divBdr>
        <w:top w:val="none" w:sz="0" w:space="0" w:color="auto"/>
        <w:left w:val="none" w:sz="0" w:space="0" w:color="auto"/>
        <w:bottom w:val="none" w:sz="0" w:space="0" w:color="auto"/>
        <w:right w:val="none" w:sz="0" w:space="0" w:color="auto"/>
      </w:divBdr>
    </w:div>
    <w:div w:id="749892873">
      <w:bodyDiv w:val="1"/>
      <w:marLeft w:val="0"/>
      <w:marRight w:val="0"/>
      <w:marTop w:val="0"/>
      <w:marBottom w:val="0"/>
      <w:divBdr>
        <w:top w:val="none" w:sz="0" w:space="0" w:color="auto"/>
        <w:left w:val="none" w:sz="0" w:space="0" w:color="auto"/>
        <w:bottom w:val="none" w:sz="0" w:space="0" w:color="auto"/>
        <w:right w:val="none" w:sz="0" w:space="0" w:color="auto"/>
      </w:divBdr>
    </w:div>
    <w:div w:id="759177200">
      <w:bodyDiv w:val="1"/>
      <w:marLeft w:val="0"/>
      <w:marRight w:val="0"/>
      <w:marTop w:val="0"/>
      <w:marBottom w:val="0"/>
      <w:divBdr>
        <w:top w:val="none" w:sz="0" w:space="0" w:color="auto"/>
        <w:left w:val="none" w:sz="0" w:space="0" w:color="auto"/>
        <w:bottom w:val="none" w:sz="0" w:space="0" w:color="auto"/>
        <w:right w:val="none" w:sz="0" w:space="0" w:color="auto"/>
      </w:divBdr>
    </w:div>
    <w:div w:id="770510848">
      <w:bodyDiv w:val="1"/>
      <w:marLeft w:val="0"/>
      <w:marRight w:val="0"/>
      <w:marTop w:val="0"/>
      <w:marBottom w:val="0"/>
      <w:divBdr>
        <w:top w:val="none" w:sz="0" w:space="0" w:color="auto"/>
        <w:left w:val="none" w:sz="0" w:space="0" w:color="auto"/>
        <w:bottom w:val="none" w:sz="0" w:space="0" w:color="auto"/>
        <w:right w:val="none" w:sz="0" w:space="0" w:color="auto"/>
      </w:divBdr>
    </w:div>
    <w:div w:id="805047041">
      <w:bodyDiv w:val="1"/>
      <w:marLeft w:val="0"/>
      <w:marRight w:val="0"/>
      <w:marTop w:val="0"/>
      <w:marBottom w:val="0"/>
      <w:divBdr>
        <w:top w:val="none" w:sz="0" w:space="0" w:color="auto"/>
        <w:left w:val="none" w:sz="0" w:space="0" w:color="auto"/>
        <w:bottom w:val="none" w:sz="0" w:space="0" w:color="auto"/>
        <w:right w:val="none" w:sz="0" w:space="0" w:color="auto"/>
      </w:divBdr>
    </w:div>
    <w:div w:id="807163693">
      <w:bodyDiv w:val="1"/>
      <w:marLeft w:val="0"/>
      <w:marRight w:val="0"/>
      <w:marTop w:val="0"/>
      <w:marBottom w:val="0"/>
      <w:divBdr>
        <w:top w:val="none" w:sz="0" w:space="0" w:color="auto"/>
        <w:left w:val="none" w:sz="0" w:space="0" w:color="auto"/>
        <w:bottom w:val="none" w:sz="0" w:space="0" w:color="auto"/>
        <w:right w:val="none" w:sz="0" w:space="0" w:color="auto"/>
      </w:divBdr>
    </w:div>
    <w:div w:id="845168108">
      <w:bodyDiv w:val="1"/>
      <w:marLeft w:val="0"/>
      <w:marRight w:val="0"/>
      <w:marTop w:val="0"/>
      <w:marBottom w:val="0"/>
      <w:divBdr>
        <w:top w:val="none" w:sz="0" w:space="0" w:color="auto"/>
        <w:left w:val="none" w:sz="0" w:space="0" w:color="auto"/>
        <w:bottom w:val="none" w:sz="0" w:space="0" w:color="auto"/>
        <w:right w:val="none" w:sz="0" w:space="0" w:color="auto"/>
      </w:divBdr>
    </w:div>
    <w:div w:id="851800840">
      <w:bodyDiv w:val="1"/>
      <w:marLeft w:val="0"/>
      <w:marRight w:val="0"/>
      <w:marTop w:val="0"/>
      <w:marBottom w:val="0"/>
      <w:divBdr>
        <w:top w:val="none" w:sz="0" w:space="0" w:color="auto"/>
        <w:left w:val="none" w:sz="0" w:space="0" w:color="auto"/>
        <w:bottom w:val="none" w:sz="0" w:space="0" w:color="auto"/>
        <w:right w:val="none" w:sz="0" w:space="0" w:color="auto"/>
      </w:divBdr>
    </w:div>
    <w:div w:id="877158578">
      <w:bodyDiv w:val="1"/>
      <w:marLeft w:val="0"/>
      <w:marRight w:val="0"/>
      <w:marTop w:val="0"/>
      <w:marBottom w:val="0"/>
      <w:divBdr>
        <w:top w:val="none" w:sz="0" w:space="0" w:color="auto"/>
        <w:left w:val="none" w:sz="0" w:space="0" w:color="auto"/>
        <w:bottom w:val="none" w:sz="0" w:space="0" w:color="auto"/>
        <w:right w:val="none" w:sz="0" w:space="0" w:color="auto"/>
      </w:divBdr>
    </w:div>
    <w:div w:id="881674627">
      <w:bodyDiv w:val="1"/>
      <w:marLeft w:val="0"/>
      <w:marRight w:val="0"/>
      <w:marTop w:val="0"/>
      <w:marBottom w:val="0"/>
      <w:divBdr>
        <w:top w:val="none" w:sz="0" w:space="0" w:color="auto"/>
        <w:left w:val="none" w:sz="0" w:space="0" w:color="auto"/>
        <w:bottom w:val="none" w:sz="0" w:space="0" w:color="auto"/>
        <w:right w:val="none" w:sz="0" w:space="0" w:color="auto"/>
      </w:divBdr>
    </w:div>
    <w:div w:id="919561107">
      <w:bodyDiv w:val="1"/>
      <w:marLeft w:val="0"/>
      <w:marRight w:val="0"/>
      <w:marTop w:val="0"/>
      <w:marBottom w:val="0"/>
      <w:divBdr>
        <w:top w:val="none" w:sz="0" w:space="0" w:color="auto"/>
        <w:left w:val="none" w:sz="0" w:space="0" w:color="auto"/>
        <w:bottom w:val="none" w:sz="0" w:space="0" w:color="auto"/>
        <w:right w:val="none" w:sz="0" w:space="0" w:color="auto"/>
      </w:divBdr>
    </w:div>
    <w:div w:id="931623642">
      <w:bodyDiv w:val="1"/>
      <w:marLeft w:val="0"/>
      <w:marRight w:val="0"/>
      <w:marTop w:val="0"/>
      <w:marBottom w:val="0"/>
      <w:divBdr>
        <w:top w:val="none" w:sz="0" w:space="0" w:color="auto"/>
        <w:left w:val="none" w:sz="0" w:space="0" w:color="auto"/>
        <w:bottom w:val="none" w:sz="0" w:space="0" w:color="auto"/>
        <w:right w:val="none" w:sz="0" w:space="0" w:color="auto"/>
      </w:divBdr>
    </w:div>
    <w:div w:id="935796578">
      <w:bodyDiv w:val="1"/>
      <w:marLeft w:val="0"/>
      <w:marRight w:val="0"/>
      <w:marTop w:val="0"/>
      <w:marBottom w:val="0"/>
      <w:divBdr>
        <w:top w:val="none" w:sz="0" w:space="0" w:color="auto"/>
        <w:left w:val="none" w:sz="0" w:space="0" w:color="auto"/>
        <w:bottom w:val="none" w:sz="0" w:space="0" w:color="auto"/>
        <w:right w:val="none" w:sz="0" w:space="0" w:color="auto"/>
      </w:divBdr>
    </w:div>
    <w:div w:id="962736542">
      <w:bodyDiv w:val="1"/>
      <w:marLeft w:val="0"/>
      <w:marRight w:val="0"/>
      <w:marTop w:val="0"/>
      <w:marBottom w:val="0"/>
      <w:divBdr>
        <w:top w:val="none" w:sz="0" w:space="0" w:color="auto"/>
        <w:left w:val="none" w:sz="0" w:space="0" w:color="auto"/>
        <w:bottom w:val="none" w:sz="0" w:space="0" w:color="auto"/>
        <w:right w:val="none" w:sz="0" w:space="0" w:color="auto"/>
      </w:divBdr>
    </w:div>
    <w:div w:id="968785621">
      <w:bodyDiv w:val="1"/>
      <w:marLeft w:val="0"/>
      <w:marRight w:val="0"/>
      <w:marTop w:val="0"/>
      <w:marBottom w:val="0"/>
      <w:divBdr>
        <w:top w:val="none" w:sz="0" w:space="0" w:color="auto"/>
        <w:left w:val="none" w:sz="0" w:space="0" w:color="auto"/>
        <w:bottom w:val="none" w:sz="0" w:space="0" w:color="auto"/>
        <w:right w:val="none" w:sz="0" w:space="0" w:color="auto"/>
      </w:divBdr>
    </w:div>
    <w:div w:id="1017081383">
      <w:bodyDiv w:val="1"/>
      <w:marLeft w:val="0"/>
      <w:marRight w:val="0"/>
      <w:marTop w:val="0"/>
      <w:marBottom w:val="0"/>
      <w:divBdr>
        <w:top w:val="none" w:sz="0" w:space="0" w:color="auto"/>
        <w:left w:val="none" w:sz="0" w:space="0" w:color="auto"/>
        <w:bottom w:val="none" w:sz="0" w:space="0" w:color="auto"/>
        <w:right w:val="none" w:sz="0" w:space="0" w:color="auto"/>
      </w:divBdr>
    </w:div>
    <w:div w:id="1024091971">
      <w:bodyDiv w:val="1"/>
      <w:marLeft w:val="0"/>
      <w:marRight w:val="0"/>
      <w:marTop w:val="0"/>
      <w:marBottom w:val="0"/>
      <w:divBdr>
        <w:top w:val="none" w:sz="0" w:space="0" w:color="auto"/>
        <w:left w:val="none" w:sz="0" w:space="0" w:color="auto"/>
        <w:bottom w:val="none" w:sz="0" w:space="0" w:color="auto"/>
        <w:right w:val="none" w:sz="0" w:space="0" w:color="auto"/>
      </w:divBdr>
    </w:div>
    <w:div w:id="1029644053">
      <w:bodyDiv w:val="1"/>
      <w:marLeft w:val="0"/>
      <w:marRight w:val="0"/>
      <w:marTop w:val="0"/>
      <w:marBottom w:val="0"/>
      <w:divBdr>
        <w:top w:val="none" w:sz="0" w:space="0" w:color="auto"/>
        <w:left w:val="none" w:sz="0" w:space="0" w:color="auto"/>
        <w:bottom w:val="none" w:sz="0" w:space="0" w:color="auto"/>
        <w:right w:val="none" w:sz="0" w:space="0" w:color="auto"/>
      </w:divBdr>
    </w:div>
    <w:div w:id="1048608302">
      <w:bodyDiv w:val="1"/>
      <w:marLeft w:val="0"/>
      <w:marRight w:val="0"/>
      <w:marTop w:val="0"/>
      <w:marBottom w:val="0"/>
      <w:divBdr>
        <w:top w:val="none" w:sz="0" w:space="0" w:color="auto"/>
        <w:left w:val="none" w:sz="0" w:space="0" w:color="auto"/>
        <w:bottom w:val="none" w:sz="0" w:space="0" w:color="auto"/>
        <w:right w:val="none" w:sz="0" w:space="0" w:color="auto"/>
      </w:divBdr>
    </w:div>
    <w:div w:id="1067189413">
      <w:bodyDiv w:val="1"/>
      <w:marLeft w:val="0"/>
      <w:marRight w:val="0"/>
      <w:marTop w:val="0"/>
      <w:marBottom w:val="0"/>
      <w:divBdr>
        <w:top w:val="none" w:sz="0" w:space="0" w:color="auto"/>
        <w:left w:val="none" w:sz="0" w:space="0" w:color="auto"/>
        <w:bottom w:val="none" w:sz="0" w:space="0" w:color="auto"/>
        <w:right w:val="none" w:sz="0" w:space="0" w:color="auto"/>
      </w:divBdr>
    </w:div>
    <w:div w:id="1125809120">
      <w:bodyDiv w:val="1"/>
      <w:marLeft w:val="0"/>
      <w:marRight w:val="0"/>
      <w:marTop w:val="0"/>
      <w:marBottom w:val="0"/>
      <w:divBdr>
        <w:top w:val="none" w:sz="0" w:space="0" w:color="auto"/>
        <w:left w:val="none" w:sz="0" w:space="0" w:color="auto"/>
        <w:bottom w:val="none" w:sz="0" w:space="0" w:color="auto"/>
        <w:right w:val="none" w:sz="0" w:space="0" w:color="auto"/>
      </w:divBdr>
    </w:div>
    <w:div w:id="1135681571">
      <w:bodyDiv w:val="1"/>
      <w:marLeft w:val="0"/>
      <w:marRight w:val="0"/>
      <w:marTop w:val="0"/>
      <w:marBottom w:val="0"/>
      <w:divBdr>
        <w:top w:val="none" w:sz="0" w:space="0" w:color="auto"/>
        <w:left w:val="none" w:sz="0" w:space="0" w:color="auto"/>
        <w:bottom w:val="none" w:sz="0" w:space="0" w:color="auto"/>
        <w:right w:val="none" w:sz="0" w:space="0" w:color="auto"/>
      </w:divBdr>
    </w:div>
    <w:div w:id="1140152580">
      <w:bodyDiv w:val="1"/>
      <w:marLeft w:val="0"/>
      <w:marRight w:val="0"/>
      <w:marTop w:val="0"/>
      <w:marBottom w:val="0"/>
      <w:divBdr>
        <w:top w:val="none" w:sz="0" w:space="0" w:color="auto"/>
        <w:left w:val="none" w:sz="0" w:space="0" w:color="auto"/>
        <w:bottom w:val="none" w:sz="0" w:space="0" w:color="auto"/>
        <w:right w:val="none" w:sz="0" w:space="0" w:color="auto"/>
      </w:divBdr>
    </w:div>
    <w:div w:id="1160196736">
      <w:bodyDiv w:val="1"/>
      <w:marLeft w:val="0"/>
      <w:marRight w:val="0"/>
      <w:marTop w:val="0"/>
      <w:marBottom w:val="0"/>
      <w:divBdr>
        <w:top w:val="none" w:sz="0" w:space="0" w:color="auto"/>
        <w:left w:val="none" w:sz="0" w:space="0" w:color="auto"/>
        <w:bottom w:val="none" w:sz="0" w:space="0" w:color="auto"/>
        <w:right w:val="none" w:sz="0" w:space="0" w:color="auto"/>
      </w:divBdr>
    </w:div>
    <w:div w:id="1162702533">
      <w:bodyDiv w:val="1"/>
      <w:marLeft w:val="0"/>
      <w:marRight w:val="0"/>
      <w:marTop w:val="0"/>
      <w:marBottom w:val="0"/>
      <w:divBdr>
        <w:top w:val="none" w:sz="0" w:space="0" w:color="auto"/>
        <w:left w:val="none" w:sz="0" w:space="0" w:color="auto"/>
        <w:bottom w:val="none" w:sz="0" w:space="0" w:color="auto"/>
        <w:right w:val="none" w:sz="0" w:space="0" w:color="auto"/>
      </w:divBdr>
    </w:div>
    <w:div w:id="1194808459">
      <w:bodyDiv w:val="1"/>
      <w:marLeft w:val="0"/>
      <w:marRight w:val="0"/>
      <w:marTop w:val="0"/>
      <w:marBottom w:val="0"/>
      <w:divBdr>
        <w:top w:val="none" w:sz="0" w:space="0" w:color="auto"/>
        <w:left w:val="none" w:sz="0" w:space="0" w:color="auto"/>
        <w:bottom w:val="none" w:sz="0" w:space="0" w:color="auto"/>
        <w:right w:val="none" w:sz="0" w:space="0" w:color="auto"/>
      </w:divBdr>
    </w:div>
    <w:div w:id="1215891129">
      <w:bodyDiv w:val="1"/>
      <w:marLeft w:val="0"/>
      <w:marRight w:val="0"/>
      <w:marTop w:val="0"/>
      <w:marBottom w:val="0"/>
      <w:divBdr>
        <w:top w:val="none" w:sz="0" w:space="0" w:color="auto"/>
        <w:left w:val="none" w:sz="0" w:space="0" w:color="auto"/>
        <w:bottom w:val="none" w:sz="0" w:space="0" w:color="auto"/>
        <w:right w:val="none" w:sz="0" w:space="0" w:color="auto"/>
      </w:divBdr>
    </w:div>
    <w:div w:id="1261068341">
      <w:bodyDiv w:val="1"/>
      <w:marLeft w:val="0"/>
      <w:marRight w:val="0"/>
      <w:marTop w:val="0"/>
      <w:marBottom w:val="0"/>
      <w:divBdr>
        <w:top w:val="none" w:sz="0" w:space="0" w:color="auto"/>
        <w:left w:val="none" w:sz="0" w:space="0" w:color="auto"/>
        <w:bottom w:val="none" w:sz="0" w:space="0" w:color="auto"/>
        <w:right w:val="none" w:sz="0" w:space="0" w:color="auto"/>
      </w:divBdr>
    </w:div>
    <w:div w:id="1263606242">
      <w:bodyDiv w:val="1"/>
      <w:marLeft w:val="0"/>
      <w:marRight w:val="0"/>
      <w:marTop w:val="0"/>
      <w:marBottom w:val="0"/>
      <w:divBdr>
        <w:top w:val="none" w:sz="0" w:space="0" w:color="auto"/>
        <w:left w:val="none" w:sz="0" w:space="0" w:color="auto"/>
        <w:bottom w:val="none" w:sz="0" w:space="0" w:color="auto"/>
        <w:right w:val="none" w:sz="0" w:space="0" w:color="auto"/>
      </w:divBdr>
    </w:div>
    <w:div w:id="1305771144">
      <w:bodyDiv w:val="1"/>
      <w:marLeft w:val="0"/>
      <w:marRight w:val="0"/>
      <w:marTop w:val="0"/>
      <w:marBottom w:val="0"/>
      <w:divBdr>
        <w:top w:val="none" w:sz="0" w:space="0" w:color="auto"/>
        <w:left w:val="none" w:sz="0" w:space="0" w:color="auto"/>
        <w:bottom w:val="none" w:sz="0" w:space="0" w:color="auto"/>
        <w:right w:val="none" w:sz="0" w:space="0" w:color="auto"/>
      </w:divBdr>
    </w:div>
    <w:div w:id="1357347171">
      <w:bodyDiv w:val="1"/>
      <w:marLeft w:val="0"/>
      <w:marRight w:val="0"/>
      <w:marTop w:val="0"/>
      <w:marBottom w:val="0"/>
      <w:divBdr>
        <w:top w:val="none" w:sz="0" w:space="0" w:color="auto"/>
        <w:left w:val="none" w:sz="0" w:space="0" w:color="auto"/>
        <w:bottom w:val="none" w:sz="0" w:space="0" w:color="auto"/>
        <w:right w:val="none" w:sz="0" w:space="0" w:color="auto"/>
      </w:divBdr>
    </w:div>
    <w:div w:id="1387266660">
      <w:bodyDiv w:val="1"/>
      <w:marLeft w:val="0"/>
      <w:marRight w:val="0"/>
      <w:marTop w:val="0"/>
      <w:marBottom w:val="0"/>
      <w:divBdr>
        <w:top w:val="none" w:sz="0" w:space="0" w:color="auto"/>
        <w:left w:val="none" w:sz="0" w:space="0" w:color="auto"/>
        <w:bottom w:val="none" w:sz="0" w:space="0" w:color="auto"/>
        <w:right w:val="none" w:sz="0" w:space="0" w:color="auto"/>
      </w:divBdr>
    </w:div>
    <w:div w:id="1390960327">
      <w:bodyDiv w:val="1"/>
      <w:marLeft w:val="0"/>
      <w:marRight w:val="0"/>
      <w:marTop w:val="0"/>
      <w:marBottom w:val="0"/>
      <w:divBdr>
        <w:top w:val="none" w:sz="0" w:space="0" w:color="auto"/>
        <w:left w:val="none" w:sz="0" w:space="0" w:color="auto"/>
        <w:bottom w:val="none" w:sz="0" w:space="0" w:color="auto"/>
        <w:right w:val="none" w:sz="0" w:space="0" w:color="auto"/>
      </w:divBdr>
    </w:div>
    <w:div w:id="1396926704">
      <w:bodyDiv w:val="1"/>
      <w:marLeft w:val="0"/>
      <w:marRight w:val="0"/>
      <w:marTop w:val="0"/>
      <w:marBottom w:val="0"/>
      <w:divBdr>
        <w:top w:val="none" w:sz="0" w:space="0" w:color="auto"/>
        <w:left w:val="none" w:sz="0" w:space="0" w:color="auto"/>
        <w:bottom w:val="none" w:sz="0" w:space="0" w:color="auto"/>
        <w:right w:val="none" w:sz="0" w:space="0" w:color="auto"/>
      </w:divBdr>
    </w:div>
    <w:div w:id="1405910779">
      <w:bodyDiv w:val="1"/>
      <w:marLeft w:val="0"/>
      <w:marRight w:val="0"/>
      <w:marTop w:val="0"/>
      <w:marBottom w:val="0"/>
      <w:divBdr>
        <w:top w:val="none" w:sz="0" w:space="0" w:color="auto"/>
        <w:left w:val="none" w:sz="0" w:space="0" w:color="auto"/>
        <w:bottom w:val="none" w:sz="0" w:space="0" w:color="auto"/>
        <w:right w:val="none" w:sz="0" w:space="0" w:color="auto"/>
      </w:divBdr>
    </w:div>
    <w:div w:id="1413817815">
      <w:bodyDiv w:val="1"/>
      <w:marLeft w:val="0"/>
      <w:marRight w:val="0"/>
      <w:marTop w:val="0"/>
      <w:marBottom w:val="0"/>
      <w:divBdr>
        <w:top w:val="none" w:sz="0" w:space="0" w:color="auto"/>
        <w:left w:val="none" w:sz="0" w:space="0" w:color="auto"/>
        <w:bottom w:val="none" w:sz="0" w:space="0" w:color="auto"/>
        <w:right w:val="none" w:sz="0" w:space="0" w:color="auto"/>
      </w:divBdr>
    </w:div>
    <w:div w:id="1454443150">
      <w:bodyDiv w:val="1"/>
      <w:marLeft w:val="0"/>
      <w:marRight w:val="0"/>
      <w:marTop w:val="0"/>
      <w:marBottom w:val="0"/>
      <w:divBdr>
        <w:top w:val="none" w:sz="0" w:space="0" w:color="auto"/>
        <w:left w:val="none" w:sz="0" w:space="0" w:color="auto"/>
        <w:bottom w:val="none" w:sz="0" w:space="0" w:color="auto"/>
        <w:right w:val="none" w:sz="0" w:space="0" w:color="auto"/>
      </w:divBdr>
    </w:div>
    <w:div w:id="1456100624">
      <w:bodyDiv w:val="1"/>
      <w:marLeft w:val="0"/>
      <w:marRight w:val="0"/>
      <w:marTop w:val="0"/>
      <w:marBottom w:val="0"/>
      <w:divBdr>
        <w:top w:val="none" w:sz="0" w:space="0" w:color="auto"/>
        <w:left w:val="none" w:sz="0" w:space="0" w:color="auto"/>
        <w:bottom w:val="none" w:sz="0" w:space="0" w:color="auto"/>
        <w:right w:val="none" w:sz="0" w:space="0" w:color="auto"/>
      </w:divBdr>
    </w:div>
    <w:div w:id="1462653526">
      <w:bodyDiv w:val="1"/>
      <w:marLeft w:val="0"/>
      <w:marRight w:val="0"/>
      <w:marTop w:val="0"/>
      <w:marBottom w:val="0"/>
      <w:divBdr>
        <w:top w:val="none" w:sz="0" w:space="0" w:color="auto"/>
        <w:left w:val="none" w:sz="0" w:space="0" w:color="auto"/>
        <w:bottom w:val="none" w:sz="0" w:space="0" w:color="auto"/>
        <w:right w:val="none" w:sz="0" w:space="0" w:color="auto"/>
      </w:divBdr>
    </w:div>
    <w:div w:id="1486242854">
      <w:bodyDiv w:val="1"/>
      <w:marLeft w:val="0"/>
      <w:marRight w:val="0"/>
      <w:marTop w:val="0"/>
      <w:marBottom w:val="0"/>
      <w:divBdr>
        <w:top w:val="none" w:sz="0" w:space="0" w:color="auto"/>
        <w:left w:val="none" w:sz="0" w:space="0" w:color="auto"/>
        <w:bottom w:val="none" w:sz="0" w:space="0" w:color="auto"/>
        <w:right w:val="none" w:sz="0" w:space="0" w:color="auto"/>
      </w:divBdr>
    </w:div>
    <w:div w:id="1493108987">
      <w:bodyDiv w:val="1"/>
      <w:marLeft w:val="0"/>
      <w:marRight w:val="0"/>
      <w:marTop w:val="0"/>
      <w:marBottom w:val="0"/>
      <w:divBdr>
        <w:top w:val="none" w:sz="0" w:space="0" w:color="auto"/>
        <w:left w:val="none" w:sz="0" w:space="0" w:color="auto"/>
        <w:bottom w:val="none" w:sz="0" w:space="0" w:color="auto"/>
        <w:right w:val="none" w:sz="0" w:space="0" w:color="auto"/>
      </w:divBdr>
    </w:div>
    <w:div w:id="1560246911">
      <w:bodyDiv w:val="1"/>
      <w:marLeft w:val="0"/>
      <w:marRight w:val="0"/>
      <w:marTop w:val="0"/>
      <w:marBottom w:val="0"/>
      <w:divBdr>
        <w:top w:val="none" w:sz="0" w:space="0" w:color="auto"/>
        <w:left w:val="none" w:sz="0" w:space="0" w:color="auto"/>
        <w:bottom w:val="none" w:sz="0" w:space="0" w:color="auto"/>
        <w:right w:val="none" w:sz="0" w:space="0" w:color="auto"/>
      </w:divBdr>
    </w:div>
    <w:div w:id="1625883541">
      <w:bodyDiv w:val="1"/>
      <w:marLeft w:val="0"/>
      <w:marRight w:val="0"/>
      <w:marTop w:val="0"/>
      <w:marBottom w:val="0"/>
      <w:divBdr>
        <w:top w:val="none" w:sz="0" w:space="0" w:color="auto"/>
        <w:left w:val="none" w:sz="0" w:space="0" w:color="auto"/>
        <w:bottom w:val="none" w:sz="0" w:space="0" w:color="auto"/>
        <w:right w:val="none" w:sz="0" w:space="0" w:color="auto"/>
      </w:divBdr>
    </w:div>
    <w:div w:id="1639217227">
      <w:bodyDiv w:val="1"/>
      <w:marLeft w:val="0"/>
      <w:marRight w:val="0"/>
      <w:marTop w:val="0"/>
      <w:marBottom w:val="0"/>
      <w:divBdr>
        <w:top w:val="none" w:sz="0" w:space="0" w:color="auto"/>
        <w:left w:val="none" w:sz="0" w:space="0" w:color="auto"/>
        <w:bottom w:val="none" w:sz="0" w:space="0" w:color="auto"/>
        <w:right w:val="none" w:sz="0" w:space="0" w:color="auto"/>
      </w:divBdr>
    </w:div>
    <w:div w:id="1642735724">
      <w:bodyDiv w:val="1"/>
      <w:marLeft w:val="0"/>
      <w:marRight w:val="0"/>
      <w:marTop w:val="0"/>
      <w:marBottom w:val="0"/>
      <w:divBdr>
        <w:top w:val="none" w:sz="0" w:space="0" w:color="auto"/>
        <w:left w:val="none" w:sz="0" w:space="0" w:color="auto"/>
        <w:bottom w:val="none" w:sz="0" w:space="0" w:color="auto"/>
        <w:right w:val="none" w:sz="0" w:space="0" w:color="auto"/>
      </w:divBdr>
    </w:div>
    <w:div w:id="1644433569">
      <w:bodyDiv w:val="1"/>
      <w:marLeft w:val="0"/>
      <w:marRight w:val="0"/>
      <w:marTop w:val="0"/>
      <w:marBottom w:val="0"/>
      <w:divBdr>
        <w:top w:val="none" w:sz="0" w:space="0" w:color="auto"/>
        <w:left w:val="none" w:sz="0" w:space="0" w:color="auto"/>
        <w:bottom w:val="none" w:sz="0" w:space="0" w:color="auto"/>
        <w:right w:val="none" w:sz="0" w:space="0" w:color="auto"/>
      </w:divBdr>
    </w:div>
    <w:div w:id="1768423565">
      <w:bodyDiv w:val="1"/>
      <w:marLeft w:val="0"/>
      <w:marRight w:val="0"/>
      <w:marTop w:val="0"/>
      <w:marBottom w:val="0"/>
      <w:divBdr>
        <w:top w:val="none" w:sz="0" w:space="0" w:color="auto"/>
        <w:left w:val="none" w:sz="0" w:space="0" w:color="auto"/>
        <w:bottom w:val="none" w:sz="0" w:space="0" w:color="auto"/>
        <w:right w:val="none" w:sz="0" w:space="0" w:color="auto"/>
      </w:divBdr>
    </w:div>
    <w:div w:id="1770350049">
      <w:bodyDiv w:val="1"/>
      <w:marLeft w:val="0"/>
      <w:marRight w:val="0"/>
      <w:marTop w:val="0"/>
      <w:marBottom w:val="0"/>
      <w:divBdr>
        <w:top w:val="none" w:sz="0" w:space="0" w:color="auto"/>
        <w:left w:val="none" w:sz="0" w:space="0" w:color="auto"/>
        <w:bottom w:val="none" w:sz="0" w:space="0" w:color="auto"/>
        <w:right w:val="none" w:sz="0" w:space="0" w:color="auto"/>
      </w:divBdr>
    </w:div>
    <w:div w:id="1774550817">
      <w:bodyDiv w:val="1"/>
      <w:marLeft w:val="0"/>
      <w:marRight w:val="0"/>
      <w:marTop w:val="0"/>
      <w:marBottom w:val="0"/>
      <w:divBdr>
        <w:top w:val="none" w:sz="0" w:space="0" w:color="auto"/>
        <w:left w:val="none" w:sz="0" w:space="0" w:color="auto"/>
        <w:bottom w:val="none" w:sz="0" w:space="0" w:color="auto"/>
        <w:right w:val="none" w:sz="0" w:space="0" w:color="auto"/>
      </w:divBdr>
    </w:div>
    <w:div w:id="1776367527">
      <w:bodyDiv w:val="1"/>
      <w:marLeft w:val="0"/>
      <w:marRight w:val="0"/>
      <w:marTop w:val="0"/>
      <w:marBottom w:val="0"/>
      <w:divBdr>
        <w:top w:val="none" w:sz="0" w:space="0" w:color="auto"/>
        <w:left w:val="none" w:sz="0" w:space="0" w:color="auto"/>
        <w:bottom w:val="none" w:sz="0" w:space="0" w:color="auto"/>
        <w:right w:val="none" w:sz="0" w:space="0" w:color="auto"/>
      </w:divBdr>
    </w:div>
    <w:div w:id="1778139542">
      <w:bodyDiv w:val="1"/>
      <w:marLeft w:val="0"/>
      <w:marRight w:val="0"/>
      <w:marTop w:val="0"/>
      <w:marBottom w:val="0"/>
      <w:divBdr>
        <w:top w:val="none" w:sz="0" w:space="0" w:color="auto"/>
        <w:left w:val="none" w:sz="0" w:space="0" w:color="auto"/>
        <w:bottom w:val="none" w:sz="0" w:space="0" w:color="auto"/>
        <w:right w:val="none" w:sz="0" w:space="0" w:color="auto"/>
      </w:divBdr>
    </w:div>
    <w:div w:id="1797749227">
      <w:bodyDiv w:val="1"/>
      <w:marLeft w:val="0"/>
      <w:marRight w:val="0"/>
      <w:marTop w:val="0"/>
      <w:marBottom w:val="0"/>
      <w:divBdr>
        <w:top w:val="none" w:sz="0" w:space="0" w:color="auto"/>
        <w:left w:val="none" w:sz="0" w:space="0" w:color="auto"/>
        <w:bottom w:val="none" w:sz="0" w:space="0" w:color="auto"/>
        <w:right w:val="none" w:sz="0" w:space="0" w:color="auto"/>
      </w:divBdr>
    </w:div>
    <w:div w:id="1835147244">
      <w:bodyDiv w:val="1"/>
      <w:marLeft w:val="0"/>
      <w:marRight w:val="0"/>
      <w:marTop w:val="0"/>
      <w:marBottom w:val="0"/>
      <w:divBdr>
        <w:top w:val="none" w:sz="0" w:space="0" w:color="auto"/>
        <w:left w:val="none" w:sz="0" w:space="0" w:color="auto"/>
        <w:bottom w:val="none" w:sz="0" w:space="0" w:color="auto"/>
        <w:right w:val="none" w:sz="0" w:space="0" w:color="auto"/>
      </w:divBdr>
    </w:div>
    <w:div w:id="1857384231">
      <w:bodyDiv w:val="1"/>
      <w:marLeft w:val="0"/>
      <w:marRight w:val="0"/>
      <w:marTop w:val="0"/>
      <w:marBottom w:val="0"/>
      <w:divBdr>
        <w:top w:val="none" w:sz="0" w:space="0" w:color="auto"/>
        <w:left w:val="none" w:sz="0" w:space="0" w:color="auto"/>
        <w:bottom w:val="none" w:sz="0" w:space="0" w:color="auto"/>
        <w:right w:val="none" w:sz="0" w:space="0" w:color="auto"/>
      </w:divBdr>
    </w:div>
    <w:div w:id="1890805187">
      <w:bodyDiv w:val="1"/>
      <w:marLeft w:val="0"/>
      <w:marRight w:val="0"/>
      <w:marTop w:val="0"/>
      <w:marBottom w:val="0"/>
      <w:divBdr>
        <w:top w:val="none" w:sz="0" w:space="0" w:color="auto"/>
        <w:left w:val="none" w:sz="0" w:space="0" w:color="auto"/>
        <w:bottom w:val="none" w:sz="0" w:space="0" w:color="auto"/>
        <w:right w:val="none" w:sz="0" w:space="0" w:color="auto"/>
      </w:divBdr>
    </w:div>
    <w:div w:id="1929730168">
      <w:bodyDiv w:val="1"/>
      <w:marLeft w:val="0"/>
      <w:marRight w:val="0"/>
      <w:marTop w:val="0"/>
      <w:marBottom w:val="0"/>
      <w:divBdr>
        <w:top w:val="none" w:sz="0" w:space="0" w:color="auto"/>
        <w:left w:val="none" w:sz="0" w:space="0" w:color="auto"/>
        <w:bottom w:val="none" w:sz="0" w:space="0" w:color="auto"/>
        <w:right w:val="none" w:sz="0" w:space="0" w:color="auto"/>
      </w:divBdr>
    </w:div>
    <w:div w:id="1941600567">
      <w:bodyDiv w:val="1"/>
      <w:marLeft w:val="0"/>
      <w:marRight w:val="0"/>
      <w:marTop w:val="0"/>
      <w:marBottom w:val="0"/>
      <w:divBdr>
        <w:top w:val="none" w:sz="0" w:space="0" w:color="auto"/>
        <w:left w:val="none" w:sz="0" w:space="0" w:color="auto"/>
        <w:bottom w:val="none" w:sz="0" w:space="0" w:color="auto"/>
        <w:right w:val="none" w:sz="0" w:space="0" w:color="auto"/>
      </w:divBdr>
    </w:div>
    <w:div w:id="1961494981">
      <w:bodyDiv w:val="1"/>
      <w:marLeft w:val="0"/>
      <w:marRight w:val="0"/>
      <w:marTop w:val="0"/>
      <w:marBottom w:val="0"/>
      <w:divBdr>
        <w:top w:val="none" w:sz="0" w:space="0" w:color="auto"/>
        <w:left w:val="none" w:sz="0" w:space="0" w:color="auto"/>
        <w:bottom w:val="none" w:sz="0" w:space="0" w:color="auto"/>
        <w:right w:val="none" w:sz="0" w:space="0" w:color="auto"/>
      </w:divBdr>
    </w:div>
    <w:div w:id="1974435603">
      <w:bodyDiv w:val="1"/>
      <w:marLeft w:val="0"/>
      <w:marRight w:val="0"/>
      <w:marTop w:val="0"/>
      <w:marBottom w:val="0"/>
      <w:divBdr>
        <w:top w:val="none" w:sz="0" w:space="0" w:color="auto"/>
        <w:left w:val="none" w:sz="0" w:space="0" w:color="auto"/>
        <w:bottom w:val="none" w:sz="0" w:space="0" w:color="auto"/>
        <w:right w:val="none" w:sz="0" w:space="0" w:color="auto"/>
      </w:divBdr>
    </w:div>
    <w:div w:id="1977106136">
      <w:bodyDiv w:val="1"/>
      <w:marLeft w:val="0"/>
      <w:marRight w:val="0"/>
      <w:marTop w:val="0"/>
      <w:marBottom w:val="0"/>
      <w:divBdr>
        <w:top w:val="none" w:sz="0" w:space="0" w:color="auto"/>
        <w:left w:val="none" w:sz="0" w:space="0" w:color="auto"/>
        <w:bottom w:val="none" w:sz="0" w:space="0" w:color="auto"/>
        <w:right w:val="none" w:sz="0" w:space="0" w:color="auto"/>
      </w:divBdr>
    </w:div>
    <w:div w:id="1988629681">
      <w:bodyDiv w:val="1"/>
      <w:marLeft w:val="0"/>
      <w:marRight w:val="0"/>
      <w:marTop w:val="0"/>
      <w:marBottom w:val="0"/>
      <w:divBdr>
        <w:top w:val="none" w:sz="0" w:space="0" w:color="auto"/>
        <w:left w:val="none" w:sz="0" w:space="0" w:color="auto"/>
        <w:bottom w:val="none" w:sz="0" w:space="0" w:color="auto"/>
        <w:right w:val="none" w:sz="0" w:space="0" w:color="auto"/>
      </w:divBdr>
    </w:div>
    <w:div w:id="2069985955">
      <w:bodyDiv w:val="1"/>
      <w:marLeft w:val="0"/>
      <w:marRight w:val="0"/>
      <w:marTop w:val="0"/>
      <w:marBottom w:val="0"/>
      <w:divBdr>
        <w:top w:val="none" w:sz="0" w:space="0" w:color="auto"/>
        <w:left w:val="none" w:sz="0" w:space="0" w:color="auto"/>
        <w:bottom w:val="none" w:sz="0" w:space="0" w:color="auto"/>
        <w:right w:val="none" w:sz="0" w:space="0" w:color="auto"/>
      </w:divBdr>
    </w:div>
    <w:div w:id="2070105319">
      <w:bodyDiv w:val="1"/>
      <w:marLeft w:val="0"/>
      <w:marRight w:val="0"/>
      <w:marTop w:val="0"/>
      <w:marBottom w:val="0"/>
      <w:divBdr>
        <w:top w:val="none" w:sz="0" w:space="0" w:color="auto"/>
        <w:left w:val="none" w:sz="0" w:space="0" w:color="auto"/>
        <w:bottom w:val="none" w:sz="0" w:space="0" w:color="auto"/>
        <w:right w:val="none" w:sz="0" w:space="0" w:color="auto"/>
      </w:divBdr>
    </w:div>
    <w:div w:id="2077630630">
      <w:bodyDiv w:val="1"/>
      <w:marLeft w:val="0"/>
      <w:marRight w:val="0"/>
      <w:marTop w:val="0"/>
      <w:marBottom w:val="0"/>
      <w:divBdr>
        <w:top w:val="none" w:sz="0" w:space="0" w:color="auto"/>
        <w:left w:val="none" w:sz="0" w:space="0" w:color="auto"/>
        <w:bottom w:val="none" w:sz="0" w:space="0" w:color="auto"/>
        <w:right w:val="none" w:sz="0" w:space="0" w:color="auto"/>
      </w:divBdr>
    </w:div>
    <w:div w:id="2086418723">
      <w:bodyDiv w:val="1"/>
      <w:marLeft w:val="0"/>
      <w:marRight w:val="0"/>
      <w:marTop w:val="0"/>
      <w:marBottom w:val="0"/>
      <w:divBdr>
        <w:top w:val="none" w:sz="0" w:space="0" w:color="auto"/>
        <w:left w:val="none" w:sz="0" w:space="0" w:color="auto"/>
        <w:bottom w:val="none" w:sz="0" w:space="0" w:color="auto"/>
        <w:right w:val="none" w:sz="0" w:space="0" w:color="auto"/>
      </w:divBdr>
    </w:div>
    <w:div w:id="212090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Pages>12</Pages>
  <Words>5852</Words>
  <Characters>33362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Evans,Abbie swp8337</dc:creator>
  <cp:keywords/>
  <dc:description/>
  <cp:lastModifiedBy>Evans,Abbie swp8337</cp:lastModifiedBy>
  <cp:revision>43</cp:revision>
  <dcterms:created xsi:type="dcterms:W3CDTF">2024-03-04T19:00:00Z</dcterms:created>
  <dcterms:modified xsi:type="dcterms:W3CDTF">2024-04-08T19:30:00Z</dcterms:modified>
</cp:coreProperties>
</file>