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1BD3" w:rsidRDefault="00E14435" w:rsidP="00E14435">
      <w:pPr>
        <w:jc w:val="center"/>
        <w:rPr>
          <w:u w:val="single"/>
        </w:rPr>
      </w:pPr>
      <w:r>
        <w:rPr>
          <w:u w:val="single"/>
        </w:rPr>
        <w:t>Zora Neale Hurston</w:t>
      </w:r>
    </w:p>
    <w:p w:rsidR="00E14435" w:rsidRDefault="00E14435" w:rsidP="00E14435">
      <w:pPr>
        <w:jc w:val="center"/>
        <w:rPr>
          <w:u w:val="single"/>
        </w:rPr>
      </w:pPr>
    </w:p>
    <w:p w:rsidR="00673E80" w:rsidRDefault="0044506E" w:rsidP="00E14435">
      <w:bookmarkStart w:id="0" w:name="_Hlk31270486"/>
      <w:r>
        <w:t>Hurston’s</w:t>
      </w:r>
      <w:r w:rsidR="007448D3">
        <w:t xml:space="preserve"> life from her </w:t>
      </w:r>
      <w:r>
        <w:t>earliest</w:t>
      </w:r>
      <w:r w:rsidR="007448D3">
        <w:t xml:space="preserve"> childhood</w:t>
      </w:r>
      <w:r>
        <w:t xml:space="preserve"> encapsulate</w:t>
      </w:r>
      <w:r w:rsidR="00A04601">
        <w:t>d</w:t>
      </w:r>
      <w:r>
        <w:t xml:space="preserve"> elements of the black experience </w:t>
      </w:r>
      <w:r w:rsidR="000844CB">
        <w:t>of</w:t>
      </w:r>
      <w:r>
        <w:t xml:space="preserve"> many Americans in the early 20</w:t>
      </w:r>
      <w:r w:rsidRPr="0044506E">
        <w:rPr>
          <w:vertAlign w:val="superscript"/>
        </w:rPr>
        <w:t>th</w:t>
      </w:r>
      <w:r>
        <w:t xml:space="preserve"> century. Her wandering spirit, which she inherited from her father,</w:t>
      </w:r>
      <w:r>
        <w:rPr>
          <w:rStyle w:val="FootnoteReference"/>
        </w:rPr>
        <w:footnoteReference w:id="1"/>
      </w:r>
      <w:r>
        <w:t xml:space="preserve"> carried her through so many disparate situations that it would seem she lived multiple lifetimes, lived them to the fullest and recorded them in her writings. In Hurston’s life she existed almost permanently between places, not only was she a woman in a </w:t>
      </w:r>
      <w:r w:rsidR="00673E80">
        <w:t>man’s</w:t>
      </w:r>
      <w:r>
        <w:t xml:space="preserve"> world and black in a white world, she refused to adopt the </w:t>
      </w:r>
      <w:r w:rsidR="00673E80">
        <w:t>mannerisms and roles that would have secured her place anywhere. With her travels, studies and writings</w:t>
      </w:r>
      <w:r w:rsidR="000844CB">
        <w:t>,</w:t>
      </w:r>
      <w:r w:rsidR="00673E80">
        <w:t xml:space="preserve"> she may well be considered the personification of one of Gilroy’s metaphorical ships.</w:t>
      </w:r>
      <w:r w:rsidR="00673E80">
        <w:rPr>
          <w:rStyle w:val="FootnoteReference"/>
        </w:rPr>
        <w:footnoteReference w:id="2"/>
      </w:r>
      <w:r w:rsidR="00673E80">
        <w:t xml:space="preserve"> This essay will focus on Hurston’s </w:t>
      </w:r>
      <w:r w:rsidR="00A327D3">
        <w:t>life in the middle ground</w:t>
      </w:r>
      <w:r w:rsidR="000844CB">
        <w:t>,</w:t>
      </w:r>
      <w:r w:rsidR="00A327D3">
        <w:t xml:space="preserve"> </w:t>
      </w:r>
      <w:r w:rsidR="000844CB">
        <w:t>capturing</w:t>
      </w:r>
      <w:r w:rsidR="00A327D3">
        <w:t xml:space="preserve"> DuBois’ notion of a ‘double consciousness’.</w:t>
      </w:r>
      <w:r w:rsidR="00A327D3">
        <w:rPr>
          <w:rStyle w:val="FootnoteReference"/>
        </w:rPr>
        <w:footnoteReference w:id="3"/>
      </w:r>
    </w:p>
    <w:p w:rsidR="00E14435" w:rsidRDefault="008E6B5D" w:rsidP="00E14435">
      <w:r>
        <w:t>In Baltimore in 1917, Zora Neale Hurston took ten years off her life to qualify for free schooling. She turned from twenty-six to sixteen and never again went by her true age.</w:t>
      </w:r>
      <w:r>
        <w:rPr>
          <w:rStyle w:val="FootnoteReference"/>
        </w:rPr>
        <w:footnoteReference w:id="4"/>
      </w:r>
      <w:r>
        <w:t xml:space="preserve"> Even her close friend, Theodore Pratt, writing</w:t>
      </w:r>
      <w:r w:rsidR="002D3A1B">
        <w:t xml:space="preserve"> in 1961</w:t>
      </w:r>
      <w:r>
        <w:t xml:space="preserve"> just a year after her death</w:t>
      </w:r>
      <w:r w:rsidR="002D3A1B">
        <w:t>,</w:t>
      </w:r>
      <w:r>
        <w:t xml:space="preserve"> mistakenly records her age at 52.</w:t>
      </w:r>
      <w:r>
        <w:rPr>
          <w:rStyle w:val="FootnoteReference"/>
        </w:rPr>
        <w:footnoteReference w:id="5"/>
      </w:r>
      <w:r w:rsidR="00673E80">
        <w:t xml:space="preserve"> </w:t>
      </w:r>
      <w:r>
        <w:t xml:space="preserve">Removing a whole decade from her life to obtain her </w:t>
      </w:r>
      <w:r w:rsidR="00A327D3">
        <w:t>ambition</w:t>
      </w:r>
      <w:r>
        <w:t xml:space="preserve"> </w:t>
      </w:r>
      <w:r w:rsidR="00A327D3">
        <w:t>to receive a full</w:t>
      </w:r>
      <w:r>
        <w:t xml:space="preserve"> education, typifies what Hurston was about. She refused to accept her role as a black woman, who she saw</w:t>
      </w:r>
      <w:r w:rsidR="00A327D3">
        <w:t xml:space="preserve"> being treated</w:t>
      </w:r>
      <w:r>
        <w:t xml:space="preserve"> as the mules of the world.</w:t>
      </w:r>
      <w:r>
        <w:rPr>
          <w:rStyle w:val="FootnoteReference"/>
        </w:rPr>
        <w:footnoteReference w:id="6"/>
      </w:r>
      <w:r>
        <w:t xml:space="preserve"> </w:t>
      </w:r>
      <w:r w:rsidR="00A327D3">
        <w:t>She chased her dreams</w:t>
      </w:r>
      <w:r w:rsidR="00B925D5">
        <w:t>,</w:t>
      </w:r>
      <w:r w:rsidR="00A327D3">
        <w:t xml:space="preserve"> and she had a lot of them. From her birth Hurston knew what it was to occupy the middle ground, her parent’s marriage had been one which crossed class lines. Her mother Lucy</w:t>
      </w:r>
      <w:r w:rsidR="00673E80">
        <w:t xml:space="preserve"> </w:t>
      </w:r>
      <w:r w:rsidR="00A327D3">
        <w:t>came from a wealthy land-owning family and her father, John, from poor sharecroppers. Lucy’s mother was so appalled by her daughter’s choice of husband that she refused to attend the wedding and disowned her daughter. Zora was</w:t>
      </w:r>
      <w:r w:rsidR="00F977E8">
        <w:t xml:space="preserve"> this unions</w:t>
      </w:r>
      <w:r w:rsidR="00A327D3">
        <w:t xml:space="preserve"> second daughter </w:t>
      </w:r>
      <w:r w:rsidR="00F977E8">
        <w:t>in a family of</w:t>
      </w:r>
      <w:r w:rsidR="00A327D3">
        <w:t xml:space="preserve"> six surviving </w:t>
      </w:r>
      <w:r w:rsidR="00F977E8">
        <w:t>sons</w:t>
      </w:r>
      <w:r w:rsidR="00A327D3">
        <w:t xml:space="preserve">. </w:t>
      </w:r>
      <w:r w:rsidR="00630507">
        <w:t>Zora’s</w:t>
      </w:r>
      <w:r w:rsidR="00A327D3">
        <w:t xml:space="preserve"> father resented her </w:t>
      </w:r>
      <w:r w:rsidR="00630507">
        <w:t>presence,</w:t>
      </w:r>
      <w:r w:rsidR="00A327D3">
        <w:t xml:space="preserve"> doting on his older daughter, Sarah, as she happily conformed to her </w:t>
      </w:r>
      <w:r w:rsidR="00630507">
        <w:t>father’s</w:t>
      </w:r>
      <w:r w:rsidR="00A327D3">
        <w:t xml:space="preserve"> strict</w:t>
      </w:r>
      <w:r w:rsidR="00630507">
        <w:t xml:space="preserve"> gender rules. Despite this, Hurston had a happy childhood</w:t>
      </w:r>
      <w:r w:rsidR="00F977E8">
        <w:t>.</w:t>
      </w:r>
      <w:r w:rsidR="00630507">
        <w:t xml:space="preserve"> </w:t>
      </w:r>
      <w:r w:rsidR="00F977E8">
        <w:t>I</w:t>
      </w:r>
      <w:r w:rsidR="00630507">
        <w:t>n the completely black town of Eatonville Florida</w:t>
      </w:r>
      <w:r w:rsidR="00F977E8">
        <w:t>, h</w:t>
      </w:r>
      <w:r w:rsidR="00630507">
        <w:t xml:space="preserve">er father cast away his humble background and became the towns minister and mayor. Hurston’s mother was not only the driving force behind her husband’s success but the educator of her eight children. Zora grew up </w:t>
      </w:r>
      <w:bookmarkStart w:id="1" w:name="_Hlk31270532"/>
      <w:bookmarkEnd w:id="0"/>
      <w:r w:rsidR="00630507">
        <w:t>watching her mother strive for greatness for those around her</w:t>
      </w:r>
      <w:r w:rsidR="00F977E8">
        <w:t>,</w:t>
      </w:r>
      <w:r w:rsidR="00630507">
        <w:t xml:space="preserve"> until she died when Hurston was only </w:t>
      </w:r>
      <w:r w:rsidR="00A1050B">
        <w:t>thirteen</w:t>
      </w:r>
      <w:r w:rsidR="00630507">
        <w:t>.</w:t>
      </w:r>
      <w:r w:rsidR="00630507">
        <w:rPr>
          <w:rStyle w:val="FootnoteReference"/>
        </w:rPr>
        <w:footnoteReference w:id="7"/>
      </w:r>
      <w:r w:rsidR="00630507">
        <w:t xml:space="preserve"> </w:t>
      </w:r>
    </w:p>
    <w:p w:rsidR="00A1050B" w:rsidRDefault="00A1050B" w:rsidP="00E14435">
      <w:r>
        <w:t>Zora’s life turned to chaos after her mother’s death, her father remarried quickly and his new wife set about turning him against his children. All the children were scattered and Zora along with her sister were sent away to school. Although in a learning environment, Zora was unhappy, her sister left to get married and her father stopped paying her tuition. Zora was left to fend for herself.</w:t>
      </w:r>
      <w:r w:rsidR="00A854E9" w:rsidRPr="00A854E9">
        <w:t xml:space="preserve"> The next </w:t>
      </w:r>
      <w:r w:rsidR="00A854E9">
        <w:t>five</w:t>
      </w:r>
      <w:r w:rsidR="00A854E9" w:rsidRPr="00A854E9">
        <w:t xml:space="preserve"> years were spent hungry</w:t>
      </w:r>
      <w:r w:rsidR="00A854E9">
        <w:t>, lonely</w:t>
      </w:r>
      <w:r w:rsidR="00A854E9" w:rsidRPr="00A854E9">
        <w:t xml:space="preserve"> and in search of work</w:t>
      </w:r>
      <w:r w:rsidR="00A854E9">
        <w:t>, falling</w:t>
      </w:r>
      <w:r w:rsidR="00A854E9" w:rsidRPr="00A854E9">
        <w:t xml:space="preserve"> prey to the sexual advances of at least one of her male employers</w:t>
      </w:r>
      <w:r w:rsidR="00A854E9">
        <w:t xml:space="preserve">. Eventually Zora’s older brother, </w:t>
      </w:r>
      <w:r w:rsidR="000844CB">
        <w:t>Bob</w:t>
      </w:r>
      <w:r w:rsidR="00A854E9">
        <w:t xml:space="preserve"> invited her to live with him and his wife. They had three children and Zora was to help care for them and the house. </w:t>
      </w:r>
      <w:r w:rsidR="00A854E9">
        <w:lastRenderedPageBreak/>
        <w:t>Although in the warm embrace of family</w:t>
      </w:r>
      <w:r w:rsidR="002D3A1B">
        <w:t>,</w:t>
      </w:r>
      <w:r w:rsidR="00A854E9">
        <w:t xml:space="preserve"> and an aunt to three children who she came to love dearly, Zora’s misfortune was not over. Her brother was a controlling man who promised his sister an education but instead, kept her as an unpaid nanny and housekeeper.</w:t>
      </w:r>
      <w:r w:rsidR="00A854E9" w:rsidRPr="00A854E9">
        <w:t xml:space="preserve"> </w:t>
      </w:r>
      <w:r w:rsidR="00A854E9">
        <w:t>During this time Bob moved the family to Memphis. Memphis was a gateway to the north for many blacks escaping the harsh realities of southern life. Zora</w:t>
      </w:r>
      <w:r w:rsidR="00174D5E">
        <w:t xml:space="preserve">, found herself trapped in servitude witnessing many of her own people heading toward a brighter future. In 1914 Zora left her brother and moved to Jacksonville. It is here that Zora gained first-hand experience of what much of her future work would involve. She became involved in an abusive relationship, details of which are scarce. This relationship did not last long and she escaped to become a maid to the lead singer of a Gilbert and Sullivan travelling show. This was the first time since her mother’s death that Zora had felt truly happy. She was employed in a job she loved, surrounded by people she liked and was finally being well paid. </w:t>
      </w:r>
      <w:r>
        <w:rPr>
          <w:rStyle w:val="FootnoteReference"/>
        </w:rPr>
        <w:footnoteReference w:id="8"/>
      </w:r>
      <w:r>
        <w:t xml:space="preserve"> </w:t>
      </w:r>
    </w:p>
    <w:p w:rsidR="00A266B5" w:rsidRDefault="00BE45B3" w:rsidP="00E14435">
      <w:r>
        <w:t>In the Gilbert and Sullivan troupe, Zora was the only black person. This would have been the first time she had experienced an all-white environment. Having grown up in a town inhabited exclusively by African Americans and gradually introduced into the homes of various white people as a maid, her racial experience had now come full circle. It is during this time that Zora learned not to be sensitive about race. It is in Zora’s relationship to her own race that a great contradiction seems to exist. Pratt describes a conversation he had with Zora</w:t>
      </w:r>
      <w:r w:rsidR="00B54304">
        <w:t xml:space="preserve">, ‘She couldn’t help being sensitive of the </w:t>
      </w:r>
      <w:proofErr w:type="spellStart"/>
      <w:r w:rsidR="00B54304">
        <w:t>color</w:t>
      </w:r>
      <w:proofErr w:type="spellEnd"/>
      <w:r w:rsidR="00B54304">
        <w:t xml:space="preserve"> line, but her sensitiveness was of another kind than the usual. It was never bitter. She was always proud of being a negro and once told me she wouldn’t be white for anything in the world.’</w:t>
      </w:r>
      <w:r w:rsidR="00B54304">
        <w:rPr>
          <w:rStyle w:val="FootnoteReference"/>
        </w:rPr>
        <w:footnoteReference w:id="9"/>
      </w:r>
      <w:r>
        <w:t xml:space="preserve"> </w:t>
      </w:r>
      <w:r w:rsidR="00B54304">
        <w:t>Pratt follows this with an anecdote of Zora having dinner with him and his wife at their home, ‘while the meal was being prepared a white caller came to the door. Zora, seeing him before we did, stepped away so that the man would not see her. Afterward, we told her that she need not have done this. She said she didn’t want to take any chance of embarrassing us.’</w:t>
      </w:r>
      <w:r w:rsidR="00B54304">
        <w:rPr>
          <w:rStyle w:val="FootnoteReference"/>
        </w:rPr>
        <w:footnoteReference w:id="10"/>
      </w:r>
      <w:r w:rsidR="00974E70">
        <w:t xml:space="preserve"> Zora knew how to manipulate her white patrons and friends, when writing to one of her Harlem patrons, she would often call herself, ‘your humble and obedient servant, or, ‘your little pickaninny’.</w:t>
      </w:r>
      <w:r w:rsidR="004846D0">
        <w:t xml:space="preserve"> In contrast to Zora’s statement in her book, ‘</w:t>
      </w:r>
      <w:r w:rsidR="004846D0" w:rsidRPr="004846D0">
        <w:rPr>
          <w:i/>
        </w:rPr>
        <w:t xml:space="preserve">How it feels to be </w:t>
      </w:r>
      <w:proofErr w:type="spellStart"/>
      <w:r w:rsidR="004846D0" w:rsidRPr="004846D0">
        <w:rPr>
          <w:i/>
        </w:rPr>
        <w:t>colored</w:t>
      </w:r>
      <w:proofErr w:type="spellEnd"/>
      <w:r w:rsidR="004846D0" w:rsidRPr="004846D0">
        <w:rPr>
          <w:i/>
        </w:rPr>
        <w:t xml:space="preserve"> me’</w:t>
      </w:r>
      <w:r w:rsidR="004846D0">
        <w:t>.</w:t>
      </w:r>
      <w:r w:rsidR="00974E70">
        <w:t xml:space="preserve"> </w:t>
      </w:r>
      <w:r w:rsidR="004846D0">
        <w:t xml:space="preserve">‘I am not tragically </w:t>
      </w:r>
      <w:proofErr w:type="spellStart"/>
      <w:r w:rsidR="004846D0">
        <w:t>colored</w:t>
      </w:r>
      <w:proofErr w:type="spellEnd"/>
      <w:r w:rsidR="004846D0">
        <w:t xml:space="preserve">. I do not belong to the sobbing school of </w:t>
      </w:r>
      <w:proofErr w:type="spellStart"/>
      <w:r w:rsidR="004846D0">
        <w:t>negrohood</w:t>
      </w:r>
      <w:proofErr w:type="spellEnd"/>
      <w:r w:rsidR="004846D0">
        <w:t xml:space="preserve"> who hold that nature somehow has given them a low-down dirty deal and whose feelings are all hurt about it’.</w:t>
      </w:r>
      <w:r w:rsidR="002E098A">
        <w:rPr>
          <w:rStyle w:val="FootnoteReference"/>
        </w:rPr>
        <w:footnoteReference w:id="11"/>
      </w:r>
      <w:r w:rsidR="002E098A">
        <w:t xml:space="preserve"> </w:t>
      </w:r>
      <w:r w:rsidR="00974E70">
        <w:t>Zora’s contemporary John Henrik Clark, claimed that Zora engaged in racial roleplay as a way of getting what she wanted</w:t>
      </w:r>
      <w:r w:rsidR="000844CB">
        <w:t>,</w:t>
      </w:r>
      <w:r w:rsidR="00974E70">
        <w:t xml:space="preserve"> and that it always worked.</w:t>
      </w:r>
      <w:r w:rsidR="00974E70">
        <w:rPr>
          <w:rStyle w:val="FootnoteReference"/>
        </w:rPr>
        <w:footnoteReference w:id="12"/>
      </w:r>
    </w:p>
    <w:p w:rsidR="000844CB" w:rsidRDefault="00821EC3" w:rsidP="00E14435">
      <w:bookmarkStart w:id="3" w:name="_Hlk31270550"/>
      <w:bookmarkEnd w:id="1"/>
      <w:r>
        <w:t>Whilst studying</w:t>
      </w:r>
      <w:r w:rsidR="00B63ACD">
        <w:t xml:space="preserve"> at </w:t>
      </w:r>
      <w:r>
        <w:t>Morgan</w:t>
      </w:r>
      <w:r w:rsidR="004846D0">
        <w:t xml:space="preserve"> </w:t>
      </w:r>
      <w:r>
        <w:t>academy in Baltimore</w:t>
      </w:r>
      <w:r w:rsidR="004846D0">
        <w:t xml:space="preserve">, </w:t>
      </w:r>
      <w:r>
        <w:t>Zora</w:t>
      </w:r>
      <w:r w:rsidR="004846D0">
        <w:t xml:space="preserve"> met a student</w:t>
      </w:r>
      <w:r w:rsidR="002D3A1B">
        <w:t>, May Miller,</w:t>
      </w:r>
      <w:r w:rsidR="004846D0">
        <w:t xml:space="preserve"> from </w:t>
      </w:r>
      <w:r>
        <w:t>Howard</w:t>
      </w:r>
      <w:r w:rsidR="004846D0">
        <w:t xml:space="preserve"> college in Washington D. C. widely regarded as the Harvard for blacks.</w:t>
      </w:r>
      <w:r w:rsidR="00320C1C">
        <w:t xml:space="preserve"> Her new friend encouraged Zora to enrol at </w:t>
      </w:r>
      <w:r>
        <w:t>Howard</w:t>
      </w:r>
      <w:r w:rsidR="00320C1C">
        <w:t>. After a little persuasion Zora set off for the capital</w:t>
      </w:r>
      <w:r w:rsidR="00A3502C">
        <w:t>. First, she had to complete</w:t>
      </w:r>
      <w:r w:rsidR="00320C1C">
        <w:t xml:space="preserve"> preparatory classes</w:t>
      </w:r>
      <w:r w:rsidR="00A3502C">
        <w:t>,</w:t>
      </w:r>
      <w:r w:rsidR="00320C1C">
        <w:t xml:space="preserve"> she</w:t>
      </w:r>
      <w:r w:rsidR="00A3502C">
        <w:t xml:space="preserve"> funded this by working as a waitress in the prestigious Cosmos Club. This exclusively white, male environment, once again, cast Zora into subservient role as both black and a woman. No doubt she used this opportunity to hone her skills in ‘white psychology’, but she left as soon as she had the money she needed. Zora</w:t>
      </w:r>
      <w:r w:rsidR="00320C1C">
        <w:t xml:space="preserve"> became a student at the most prestigious African American school in the country. It is here that Zora once again</w:t>
      </w:r>
      <w:r w:rsidR="007C468F">
        <w:t>,</w:t>
      </w:r>
      <w:r w:rsidR="00320C1C">
        <w:t xml:space="preserve"> found herself treading the middle ground. Although surrounded by members of her own race, she was of a different social standing than most. Many of her fellow student’s were from the finest, wealthiest black families in the country. She was often playfully teased for her limited wardrobe and had to work to fund her studies. She found work at a black owned, whites only barbershop. Her skills as a manicurist, learnt </w:t>
      </w:r>
      <w:r w:rsidR="00320C1C">
        <w:lastRenderedPageBreak/>
        <w:t>from her Gilbert and Sullivan days, secured her a comfortable position. When her clients learned that she was a student, they tipped her generously, affording Zora the luxury of new clothes to fit in better with her fellow students.</w:t>
      </w:r>
      <w:r w:rsidR="00CF3B8B">
        <w:t xml:space="preserve"> As a black female Zora made the ideal confidante, her wealthy, white clients would divulge secrets to her of political intrigues at the white house and secret affairs. As Zora put it, ‘I know that my discretion could do no harm, if I told, no-one would have believed me anyway.’</w:t>
      </w:r>
      <w:r w:rsidR="00CF3B8B">
        <w:rPr>
          <w:rStyle w:val="FootnoteReference"/>
        </w:rPr>
        <w:footnoteReference w:id="13"/>
      </w:r>
      <w:r w:rsidR="00CF3B8B">
        <w:t xml:space="preserve"> </w:t>
      </w:r>
    </w:p>
    <w:p w:rsidR="00D81F27" w:rsidRDefault="00821EC3" w:rsidP="00E14435">
      <w:r>
        <w:t xml:space="preserve">It is at Howard that Zora met Alain Locke, author of </w:t>
      </w:r>
      <w:r w:rsidRPr="00821EC3">
        <w:rPr>
          <w:i/>
        </w:rPr>
        <w:t>the New Negro</w:t>
      </w:r>
      <w:r>
        <w:t>. Acting as mentor</w:t>
      </w:r>
      <w:r w:rsidR="004C0F33">
        <w:t>,</w:t>
      </w:r>
      <w:r>
        <w:t xml:space="preserve"> Locke </w:t>
      </w:r>
      <w:r w:rsidR="004C0F33">
        <w:t>encouraged Zora to submit her</w:t>
      </w:r>
      <w:r>
        <w:t xml:space="preserve"> first shot story, </w:t>
      </w:r>
      <w:r w:rsidRPr="00821EC3">
        <w:rPr>
          <w:i/>
        </w:rPr>
        <w:t>Drenched in Light</w:t>
      </w:r>
      <w:r>
        <w:t xml:space="preserve">, </w:t>
      </w:r>
      <w:r w:rsidR="004C0F33">
        <w:t>to</w:t>
      </w:r>
      <w:r>
        <w:t xml:space="preserve"> in </w:t>
      </w:r>
      <w:r w:rsidRPr="00821EC3">
        <w:rPr>
          <w:i/>
        </w:rPr>
        <w:t>Opportunity</w:t>
      </w:r>
      <w:r>
        <w:t xml:space="preserve"> magazine</w:t>
      </w:r>
      <w:r w:rsidR="004C0F33">
        <w:t>.</w:t>
      </w:r>
      <w:r w:rsidRPr="00821EC3">
        <w:t xml:space="preserve"> </w:t>
      </w:r>
      <w:r w:rsidR="004C0F33">
        <w:t>B</w:t>
      </w:r>
      <w:r w:rsidRPr="00821EC3">
        <w:t>uoyed up enough by its success</w:t>
      </w:r>
      <w:r w:rsidR="004C0F33">
        <w:t>, Zora moved</w:t>
      </w:r>
      <w:r w:rsidRPr="00821EC3">
        <w:t xml:space="preserve"> to</w:t>
      </w:r>
      <w:r w:rsidR="007344E7">
        <w:t xml:space="preserve"> Harlem,</w:t>
      </w:r>
      <w:r w:rsidRPr="00821EC3">
        <w:t xml:space="preserve"> New York</w:t>
      </w:r>
      <w:r w:rsidR="004C0F33">
        <w:t xml:space="preserve"> In January 1925</w:t>
      </w:r>
      <w:r w:rsidRPr="00821EC3">
        <w:t>.</w:t>
      </w:r>
      <w:r w:rsidR="004C0F33">
        <w:rPr>
          <w:rStyle w:val="FootnoteReference"/>
        </w:rPr>
        <w:footnoteReference w:id="14"/>
      </w:r>
      <w:r w:rsidRPr="00821EC3">
        <w:t xml:space="preserve"> Yet again Zora found herself in an all-black environment, feeling so comfortable she claimed, ‘At certain times I have no race, I am me.’</w:t>
      </w:r>
      <w:r w:rsidRPr="00821EC3">
        <w:rPr>
          <w:vertAlign w:val="superscript"/>
        </w:rPr>
        <w:footnoteReference w:id="15"/>
      </w:r>
      <w:r w:rsidR="007344E7">
        <w:t xml:space="preserve"> At 34, but pretending to be much younger, Zora finally found success. She attended the </w:t>
      </w:r>
      <w:r w:rsidR="00E57B48">
        <w:rPr>
          <w:i/>
        </w:rPr>
        <w:t>O</w:t>
      </w:r>
      <w:r w:rsidR="007344E7" w:rsidRPr="007344E7">
        <w:rPr>
          <w:i/>
        </w:rPr>
        <w:t xml:space="preserve">pportunity </w:t>
      </w:r>
      <w:r w:rsidR="007344E7">
        <w:t>award ceremony</w:t>
      </w:r>
      <w:r w:rsidR="007C468F">
        <w:t>, where she</w:t>
      </w:r>
      <w:r w:rsidR="007344E7">
        <w:t xml:space="preserve"> won two awards for her writing, and met the founder of Barnard college. She was offered the chance to study</w:t>
      </w:r>
      <w:r w:rsidR="007C468F">
        <w:t>,</w:t>
      </w:r>
      <w:r w:rsidR="007344E7">
        <w:t xml:space="preserve"> as Barnard’s only black student. Whilst at Barnard Zora met Dr Franz Boas, he took an immediate interest in Zora and she took up the study of anthropology with him</w:t>
      </w:r>
      <w:r w:rsidR="00E57B48">
        <w:t>. In 1927 Boas and Hurston took an anthropological tour of the south, Zora was excited to reconnect with her past and her people. During their travels Zora learnt that her education had changed her, she was now a stranger in the south. Her education had served only to distance her from her fellow southern blacks.</w:t>
      </w:r>
      <w:r w:rsidR="002071C3">
        <w:rPr>
          <w:rStyle w:val="FootnoteReference"/>
        </w:rPr>
        <w:footnoteReference w:id="16"/>
      </w:r>
      <w:r w:rsidR="002071C3">
        <w:t xml:space="preserve"> True to form, Zora learnt to turn this to her advantage</w:t>
      </w:r>
      <w:r w:rsidR="00725B7B">
        <w:t xml:space="preserve"> while on future trips to the south</w:t>
      </w:r>
      <w:r w:rsidR="007C468F">
        <w:t>, with close friend Langston Hughes</w:t>
      </w:r>
      <w:r w:rsidR="002071C3">
        <w:t>. As Miles claims, Zora’s unique position as a member of the southern black community and a skilled anthropologist, provided her with a lens through which to better understand and record her findings.</w:t>
      </w:r>
      <w:r w:rsidR="00D81F27" w:rsidRPr="00D81F27">
        <w:t xml:space="preserve"> Again, Zora was between places, using her now highly developed skills as a writer and anthropologist, Zora was able to tell the stories and folk tales of the largely ignored southern blacks. Disseminated throughout black and white communities, Zora’s mainly testimonial work was widely read, criticised and praised.</w:t>
      </w:r>
      <w:r w:rsidR="002071C3">
        <w:rPr>
          <w:rStyle w:val="FootnoteReference"/>
        </w:rPr>
        <w:footnoteReference w:id="17"/>
      </w:r>
    </w:p>
    <w:p w:rsidR="00D81F27" w:rsidRDefault="005110A0" w:rsidP="00E14435">
      <w:bookmarkStart w:id="7" w:name="_Hlk31272767"/>
      <w:r>
        <w:t>The criticism Zora faced for her work came partly from her former mentor Alain Locke, popular with white audiences Zora was accused of pandering. Locke dissuaded Zora from portraying southern black life with any positivity, her writings of folk tales and songs were viewed as to distracting. Locke urged her to focus on testimony of the lynching’s and violence being perpetrated throughout the southern states. This kind of work was already being done by Ida B. Wells, who was producing graphic and harrowing descriptions of brutish southern whites murdering innocent blacks, some of whom were her personal friends.</w:t>
      </w:r>
      <w:r>
        <w:rPr>
          <w:rStyle w:val="FootnoteReference"/>
        </w:rPr>
        <w:footnoteReference w:id="18"/>
      </w:r>
      <w:r>
        <w:t xml:space="preserve"> Zora was no stranger to the violence created by the Jim Crow laws, in 1920 she witnessed, and later reported on the all-black town of </w:t>
      </w:r>
      <w:proofErr w:type="spellStart"/>
      <w:r>
        <w:t>Ocee</w:t>
      </w:r>
      <w:proofErr w:type="spellEnd"/>
      <w:r>
        <w:t xml:space="preserve"> being attacked.</w:t>
      </w:r>
      <w:r w:rsidR="00F8200C">
        <w:t xml:space="preserve"> The town citizens had protested against their voting rights being denied, the response of the whites was to burn the town to the ground. ‘The whole Negro settlement was being assaulted. A Negro carpenter had been beaten and castrated tied to the back of a car and killed.’</w:t>
      </w:r>
      <w:r w:rsidR="00F8200C">
        <w:rPr>
          <w:rStyle w:val="FootnoteReference"/>
        </w:rPr>
        <w:footnoteReference w:id="19"/>
      </w:r>
      <w:r w:rsidR="003E1B26">
        <w:t xml:space="preserve"> Hurston’s refusal to adhere to her critics demands was not the only controversy surrounding her. As a respected author her opinions were considered to be more important. Zora’s opinions on segregation again found her </w:t>
      </w:r>
      <w:r w:rsidR="003E1B26">
        <w:lastRenderedPageBreak/>
        <w:t xml:space="preserve">accused of pandering. Many, seemingly contradictory, statements exist regarding Zora’s attitude towards the Jim Crow laws, these stem from the </w:t>
      </w:r>
      <w:r w:rsidR="003E1B26" w:rsidRPr="00C514A3">
        <w:rPr>
          <w:i/>
        </w:rPr>
        <w:t>Brown vs Board of education</w:t>
      </w:r>
      <w:r w:rsidR="003E1B26">
        <w:t xml:space="preserve"> ruling, which forced racial integration in schools. </w:t>
      </w:r>
      <w:r w:rsidR="00C514A3">
        <w:t>Zora argued against the ruling, she claimed that it would damage the self esteem of the black children and that the ruling was an insult to the black community. She believed that integration should only start when the white population was ready, they had to be willing to accept their wrongdoings of the past, apologise and accept integration openly. This does not mean that Zora agreed with the Jim Crow laws, as she stated, ‘Jim Crow laws have been put on the books for a purpose and that purpose is psychological. . . The smallest dark child is to be convinced of its inferiority.’</w:t>
      </w:r>
      <w:r w:rsidR="00C514A3">
        <w:rPr>
          <w:rStyle w:val="FootnoteReference"/>
        </w:rPr>
        <w:footnoteReference w:id="20"/>
      </w:r>
      <w:r>
        <w:t xml:space="preserve"> </w:t>
      </w:r>
      <w:r w:rsidR="00F174DB">
        <w:t xml:space="preserve">Contemporary criticism of Hurston’s political beliefs still resonate today, her former </w:t>
      </w:r>
      <w:r w:rsidR="00057F70">
        <w:t>mentor, Locke was one of her harshest critics. In refusing to adhere to the political specifications established by the male leaders of the Harlem renaissance, Zora alienated members of the black community. Insisting on writing about the conflict between males and females within the black community endeared her to many white women, able to relate to her narratives regardless of race. Hurston played her part in overcoming the racial barriers of her time, the problem was that she did it in her own way, not as she was told.</w:t>
      </w:r>
      <w:r w:rsidR="00057F70">
        <w:rPr>
          <w:rStyle w:val="FootnoteReference"/>
        </w:rPr>
        <w:footnoteReference w:id="21"/>
      </w:r>
      <w:r w:rsidR="00057F70">
        <w:t xml:space="preserve"> </w:t>
      </w:r>
    </w:p>
    <w:p w:rsidR="00C1689F" w:rsidRDefault="00C514A3" w:rsidP="00E14435">
      <w:r>
        <w:t xml:space="preserve">Throughout her career Zora published </w:t>
      </w:r>
      <w:r w:rsidR="00502259">
        <w:t>seven novels and many more short stories as well as articles and poems. She became known as the queen of the Harlem renaissance and her personality, intelligence and passion endeared her to many</w:t>
      </w:r>
      <w:r w:rsidR="00B40C39">
        <w:t>,</w:t>
      </w:r>
      <w:r w:rsidR="00502259">
        <w:t xml:space="preserve"> whilst alienating others.</w:t>
      </w:r>
      <w:r w:rsidR="00160BE9">
        <w:t xml:space="preserve"> Her life typifies the black experience, her sense of ‘double consciousness’ when </w:t>
      </w:r>
      <w:r w:rsidR="00522816">
        <w:t>describing her first experience of being aware of her own race</w:t>
      </w:r>
      <w:r w:rsidR="00160BE9">
        <w:t>, ‘It was fitting me like a tight chemise. It was only when I was off in college, away from my native surroundings, that I could see myself like somebody else, and stand off and look at my garment.’</w:t>
      </w:r>
      <w:r w:rsidR="00160BE9">
        <w:rPr>
          <w:rStyle w:val="FootnoteReference"/>
        </w:rPr>
        <w:footnoteReference w:id="22"/>
      </w:r>
      <w:r w:rsidR="00160BE9">
        <w:t xml:space="preserve"> </w:t>
      </w:r>
      <w:r w:rsidR="00522816">
        <w:t>The mask she wore when in the company of her white patrons or clients</w:t>
      </w:r>
      <w:r w:rsidR="002F0A23">
        <w:t>.</w:t>
      </w:r>
      <w:r w:rsidR="00522816">
        <w:t xml:space="preserve"> </w:t>
      </w:r>
      <w:r w:rsidR="002F0A23">
        <w:t>H</w:t>
      </w:r>
      <w:r w:rsidR="00522816">
        <w:t>er tactics of self-deprecation and minstrelsy performances</w:t>
      </w:r>
      <w:r w:rsidR="002F0A23">
        <w:t>,</w:t>
      </w:r>
      <w:r w:rsidR="00522816">
        <w:t xml:space="preserve"> </w:t>
      </w:r>
      <w:r w:rsidR="002F0A23">
        <w:t>enabled</w:t>
      </w:r>
      <w:r w:rsidR="00522816">
        <w:t xml:space="preserve"> her to navigate and thrive in a white dominated world.</w:t>
      </w:r>
      <w:r w:rsidR="002F0A23">
        <w:rPr>
          <w:rStyle w:val="FootnoteReference"/>
        </w:rPr>
        <w:footnoteReference w:id="23"/>
      </w:r>
      <w:r w:rsidR="00522816">
        <w:t xml:space="preserve"> </w:t>
      </w:r>
      <w:r w:rsidR="002F0A23">
        <w:t>Zora’s dedication in her pursuit of an education provided her with the training to fulfil her role as a representative of the overlooked black woman. Acting as a vessel travelling back and forth from the southern states, with testimonies of the harsh realities of female life. Her works influenced the growing feminist movements of the early 20</w:t>
      </w:r>
      <w:r w:rsidR="002F0A23" w:rsidRPr="002F0A23">
        <w:rPr>
          <w:vertAlign w:val="superscript"/>
        </w:rPr>
        <w:t>th</w:t>
      </w:r>
      <w:r w:rsidR="002F0A23">
        <w:t xml:space="preserve"> century and beyond. </w:t>
      </w:r>
      <w:r w:rsidR="00160BE9">
        <w:t xml:space="preserve"> </w:t>
      </w:r>
      <w:r w:rsidR="00502259">
        <w:t>The final years of her life were spent in obscurity working various jobs from, housemaid to substitute teacher. Her health eventually failed and she died on January 28</w:t>
      </w:r>
      <w:r w:rsidR="00502259" w:rsidRPr="00502259">
        <w:rPr>
          <w:vertAlign w:val="superscript"/>
        </w:rPr>
        <w:t>th</w:t>
      </w:r>
      <w:r w:rsidR="00502259">
        <w:t xml:space="preserve"> 1960. Buried in an unmarked grave</w:t>
      </w:r>
      <w:r w:rsidR="00C1689F">
        <w:t xml:space="preserve"> in a segregated cemetery,</w:t>
      </w:r>
      <w:r w:rsidR="00502259">
        <w:t xml:space="preserve"> and her books no longer in print</w:t>
      </w:r>
      <w:r w:rsidR="00354A69">
        <w:t>,</w:t>
      </w:r>
      <w:r w:rsidR="00502259">
        <w:t xml:space="preserve"> Hurston typified the black experience. Her contributions to the culture she had helped build were forgotten, even her name </w:t>
      </w:r>
      <w:r w:rsidR="00C1689F">
        <w:t xml:space="preserve">was not seen as worthy of inscription. Relegated to behind the scenes, forgotten and unappreciated. </w:t>
      </w:r>
    </w:p>
    <w:p w:rsidR="00E2027F" w:rsidRDefault="00C1689F" w:rsidP="00E14435">
      <w:r>
        <w:t xml:space="preserve">This, fortunately, was not the end of Zora’s life story, her grave was rediscovered in the 1970’s, </w:t>
      </w:r>
      <w:r w:rsidR="00F174DB">
        <w:t xml:space="preserve">and </w:t>
      </w:r>
      <w:r>
        <w:t>money was raised for a proper headstone</w:t>
      </w:r>
      <w:r w:rsidR="006F4A62">
        <w:t xml:space="preserve"> with the inscription ‘A Genius of the South’</w:t>
      </w:r>
      <w:r>
        <w:t>. Zora’s books became relevant again as feminist writings, her niece provided the Hurston family Bible for academic study,</w:t>
      </w:r>
      <w:r w:rsidR="000F33C7">
        <w:rPr>
          <w:rStyle w:val="FootnoteReference"/>
        </w:rPr>
        <w:footnoteReference w:id="24"/>
      </w:r>
      <w:r>
        <w:t xml:space="preserve"> shedding light on many inconsistencies in Hurston’s life.</w:t>
      </w:r>
      <w:r w:rsidR="000F33C7">
        <w:t xml:space="preserve"> There is even a literary festival held </w:t>
      </w:r>
      <w:r w:rsidR="000F33C7">
        <w:lastRenderedPageBreak/>
        <w:t>annually in Florida, in recognition and celebration of Zora’s work and life.</w:t>
      </w:r>
      <w:r w:rsidR="006F4A62">
        <w:t xml:space="preserve"> Including Alice Walker’s dedication, ‘</w:t>
      </w:r>
      <w:r w:rsidR="006F4A62" w:rsidRPr="006F4A62">
        <w:rPr>
          <w:i/>
        </w:rPr>
        <w:t>On Refusing to Be Humbled by Second Place in a Contest You Did Not Design.’</w:t>
      </w:r>
      <w:r w:rsidR="006F4A62">
        <w:t xml:space="preserve"> </w:t>
      </w:r>
      <w:r w:rsidR="00B40C39">
        <w:rPr>
          <w:rStyle w:val="FootnoteReference"/>
        </w:rPr>
        <w:footnoteReference w:id="25"/>
      </w:r>
      <w:r>
        <w:t xml:space="preserve">    </w:t>
      </w:r>
      <w:r w:rsidR="00502259">
        <w:t xml:space="preserve">  </w:t>
      </w:r>
    </w:p>
    <w:bookmarkEnd w:id="3"/>
    <w:p w:rsidR="000844CB" w:rsidRDefault="00CF3B8B" w:rsidP="00E14435">
      <w:r>
        <w:lastRenderedPageBreak/>
        <w:t xml:space="preserve"> </w:t>
      </w:r>
    </w:p>
    <w:bookmarkEnd w:id="7"/>
    <w:p w:rsidR="00A266B5" w:rsidRDefault="00CF3B8B" w:rsidP="00E14435">
      <w:r>
        <w:t xml:space="preserve">  </w:t>
      </w:r>
      <w:r w:rsidR="00320C1C">
        <w:t xml:space="preserve">   </w:t>
      </w:r>
    </w:p>
    <w:p w:rsidR="00174D5E" w:rsidRPr="00E14435" w:rsidRDefault="00974E70" w:rsidP="00E14435">
      <w:r>
        <w:t xml:space="preserve"> </w:t>
      </w:r>
    </w:p>
    <w:sectPr w:rsidR="00174D5E" w:rsidRPr="00E144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4506E" w:rsidRDefault="0044506E" w:rsidP="0044506E">
      <w:pPr>
        <w:spacing w:after="0" w:line="240" w:lineRule="auto"/>
      </w:pPr>
      <w:r>
        <w:separator/>
      </w:r>
    </w:p>
  </w:endnote>
  <w:endnote w:type="continuationSeparator" w:id="0">
    <w:p w:rsidR="0044506E" w:rsidRDefault="0044506E" w:rsidP="004450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4506E" w:rsidRDefault="0044506E" w:rsidP="0044506E">
      <w:pPr>
        <w:spacing w:after="0" w:line="240" w:lineRule="auto"/>
      </w:pPr>
      <w:r>
        <w:separator/>
      </w:r>
    </w:p>
  </w:footnote>
  <w:footnote w:type="continuationSeparator" w:id="0">
    <w:p w:rsidR="0044506E" w:rsidRDefault="0044506E" w:rsidP="0044506E">
      <w:pPr>
        <w:spacing w:after="0" w:line="240" w:lineRule="auto"/>
      </w:pPr>
      <w:r>
        <w:continuationSeparator/>
      </w:r>
    </w:p>
  </w:footnote>
  <w:footnote w:id="1">
    <w:p w:rsidR="0044506E" w:rsidRDefault="0044506E">
      <w:pPr>
        <w:pStyle w:val="FootnoteText"/>
      </w:pPr>
      <w:r>
        <w:rPr>
          <w:rStyle w:val="FootnoteReference"/>
        </w:rPr>
        <w:footnoteRef/>
      </w:r>
      <w:r>
        <w:t xml:space="preserve"> </w:t>
      </w:r>
      <w:r w:rsidR="00A04601" w:rsidRPr="00A04601">
        <w:t>Valerie Boyd, 'Zora Neale Hurston: The Howard University Years', </w:t>
      </w:r>
      <w:r w:rsidR="00A04601" w:rsidRPr="00A04601">
        <w:rPr>
          <w:i/>
          <w:iCs/>
        </w:rPr>
        <w:t>The Journal of Blacks in Higher Education, </w:t>
      </w:r>
      <w:r w:rsidR="00A04601" w:rsidRPr="00A04601">
        <w:t>39 (2003), 104-108, p.p. 104, 105</w:t>
      </w:r>
      <w:r w:rsidR="00A04601">
        <w:t>, p. 108.</w:t>
      </w:r>
    </w:p>
  </w:footnote>
  <w:footnote w:id="2">
    <w:p w:rsidR="00673E80" w:rsidRDefault="00673E80">
      <w:pPr>
        <w:pStyle w:val="FootnoteText"/>
      </w:pPr>
      <w:r>
        <w:rPr>
          <w:rStyle w:val="FootnoteReference"/>
        </w:rPr>
        <w:footnoteRef/>
      </w:r>
      <w:r>
        <w:t xml:space="preserve"> </w:t>
      </w:r>
      <w:r w:rsidR="008B4141">
        <w:t xml:space="preserve">Paul </w:t>
      </w:r>
      <w:r w:rsidR="00B925D5" w:rsidRPr="00B925D5">
        <w:t>Gilroy, </w:t>
      </w:r>
      <w:r w:rsidR="00B925D5" w:rsidRPr="00B925D5">
        <w:rPr>
          <w:i/>
          <w:iCs/>
        </w:rPr>
        <w:t>The Black Atlantic</w:t>
      </w:r>
      <w:r w:rsidR="008B4141">
        <w:rPr>
          <w:i/>
          <w:iCs/>
        </w:rPr>
        <w:t>,</w:t>
      </w:r>
      <w:r w:rsidR="00B925D5" w:rsidRPr="00B925D5">
        <w:t> (New York: Verso, 1993)</w:t>
      </w:r>
      <w:r w:rsidR="008B4141">
        <w:t>,</w:t>
      </w:r>
      <w:r w:rsidR="00B925D5">
        <w:t xml:space="preserve"> p. 4.</w:t>
      </w:r>
    </w:p>
  </w:footnote>
  <w:footnote w:id="3">
    <w:p w:rsidR="00A327D3" w:rsidRDefault="00A327D3">
      <w:pPr>
        <w:pStyle w:val="FootnoteText"/>
      </w:pPr>
      <w:r>
        <w:rPr>
          <w:rStyle w:val="FootnoteReference"/>
        </w:rPr>
        <w:footnoteRef/>
      </w:r>
      <w:r>
        <w:t xml:space="preserve"> </w:t>
      </w:r>
      <w:r w:rsidR="008B4141" w:rsidRPr="008B4141">
        <w:t xml:space="preserve">W. E. Burghardt </w:t>
      </w:r>
      <w:r w:rsidR="00B925D5" w:rsidRPr="00B925D5">
        <w:t xml:space="preserve">Du </w:t>
      </w:r>
      <w:proofErr w:type="spellStart"/>
      <w:r w:rsidR="00B925D5" w:rsidRPr="00B925D5">
        <w:t>Bois</w:t>
      </w:r>
      <w:proofErr w:type="spellEnd"/>
      <w:r w:rsidR="00B925D5" w:rsidRPr="00B925D5">
        <w:t>, </w:t>
      </w:r>
      <w:r w:rsidR="00B925D5" w:rsidRPr="00B925D5">
        <w:rPr>
          <w:i/>
          <w:iCs/>
        </w:rPr>
        <w:t>The</w:t>
      </w:r>
      <w:r w:rsidR="006063DE">
        <w:rPr>
          <w:i/>
          <w:iCs/>
        </w:rPr>
        <w:t xml:space="preserve"> </w:t>
      </w:r>
      <w:r w:rsidR="00B925D5" w:rsidRPr="00B925D5">
        <w:rPr>
          <w:i/>
          <w:iCs/>
        </w:rPr>
        <w:t>Souls of Black Folk</w:t>
      </w:r>
      <w:r w:rsidR="008B4141">
        <w:rPr>
          <w:i/>
          <w:iCs/>
        </w:rPr>
        <w:t>,</w:t>
      </w:r>
      <w:r w:rsidR="00B925D5" w:rsidRPr="00B925D5">
        <w:t> (Chicago: A. C. McClurg &amp; Co, 1903)</w:t>
      </w:r>
      <w:r w:rsidR="008B4141">
        <w:t>,</w:t>
      </w:r>
      <w:r w:rsidR="00B925D5">
        <w:t xml:space="preserve"> p. 3.</w:t>
      </w:r>
    </w:p>
  </w:footnote>
  <w:footnote w:id="4">
    <w:p w:rsidR="008E6B5D" w:rsidRDefault="008E6B5D">
      <w:pPr>
        <w:pStyle w:val="FootnoteText"/>
      </w:pPr>
      <w:r>
        <w:rPr>
          <w:rStyle w:val="FootnoteReference"/>
        </w:rPr>
        <w:footnoteRef/>
      </w:r>
      <w:r>
        <w:t xml:space="preserve"> </w:t>
      </w:r>
      <w:proofErr w:type="spellStart"/>
      <w:r w:rsidRPr="008E6B5D">
        <w:t>Lovalerie</w:t>
      </w:r>
      <w:proofErr w:type="spellEnd"/>
      <w:r w:rsidR="00705514">
        <w:t xml:space="preserve"> King,</w:t>
      </w:r>
      <w:r w:rsidRPr="008E6B5D">
        <w:t> </w:t>
      </w:r>
      <w:r w:rsidRPr="008E6B5D">
        <w:rPr>
          <w:i/>
          <w:iCs/>
        </w:rPr>
        <w:t>The Cambridge Introduction to Zora Neale Hurston</w:t>
      </w:r>
      <w:r w:rsidR="00705514">
        <w:rPr>
          <w:i/>
          <w:iCs/>
        </w:rPr>
        <w:t>,</w:t>
      </w:r>
      <w:r w:rsidRPr="008E6B5D">
        <w:t> (Cambridge: Cambridge University Press, 2008)</w:t>
      </w:r>
      <w:r w:rsidR="00705514">
        <w:t>,</w:t>
      </w:r>
      <w:r>
        <w:t xml:space="preserve"> p. 5. </w:t>
      </w:r>
    </w:p>
  </w:footnote>
  <w:footnote w:id="5">
    <w:p w:rsidR="008E6B5D" w:rsidRDefault="008E6B5D">
      <w:pPr>
        <w:pStyle w:val="FootnoteText"/>
      </w:pPr>
      <w:r>
        <w:rPr>
          <w:rStyle w:val="FootnoteReference"/>
        </w:rPr>
        <w:footnoteRef/>
      </w:r>
      <w:r>
        <w:t xml:space="preserve"> </w:t>
      </w:r>
      <w:r w:rsidRPr="008E6B5D">
        <w:t>Theodore</w:t>
      </w:r>
      <w:r w:rsidR="00705514">
        <w:t xml:space="preserve"> Pratt,</w:t>
      </w:r>
      <w:r w:rsidRPr="008E6B5D">
        <w:t xml:space="preserve"> 'Zora Neale Hurston', </w:t>
      </w:r>
      <w:r w:rsidRPr="008E6B5D">
        <w:rPr>
          <w:i/>
          <w:iCs/>
        </w:rPr>
        <w:t>The Florida Historical Quarterly, </w:t>
      </w:r>
      <w:r w:rsidRPr="008E6B5D">
        <w:t>40 (1961), 35-40</w:t>
      </w:r>
      <w:r>
        <w:t xml:space="preserve"> p. 44.</w:t>
      </w:r>
    </w:p>
  </w:footnote>
  <w:footnote w:id="6">
    <w:p w:rsidR="008E6B5D" w:rsidRDefault="008E6B5D">
      <w:pPr>
        <w:pStyle w:val="FootnoteText"/>
      </w:pPr>
      <w:r>
        <w:rPr>
          <w:rStyle w:val="FootnoteReference"/>
        </w:rPr>
        <w:footnoteRef/>
      </w:r>
      <w:r>
        <w:t xml:space="preserve"> </w:t>
      </w:r>
      <w:r w:rsidR="00705514">
        <w:t xml:space="preserve">Vivian </w:t>
      </w:r>
      <w:proofErr w:type="spellStart"/>
      <w:r w:rsidRPr="008E6B5D">
        <w:t>Gornick</w:t>
      </w:r>
      <w:proofErr w:type="spellEnd"/>
      <w:r w:rsidRPr="008E6B5D">
        <w:t xml:space="preserve">, 'Vivian </w:t>
      </w:r>
      <w:proofErr w:type="spellStart"/>
      <w:r w:rsidRPr="008E6B5D">
        <w:t>Gornick</w:t>
      </w:r>
      <w:proofErr w:type="spellEnd"/>
      <w:r w:rsidRPr="008E6B5D">
        <w:t xml:space="preserve"> Rereads Zora Neale Hurston', </w:t>
      </w:r>
      <w:r w:rsidRPr="008E6B5D">
        <w:rPr>
          <w:i/>
          <w:iCs/>
        </w:rPr>
        <w:t>The Women's Review of Books, </w:t>
      </w:r>
      <w:r w:rsidRPr="008E6B5D">
        <w:t>16 (1999), 32</w:t>
      </w:r>
      <w:r w:rsidR="00705514">
        <w:t xml:space="preserve">. p. 32. </w:t>
      </w:r>
    </w:p>
  </w:footnote>
  <w:footnote w:id="7">
    <w:p w:rsidR="00630507" w:rsidRDefault="00630507">
      <w:pPr>
        <w:pStyle w:val="FootnoteText"/>
      </w:pPr>
      <w:r>
        <w:rPr>
          <w:rStyle w:val="FootnoteReference"/>
        </w:rPr>
        <w:footnoteRef/>
      </w:r>
      <w:r>
        <w:t xml:space="preserve"> </w:t>
      </w:r>
      <w:r w:rsidR="00705514">
        <w:t xml:space="preserve">Valerie </w:t>
      </w:r>
      <w:r w:rsidR="00B925D5" w:rsidRPr="00B925D5">
        <w:t>Boyd, </w:t>
      </w:r>
      <w:r w:rsidR="00B925D5" w:rsidRPr="00B925D5">
        <w:rPr>
          <w:i/>
          <w:iCs/>
        </w:rPr>
        <w:t>Wrapped in Rainbows: The Life of Zora Neale Hurston</w:t>
      </w:r>
      <w:r w:rsidR="00705514">
        <w:rPr>
          <w:i/>
          <w:iCs/>
        </w:rPr>
        <w:t>,</w:t>
      </w:r>
      <w:r w:rsidR="00B925D5" w:rsidRPr="00B925D5">
        <w:t> (New York: Simon &amp; Schuster, 2003)</w:t>
      </w:r>
      <w:r w:rsidR="00705514">
        <w:t>,</w:t>
      </w:r>
      <w:r w:rsidR="00B925D5">
        <w:t xml:space="preserve"> p.p. 16,17,26, 27</w:t>
      </w:r>
      <w:r w:rsidR="00605CBF">
        <w:t>.</w:t>
      </w:r>
    </w:p>
  </w:footnote>
  <w:footnote w:id="8">
    <w:p w:rsidR="00A1050B" w:rsidRDefault="00A1050B">
      <w:pPr>
        <w:pStyle w:val="FootnoteText"/>
      </w:pPr>
      <w:r>
        <w:rPr>
          <w:rStyle w:val="FootnoteReference"/>
        </w:rPr>
        <w:footnoteRef/>
      </w:r>
      <w:r>
        <w:t xml:space="preserve"> </w:t>
      </w:r>
      <w:r w:rsidRPr="00A1050B">
        <w:t>Boyd</w:t>
      </w:r>
      <w:r w:rsidR="00705514">
        <w:t>,</w:t>
      </w:r>
      <w:r w:rsidRPr="00A1050B">
        <w:t> </w:t>
      </w:r>
      <w:r w:rsidRPr="00A1050B">
        <w:rPr>
          <w:i/>
          <w:iCs/>
        </w:rPr>
        <w:t>Wrapped in Rainbows</w:t>
      </w:r>
      <w:r w:rsidR="00705514">
        <w:rPr>
          <w:i/>
          <w:iCs/>
        </w:rPr>
        <w:t>, p.p.</w:t>
      </w:r>
      <w:r>
        <w:t xml:space="preserve"> 52, 53</w:t>
      </w:r>
      <w:r w:rsidR="00A854E9">
        <w:t>, 59, 61, 67,</w:t>
      </w:r>
      <w:r w:rsidR="00174D5E">
        <w:t xml:space="preserve"> 68, 69. </w:t>
      </w:r>
      <w:r w:rsidR="00A854E9">
        <w:t xml:space="preserve">  </w:t>
      </w:r>
    </w:p>
  </w:footnote>
  <w:footnote w:id="9">
    <w:p w:rsidR="00B54304" w:rsidRDefault="00B54304">
      <w:pPr>
        <w:pStyle w:val="FootnoteText"/>
      </w:pPr>
      <w:r>
        <w:rPr>
          <w:rStyle w:val="FootnoteReference"/>
        </w:rPr>
        <w:footnoteRef/>
      </w:r>
      <w:r>
        <w:t xml:space="preserve"> </w:t>
      </w:r>
      <w:r w:rsidRPr="00B54304">
        <w:t>Pratt</w:t>
      </w:r>
      <w:r w:rsidR="00705514">
        <w:t>,</w:t>
      </w:r>
      <w:r w:rsidRPr="00B54304">
        <w:t xml:space="preserve"> 'Zora Neale Hurston',</w:t>
      </w:r>
      <w:r w:rsidR="00705514">
        <w:t xml:space="preserve"> p</w:t>
      </w:r>
      <w:r>
        <w:t>. 37.</w:t>
      </w:r>
    </w:p>
  </w:footnote>
  <w:footnote w:id="10">
    <w:p w:rsidR="00B54304" w:rsidRDefault="00B54304">
      <w:pPr>
        <w:pStyle w:val="FootnoteText"/>
      </w:pPr>
      <w:r>
        <w:rPr>
          <w:rStyle w:val="FootnoteReference"/>
        </w:rPr>
        <w:footnoteRef/>
      </w:r>
      <w:r>
        <w:t xml:space="preserve"> </w:t>
      </w:r>
      <w:r w:rsidRPr="00B54304">
        <w:t>Pratt</w:t>
      </w:r>
      <w:r w:rsidR="00705514">
        <w:t>,</w:t>
      </w:r>
      <w:r w:rsidRPr="00B54304">
        <w:t xml:space="preserve"> 'Zora Neale Hurston',</w:t>
      </w:r>
      <w:r w:rsidR="00705514">
        <w:t xml:space="preserve"> p</w:t>
      </w:r>
      <w:r>
        <w:t>. 38</w:t>
      </w:r>
    </w:p>
  </w:footnote>
  <w:footnote w:id="11">
    <w:p w:rsidR="002E098A" w:rsidRDefault="002E098A">
      <w:pPr>
        <w:pStyle w:val="FootnoteText"/>
      </w:pPr>
      <w:r>
        <w:rPr>
          <w:rStyle w:val="FootnoteReference"/>
        </w:rPr>
        <w:footnoteRef/>
      </w:r>
      <w:r w:rsidRPr="002E098A">
        <w:t xml:space="preserve"> Zora </w:t>
      </w:r>
      <w:r>
        <w:t>N</w:t>
      </w:r>
      <w:r w:rsidRPr="002E098A">
        <w:t>eale</w:t>
      </w:r>
      <w:r>
        <w:t xml:space="preserve"> Hurston</w:t>
      </w:r>
      <w:r w:rsidRPr="002E098A">
        <w:t>,</w:t>
      </w:r>
      <w:r w:rsidR="00320C1C">
        <w:t xml:space="preserve"> </w:t>
      </w:r>
      <w:proofErr w:type="gramStart"/>
      <w:r w:rsidRPr="002E098A">
        <w:rPr>
          <w:i/>
          <w:iCs/>
        </w:rPr>
        <w:t>How</w:t>
      </w:r>
      <w:proofErr w:type="gramEnd"/>
      <w:r w:rsidRPr="002E098A">
        <w:rPr>
          <w:i/>
          <w:iCs/>
        </w:rPr>
        <w:t xml:space="preserve"> it Feels to be </w:t>
      </w:r>
      <w:proofErr w:type="spellStart"/>
      <w:r w:rsidRPr="002E098A">
        <w:rPr>
          <w:i/>
          <w:iCs/>
        </w:rPr>
        <w:t>Colored</w:t>
      </w:r>
      <w:proofErr w:type="spellEnd"/>
      <w:r w:rsidRPr="002E098A">
        <w:rPr>
          <w:i/>
          <w:iCs/>
        </w:rPr>
        <w:t xml:space="preserve"> Me</w:t>
      </w:r>
      <w:r>
        <w:rPr>
          <w:i/>
          <w:iCs/>
        </w:rPr>
        <w:t>,</w:t>
      </w:r>
      <w:r w:rsidRPr="002E098A">
        <w:t> (Carlisle: Applewood Books, 2015)</w:t>
      </w:r>
      <w:r>
        <w:t>, p. 3.</w:t>
      </w:r>
    </w:p>
  </w:footnote>
  <w:footnote w:id="12">
    <w:p w:rsidR="00974E70" w:rsidRDefault="00974E70">
      <w:pPr>
        <w:pStyle w:val="FootnoteText"/>
      </w:pPr>
      <w:r>
        <w:rPr>
          <w:rStyle w:val="FootnoteReference"/>
        </w:rPr>
        <w:footnoteRef/>
      </w:r>
      <w:r>
        <w:t xml:space="preserve"> </w:t>
      </w:r>
      <w:bookmarkStart w:id="2" w:name="_Hlk31103668"/>
      <w:r w:rsidRPr="00974E70">
        <w:t>Boyd, </w:t>
      </w:r>
      <w:r w:rsidRPr="00974E70">
        <w:rPr>
          <w:i/>
          <w:iCs/>
        </w:rPr>
        <w:t>Wrapped in Rainbows</w:t>
      </w:r>
      <w:r w:rsidR="00705514">
        <w:rPr>
          <w:i/>
          <w:iCs/>
        </w:rPr>
        <w:t xml:space="preserve">, </w:t>
      </w:r>
      <w:r>
        <w:t>p</w:t>
      </w:r>
      <w:bookmarkEnd w:id="2"/>
      <w:r>
        <w:t>. 102.</w:t>
      </w:r>
    </w:p>
  </w:footnote>
  <w:footnote w:id="13">
    <w:p w:rsidR="00CF3B8B" w:rsidRDefault="00CF3B8B">
      <w:pPr>
        <w:pStyle w:val="FootnoteText"/>
      </w:pPr>
      <w:r>
        <w:rPr>
          <w:rStyle w:val="FootnoteReference"/>
        </w:rPr>
        <w:footnoteRef/>
      </w:r>
      <w:r>
        <w:t xml:space="preserve"> </w:t>
      </w:r>
      <w:bookmarkStart w:id="4" w:name="_Hlk31357463"/>
      <w:r w:rsidRPr="00CF3B8B">
        <w:t>Boyd</w:t>
      </w:r>
      <w:r w:rsidR="0087579C">
        <w:t>,</w:t>
      </w:r>
      <w:r w:rsidRPr="00CF3B8B">
        <w:t xml:space="preserve"> The Howard University Years',</w:t>
      </w:r>
      <w:r w:rsidR="0087579C">
        <w:t xml:space="preserve"> p.p. 104, 105.</w:t>
      </w:r>
    </w:p>
    <w:bookmarkEnd w:id="4"/>
  </w:footnote>
  <w:footnote w:id="14">
    <w:p w:rsidR="004C0F33" w:rsidRDefault="004C0F33">
      <w:pPr>
        <w:pStyle w:val="FootnoteText"/>
      </w:pPr>
      <w:r>
        <w:rPr>
          <w:rStyle w:val="FootnoteReference"/>
        </w:rPr>
        <w:footnoteRef/>
      </w:r>
      <w:r>
        <w:t xml:space="preserve"> </w:t>
      </w:r>
      <w:bookmarkStart w:id="5" w:name="_Hlk31269781"/>
      <w:r w:rsidRPr="004C0F33">
        <w:t>King,</w:t>
      </w:r>
      <w:r w:rsidRPr="004C0F33">
        <w:rPr>
          <w:i/>
          <w:iCs/>
        </w:rPr>
        <w:t xml:space="preserve"> Cambridge Introduction to Zora Neale Hurston</w:t>
      </w:r>
      <w:r>
        <w:t xml:space="preserve">, p. </w:t>
      </w:r>
      <w:bookmarkEnd w:id="5"/>
      <w:r>
        <w:t>7.</w:t>
      </w:r>
    </w:p>
  </w:footnote>
  <w:footnote w:id="15">
    <w:p w:rsidR="00821EC3" w:rsidRDefault="00821EC3" w:rsidP="00821EC3">
      <w:pPr>
        <w:pStyle w:val="FootnoteText"/>
      </w:pPr>
      <w:r>
        <w:rPr>
          <w:rStyle w:val="FootnoteReference"/>
        </w:rPr>
        <w:footnoteRef/>
      </w:r>
      <w:r>
        <w:t xml:space="preserve"> </w:t>
      </w:r>
      <w:r w:rsidRPr="00B63ACD">
        <w:t>Boyd, </w:t>
      </w:r>
      <w:r w:rsidRPr="00B63ACD">
        <w:rPr>
          <w:i/>
          <w:iCs/>
        </w:rPr>
        <w:t xml:space="preserve">Wrapped in Rainbows, </w:t>
      </w:r>
      <w:r w:rsidRPr="00B63ACD">
        <w:t>p</w:t>
      </w:r>
      <w:r>
        <w:t>. 93.</w:t>
      </w:r>
    </w:p>
  </w:footnote>
  <w:footnote w:id="16">
    <w:p w:rsidR="002071C3" w:rsidRDefault="002071C3">
      <w:pPr>
        <w:pStyle w:val="FootnoteText"/>
      </w:pPr>
      <w:r>
        <w:rPr>
          <w:rStyle w:val="FootnoteReference"/>
        </w:rPr>
        <w:footnoteRef/>
      </w:r>
      <w:r>
        <w:t xml:space="preserve"> </w:t>
      </w:r>
      <w:r w:rsidRPr="002071C3">
        <w:t>King,</w:t>
      </w:r>
      <w:r w:rsidRPr="002071C3">
        <w:rPr>
          <w:i/>
          <w:iCs/>
        </w:rPr>
        <w:t xml:space="preserve"> Cambridge Introduction to Zora Neale Hurston</w:t>
      </w:r>
      <w:r w:rsidRPr="002071C3">
        <w:t>, p.</w:t>
      </w:r>
      <w:r>
        <w:t xml:space="preserve"> 7.</w:t>
      </w:r>
    </w:p>
  </w:footnote>
  <w:footnote w:id="17">
    <w:p w:rsidR="00D81F27" w:rsidRDefault="002071C3">
      <w:pPr>
        <w:pStyle w:val="FootnoteText"/>
      </w:pPr>
      <w:r>
        <w:rPr>
          <w:rStyle w:val="FootnoteReference"/>
        </w:rPr>
        <w:footnoteRef/>
      </w:r>
      <w:r>
        <w:t xml:space="preserve"> </w:t>
      </w:r>
      <w:bookmarkStart w:id="6" w:name="_Hlk31271985"/>
      <w:r>
        <w:t xml:space="preserve">Diana </w:t>
      </w:r>
      <w:r w:rsidRPr="002071C3">
        <w:t>Miles, </w:t>
      </w:r>
      <w:r w:rsidRPr="002071C3">
        <w:rPr>
          <w:i/>
          <w:iCs/>
        </w:rPr>
        <w:t>Women, Violence and Testimony in the Works of Zora Neale Hurston</w:t>
      </w:r>
      <w:r>
        <w:rPr>
          <w:i/>
          <w:iCs/>
        </w:rPr>
        <w:t>,</w:t>
      </w:r>
      <w:r w:rsidRPr="002071C3">
        <w:t> (New York: Peter Lang Publishing, 2003)</w:t>
      </w:r>
      <w:r>
        <w:t>, p.</w:t>
      </w:r>
      <w:r w:rsidR="00F8200C">
        <w:t>p.</w:t>
      </w:r>
      <w:r>
        <w:t xml:space="preserve"> 22</w:t>
      </w:r>
      <w:r w:rsidR="00D81F27">
        <w:t>, 78.</w:t>
      </w:r>
      <w:bookmarkEnd w:id="6"/>
    </w:p>
  </w:footnote>
  <w:footnote w:id="18">
    <w:p w:rsidR="005110A0" w:rsidRDefault="005110A0">
      <w:pPr>
        <w:pStyle w:val="FootnoteText"/>
      </w:pPr>
      <w:r>
        <w:rPr>
          <w:rStyle w:val="FootnoteReference"/>
        </w:rPr>
        <w:footnoteRef/>
      </w:r>
      <w:r>
        <w:t xml:space="preserve"> </w:t>
      </w:r>
      <w:r w:rsidR="006063DE">
        <w:t xml:space="preserve">Ida B. </w:t>
      </w:r>
      <w:r w:rsidR="005A77F0" w:rsidRPr="005A77F0">
        <w:t>Wells, </w:t>
      </w:r>
      <w:r w:rsidR="005A77F0" w:rsidRPr="005A77F0">
        <w:rPr>
          <w:i/>
          <w:iCs/>
        </w:rPr>
        <w:t>Crusade for Justice: The Autobiography of Ida B. Wells</w:t>
      </w:r>
      <w:r w:rsidR="005A77F0" w:rsidRPr="005A77F0">
        <w:t> (Chicago: Chicago University press, 2013)</w:t>
      </w:r>
      <w:r w:rsidR="005A77F0">
        <w:t>, p. xix.</w:t>
      </w:r>
    </w:p>
  </w:footnote>
  <w:footnote w:id="19">
    <w:p w:rsidR="00F8200C" w:rsidRDefault="00F8200C">
      <w:pPr>
        <w:pStyle w:val="FootnoteText"/>
      </w:pPr>
      <w:r>
        <w:rPr>
          <w:rStyle w:val="FootnoteReference"/>
        </w:rPr>
        <w:footnoteRef/>
      </w:r>
      <w:r>
        <w:t xml:space="preserve"> </w:t>
      </w:r>
      <w:bookmarkStart w:id="8" w:name="_Hlk31272870"/>
      <w:r w:rsidRPr="00F8200C">
        <w:t>Miles, </w:t>
      </w:r>
      <w:r w:rsidRPr="00F8200C">
        <w:rPr>
          <w:i/>
          <w:iCs/>
        </w:rPr>
        <w:t>Women, Violence and Testimony</w:t>
      </w:r>
      <w:r w:rsidR="00C514A3">
        <w:rPr>
          <w:i/>
          <w:iCs/>
        </w:rPr>
        <w:t>,</w:t>
      </w:r>
      <w:r w:rsidRPr="00F8200C">
        <w:t xml:space="preserve"> p</w:t>
      </w:r>
      <w:bookmarkEnd w:id="8"/>
      <w:r w:rsidRPr="00F8200C">
        <w:t xml:space="preserve">. </w:t>
      </w:r>
      <w:r>
        <w:t>81.</w:t>
      </w:r>
    </w:p>
  </w:footnote>
  <w:footnote w:id="20">
    <w:p w:rsidR="00C514A3" w:rsidRDefault="00C514A3">
      <w:pPr>
        <w:pStyle w:val="FootnoteText"/>
      </w:pPr>
      <w:r>
        <w:rPr>
          <w:rStyle w:val="FootnoteReference"/>
        </w:rPr>
        <w:footnoteRef/>
      </w:r>
      <w:r>
        <w:t xml:space="preserve"> </w:t>
      </w:r>
      <w:bookmarkStart w:id="9" w:name="_Hlk31354234"/>
      <w:r w:rsidRPr="00C514A3">
        <w:t>Miles, </w:t>
      </w:r>
      <w:r w:rsidRPr="00C514A3">
        <w:rPr>
          <w:i/>
          <w:iCs/>
        </w:rPr>
        <w:t>Women, Violence and Testimony,</w:t>
      </w:r>
      <w:r w:rsidRPr="00C514A3">
        <w:t xml:space="preserve"> p</w:t>
      </w:r>
      <w:r>
        <w:t xml:space="preserve">. </w:t>
      </w:r>
      <w:bookmarkEnd w:id="9"/>
      <w:r>
        <w:t>79.</w:t>
      </w:r>
    </w:p>
  </w:footnote>
  <w:footnote w:id="21">
    <w:p w:rsidR="00057F70" w:rsidRDefault="00057F70">
      <w:pPr>
        <w:pStyle w:val="FootnoteText"/>
      </w:pPr>
      <w:r>
        <w:rPr>
          <w:rStyle w:val="FootnoteReference"/>
        </w:rPr>
        <w:footnoteRef/>
      </w:r>
      <w:r>
        <w:t xml:space="preserve"> </w:t>
      </w:r>
      <w:r w:rsidRPr="00057F70">
        <w:t>Miles, Women, Violence and Testimony, p.</w:t>
      </w:r>
      <w:r>
        <w:t>p. 85, 86.</w:t>
      </w:r>
    </w:p>
  </w:footnote>
  <w:footnote w:id="22">
    <w:p w:rsidR="00160BE9" w:rsidRDefault="00160BE9">
      <w:pPr>
        <w:pStyle w:val="FootnoteText"/>
      </w:pPr>
      <w:r>
        <w:rPr>
          <w:rStyle w:val="FootnoteReference"/>
        </w:rPr>
        <w:footnoteRef/>
      </w:r>
      <w:r>
        <w:t xml:space="preserve"> </w:t>
      </w:r>
      <w:bookmarkStart w:id="10" w:name="_Hlk31358331"/>
      <w:r w:rsidR="006063DE">
        <w:t xml:space="preserve">Dorothy </w:t>
      </w:r>
      <w:r w:rsidRPr="00160BE9">
        <w:t>Abbott, 'Recovering Zora Neale Hurston's Work', </w:t>
      </w:r>
      <w:r w:rsidRPr="00160BE9">
        <w:rPr>
          <w:i/>
          <w:iCs/>
        </w:rPr>
        <w:t>Frontiers: A Journal of Women Studies, </w:t>
      </w:r>
      <w:r w:rsidRPr="00160BE9">
        <w:t>12 (1991), 174-181</w:t>
      </w:r>
      <w:r>
        <w:t>, p. 176.</w:t>
      </w:r>
      <w:bookmarkEnd w:id="10"/>
    </w:p>
  </w:footnote>
  <w:footnote w:id="23">
    <w:p w:rsidR="002F0A23" w:rsidRDefault="002F0A23">
      <w:pPr>
        <w:pStyle w:val="FootnoteText"/>
      </w:pPr>
      <w:r>
        <w:rPr>
          <w:rStyle w:val="FootnoteReference"/>
        </w:rPr>
        <w:footnoteRef/>
      </w:r>
      <w:r>
        <w:t xml:space="preserve"> </w:t>
      </w:r>
      <w:r w:rsidR="006063DE">
        <w:t xml:space="preserve">Susan </w:t>
      </w:r>
      <w:r w:rsidRPr="002F0A23">
        <w:t xml:space="preserve">Edwards </w:t>
      </w:r>
      <w:proofErr w:type="spellStart"/>
      <w:r w:rsidRPr="002F0A23">
        <w:t>Meisenhelder</w:t>
      </w:r>
      <w:proofErr w:type="spellEnd"/>
      <w:r w:rsidRPr="002F0A23">
        <w:t>, </w:t>
      </w:r>
      <w:r w:rsidRPr="002F0A23">
        <w:rPr>
          <w:i/>
          <w:iCs/>
        </w:rPr>
        <w:t>Hitting a Straight Line with a Crooked Stick</w:t>
      </w:r>
      <w:r w:rsidR="006063DE">
        <w:rPr>
          <w:i/>
          <w:iCs/>
        </w:rPr>
        <w:t>,</w:t>
      </w:r>
      <w:r w:rsidRPr="002F0A23">
        <w:t> (Tuscaloosa: The University of Alabama Press, 1999)</w:t>
      </w:r>
      <w:r>
        <w:t>, p.2.</w:t>
      </w:r>
    </w:p>
  </w:footnote>
  <w:footnote w:id="24">
    <w:p w:rsidR="000F33C7" w:rsidRDefault="000F33C7">
      <w:pPr>
        <w:pStyle w:val="FootnoteText"/>
      </w:pPr>
      <w:r>
        <w:rPr>
          <w:rStyle w:val="FootnoteReference"/>
        </w:rPr>
        <w:footnoteRef/>
      </w:r>
      <w:r>
        <w:t xml:space="preserve"> Pam </w:t>
      </w:r>
      <w:proofErr w:type="spellStart"/>
      <w:r w:rsidRPr="000F33C7">
        <w:t>Borderlon</w:t>
      </w:r>
      <w:proofErr w:type="spellEnd"/>
      <w:r>
        <w:t>,</w:t>
      </w:r>
      <w:r w:rsidRPr="000F33C7">
        <w:t xml:space="preserve"> 'New Track on Dust Tracks: Toward a Reassessment of the Life of Zora Neale Hurston', </w:t>
      </w:r>
      <w:r w:rsidRPr="000F33C7">
        <w:rPr>
          <w:i/>
        </w:rPr>
        <w:t>African America Review</w:t>
      </w:r>
      <w:r w:rsidRPr="000F33C7">
        <w:t>, 31 (1997), 5-21</w:t>
      </w:r>
      <w:r>
        <w:t xml:space="preserve">, p.5. </w:t>
      </w:r>
    </w:p>
  </w:footnote>
  <w:footnote w:id="25">
    <w:p w:rsidR="00B40C39" w:rsidRDefault="00B40C39">
      <w:pPr>
        <w:pStyle w:val="FootnoteText"/>
      </w:pPr>
      <w:bookmarkStart w:id="11" w:name="_GoBack"/>
      <w:bookmarkEnd w:id="11"/>
      <w:r>
        <w:rPr>
          <w:rStyle w:val="FootnoteReference"/>
        </w:rPr>
        <w:footnoteRef/>
      </w:r>
      <w:r>
        <w:t xml:space="preserve"> </w:t>
      </w:r>
      <w:r w:rsidRPr="00B40C39">
        <w:t>Abbott</w:t>
      </w:r>
      <w:r w:rsidR="006063DE">
        <w:t>,</w:t>
      </w:r>
      <w:r w:rsidRPr="00B40C39">
        <w:t xml:space="preserve"> 'Recovering Zora Neale Hurston's Work', p. 17</w:t>
      </w:r>
      <w:r>
        <w:t xml:space="preserve">7, 179, </w:t>
      </w:r>
      <w:r w:rsidR="006F4A62">
        <w:t>180.</w:t>
      </w:r>
    </w:p>
    <w:p w:rsidR="00E2027F" w:rsidRDefault="00E2027F">
      <w:pPr>
        <w:pStyle w:val="FootnoteText"/>
      </w:pPr>
    </w:p>
    <w:p w:rsidR="00E2027F" w:rsidRDefault="00E2027F">
      <w:pPr>
        <w:pStyle w:val="FootnoteText"/>
      </w:pPr>
    </w:p>
    <w:p w:rsidR="00E2027F" w:rsidRDefault="00E2027F">
      <w:pPr>
        <w:pStyle w:val="FootnoteText"/>
      </w:pPr>
    </w:p>
    <w:p w:rsidR="00B4007C" w:rsidRDefault="00B4007C">
      <w:pPr>
        <w:pStyle w:val="FootnoteText"/>
        <w:rPr>
          <w:u w:val="single"/>
        </w:rPr>
      </w:pPr>
    </w:p>
    <w:p w:rsidR="00B4007C" w:rsidRDefault="00B4007C">
      <w:pPr>
        <w:pStyle w:val="FootnoteText"/>
        <w:rPr>
          <w:u w:val="single"/>
        </w:rPr>
      </w:pPr>
    </w:p>
    <w:p w:rsidR="00B4007C" w:rsidRDefault="00B4007C">
      <w:pPr>
        <w:pStyle w:val="FootnoteText"/>
        <w:rPr>
          <w:u w:val="single"/>
        </w:rPr>
      </w:pPr>
    </w:p>
    <w:p w:rsidR="00B4007C" w:rsidRDefault="00B4007C">
      <w:pPr>
        <w:pStyle w:val="FootnoteText"/>
        <w:rPr>
          <w:u w:val="single"/>
        </w:rPr>
      </w:pPr>
    </w:p>
    <w:p w:rsidR="00B4007C" w:rsidRDefault="00B4007C">
      <w:pPr>
        <w:pStyle w:val="FootnoteText"/>
        <w:rPr>
          <w:u w:val="single"/>
        </w:rPr>
      </w:pPr>
    </w:p>
    <w:p w:rsidR="00B4007C" w:rsidRDefault="00B4007C">
      <w:pPr>
        <w:pStyle w:val="FootnoteText"/>
        <w:rPr>
          <w:u w:val="single"/>
        </w:rPr>
      </w:pPr>
    </w:p>
    <w:p w:rsidR="00E2027F" w:rsidRPr="001352B3" w:rsidRDefault="001352B3">
      <w:pPr>
        <w:pStyle w:val="FootnoteText"/>
        <w:rPr>
          <w:u w:val="single"/>
        </w:rPr>
      </w:pPr>
      <w:r>
        <w:rPr>
          <w:u w:val="single"/>
        </w:rPr>
        <w:t>Bibliography</w:t>
      </w:r>
    </w:p>
    <w:p w:rsidR="001352B3" w:rsidRDefault="001352B3">
      <w:pPr>
        <w:pStyle w:val="FootnoteText"/>
      </w:pPr>
    </w:p>
    <w:p w:rsidR="001352B3" w:rsidRDefault="001352B3">
      <w:pPr>
        <w:pStyle w:val="FootnoteText"/>
      </w:pPr>
    </w:p>
    <w:p w:rsidR="00E2027F" w:rsidRDefault="00E2027F" w:rsidP="00E2027F">
      <w:pPr>
        <w:pStyle w:val="FootnoteText"/>
      </w:pPr>
      <w:r w:rsidRPr="00E2027F">
        <w:t>Abbott Dorothy, 'Recovering Zora Neale Hurston's Work', </w:t>
      </w:r>
      <w:r w:rsidRPr="00E2027F">
        <w:rPr>
          <w:i/>
          <w:iCs/>
        </w:rPr>
        <w:t>Frontiers: A Journal of Women Studies, </w:t>
      </w:r>
      <w:r w:rsidRPr="00E2027F">
        <w:t>12 (1991), 174-181</w:t>
      </w:r>
      <w:r>
        <w:t>.</w:t>
      </w:r>
    </w:p>
    <w:p w:rsidR="00E2027F" w:rsidRPr="00E2027F" w:rsidRDefault="00E2027F" w:rsidP="00E2027F">
      <w:pPr>
        <w:pStyle w:val="FootnoteText"/>
      </w:pPr>
    </w:p>
    <w:p w:rsidR="00E2027F" w:rsidRDefault="00E2027F" w:rsidP="00E2027F">
      <w:pPr>
        <w:pStyle w:val="FootnoteText"/>
      </w:pPr>
      <w:proofErr w:type="spellStart"/>
      <w:r w:rsidRPr="00E2027F">
        <w:t>Borderlon</w:t>
      </w:r>
      <w:proofErr w:type="spellEnd"/>
      <w:r w:rsidRPr="00E2027F">
        <w:t xml:space="preserve"> Pam, 'New Track on Dust Tracks: Toward a Reassessment of the Life of Zora Neale Hurston', </w:t>
      </w:r>
      <w:r w:rsidRPr="00E2027F">
        <w:rPr>
          <w:i/>
          <w:iCs/>
        </w:rPr>
        <w:t>African America Review, </w:t>
      </w:r>
      <w:r w:rsidRPr="00E2027F">
        <w:t>31 (1997), 5-21</w:t>
      </w:r>
      <w:r>
        <w:t>.</w:t>
      </w:r>
    </w:p>
    <w:p w:rsidR="00E2027F" w:rsidRPr="00E2027F" w:rsidRDefault="00E2027F" w:rsidP="00E2027F">
      <w:pPr>
        <w:pStyle w:val="FootnoteText"/>
      </w:pPr>
    </w:p>
    <w:p w:rsidR="00E2027F" w:rsidRDefault="00E2027F" w:rsidP="00E2027F">
      <w:pPr>
        <w:pStyle w:val="FootnoteText"/>
      </w:pPr>
      <w:r w:rsidRPr="00E2027F">
        <w:t>Boyd Valerie, 'Zora Neale Hurston: The Howard University Years', </w:t>
      </w:r>
      <w:r w:rsidRPr="00E2027F">
        <w:rPr>
          <w:i/>
          <w:iCs/>
        </w:rPr>
        <w:t>The Journal of Blacks in Higher Education, </w:t>
      </w:r>
      <w:r w:rsidRPr="00E2027F">
        <w:t>39 (2003), 104-108</w:t>
      </w:r>
      <w:r>
        <w:t>.</w:t>
      </w:r>
    </w:p>
    <w:p w:rsidR="00E2027F" w:rsidRPr="00E2027F" w:rsidRDefault="00E2027F" w:rsidP="00E2027F">
      <w:pPr>
        <w:pStyle w:val="FootnoteText"/>
      </w:pPr>
    </w:p>
    <w:p w:rsidR="00E2027F" w:rsidRDefault="00E2027F" w:rsidP="00E2027F">
      <w:pPr>
        <w:pStyle w:val="FootnoteText"/>
      </w:pPr>
      <w:r w:rsidRPr="00E2027F">
        <w:t>Boyd, Valerie, </w:t>
      </w:r>
      <w:r w:rsidRPr="00E2027F">
        <w:rPr>
          <w:i/>
          <w:iCs/>
        </w:rPr>
        <w:t>Wrapped in Rainbows: The Life of Zora Neale Hurston</w:t>
      </w:r>
      <w:r w:rsidRPr="00E2027F">
        <w:t> (New York: Simon &amp; Schuster, 2003)</w:t>
      </w:r>
      <w:r>
        <w:t>.</w:t>
      </w:r>
    </w:p>
    <w:p w:rsidR="00E2027F" w:rsidRPr="00E2027F" w:rsidRDefault="00E2027F" w:rsidP="00E2027F">
      <w:pPr>
        <w:pStyle w:val="FootnoteText"/>
      </w:pPr>
    </w:p>
    <w:p w:rsidR="00E2027F" w:rsidRDefault="00E2027F" w:rsidP="00E2027F">
      <w:pPr>
        <w:pStyle w:val="FootnoteText"/>
      </w:pPr>
      <w:r w:rsidRPr="00E2027F">
        <w:t>Delbanco Andrew, 'The Political Incorrectness of Zora Neale Hurston', </w:t>
      </w:r>
      <w:r w:rsidRPr="00E2027F">
        <w:rPr>
          <w:i/>
          <w:iCs/>
        </w:rPr>
        <w:t>The Journal of Blacks in Higher Education, </w:t>
      </w:r>
      <w:r w:rsidRPr="00E2027F">
        <w:t>18 (1997), 103-108</w:t>
      </w:r>
      <w:r>
        <w:t>.</w:t>
      </w:r>
    </w:p>
    <w:p w:rsidR="00E2027F" w:rsidRPr="00E2027F" w:rsidRDefault="00E2027F" w:rsidP="00E2027F">
      <w:pPr>
        <w:pStyle w:val="FootnoteText"/>
      </w:pPr>
    </w:p>
    <w:p w:rsidR="00E2027F" w:rsidRDefault="00E2027F" w:rsidP="00E2027F">
      <w:pPr>
        <w:pStyle w:val="FootnoteText"/>
      </w:pPr>
      <w:r w:rsidRPr="00E2027F">
        <w:t xml:space="preserve">Du </w:t>
      </w:r>
      <w:proofErr w:type="spellStart"/>
      <w:r w:rsidRPr="00E2027F">
        <w:t>Bois</w:t>
      </w:r>
      <w:proofErr w:type="spellEnd"/>
      <w:r w:rsidRPr="00E2027F">
        <w:t>. W. E. Burghardt, </w:t>
      </w:r>
      <w:r w:rsidRPr="00E2027F">
        <w:rPr>
          <w:i/>
          <w:iCs/>
        </w:rPr>
        <w:t>The</w:t>
      </w:r>
      <w:r>
        <w:rPr>
          <w:i/>
          <w:iCs/>
        </w:rPr>
        <w:t xml:space="preserve"> </w:t>
      </w:r>
      <w:r w:rsidRPr="00E2027F">
        <w:rPr>
          <w:i/>
          <w:iCs/>
        </w:rPr>
        <w:t>Souls of Black Folk</w:t>
      </w:r>
      <w:r w:rsidRPr="00E2027F">
        <w:t> (Chicago: A. C. McClurg &amp; Co., 1903)</w:t>
      </w:r>
      <w:r>
        <w:t>.</w:t>
      </w:r>
    </w:p>
    <w:p w:rsidR="00E2027F" w:rsidRPr="00E2027F" w:rsidRDefault="00E2027F" w:rsidP="00E2027F">
      <w:pPr>
        <w:pStyle w:val="FootnoteText"/>
      </w:pPr>
    </w:p>
    <w:p w:rsidR="00E2027F" w:rsidRDefault="00E2027F" w:rsidP="00E2027F">
      <w:pPr>
        <w:pStyle w:val="FootnoteText"/>
      </w:pPr>
      <w:r w:rsidRPr="00E2027F">
        <w:t xml:space="preserve">Edwards </w:t>
      </w:r>
      <w:proofErr w:type="spellStart"/>
      <w:r w:rsidRPr="00E2027F">
        <w:t>Meisenhelder</w:t>
      </w:r>
      <w:proofErr w:type="spellEnd"/>
      <w:r w:rsidRPr="00E2027F">
        <w:t>, Susan, </w:t>
      </w:r>
      <w:r w:rsidRPr="00E2027F">
        <w:rPr>
          <w:i/>
          <w:iCs/>
        </w:rPr>
        <w:t>Hitting a Straight Line with a Crooked Stick</w:t>
      </w:r>
      <w:r w:rsidRPr="00E2027F">
        <w:t> (Tuscaloosa: The University of Alabama Press, 1999)</w:t>
      </w:r>
      <w:r>
        <w:t>.</w:t>
      </w:r>
    </w:p>
    <w:p w:rsidR="00E2027F" w:rsidRPr="00E2027F" w:rsidRDefault="00E2027F" w:rsidP="00E2027F">
      <w:pPr>
        <w:pStyle w:val="FootnoteText"/>
      </w:pPr>
    </w:p>
    <w:p w:rsidR="00E2027F" w:rsidRDefault="00E2027F" w:rsidP="00E2027F">
      <w:pPr>
        <w:pStyle w:val="FootnoteText"/>
      </w:pPr>
      <w:proofErr w:type="spellStart"/>
      <w:r w:rsidRPr="00E2027F">
        <w:t>Frydman</w:t>
      </w:r>
      <w:proofErr w:type="spellEnd"/>
      <w:r w:rsidRPr="00E2027F">
        <w:t xml:space="preserve"> Jason, 'Zora Neale Hurston, Biographical Criticism and African Diasporic Vernacular Culture', </w:t>
      </w:r>
      <w:r w:rsidRPr="00E2027F">
        <w:rPr>
          <w:i/>
          <w:iCs/>
        </w:rPr>
        <w:t>Translation and Alternative Forms of Literacy, </w:t>
      </w:r>
      <w:r w:rsidRPr="00E2027F">
        <w:t>34 (2009), 99-118</w:t>
      </w:r>
      <w:r>
        <w:t>.</w:t>
      </w:r>
    </w:p>
    <w:p w:rsidR="00E2027F" w:rsidRPr="00E2027F" w:rsidRDefault="00E2027F" w:rsidP="00E2027F">
      <w:pPr>
        <w:pStyle w:val="FootnoteText"/>
      </w:pPr>
    </w:p>
    <w:p w:rsidR="00E2027F" w:rsidRDefault="00E2027F" w:rsidP="00E2027F">
      <w:pPr>
        <w:pStyle w:val="FootnoteText"/>
      </w:pPr>
      <w:r w:rsidRPr="00E2027F">
        <w:t>Gilroy, Paul, </w:t>
      </w:r>
      <w:r w:rsidRPr="00E2027F">
        <w:rPr>
          <w:i/>
          <w:iCs/>
        </w:rPr>
        <w:t>The Black Atlantic</w:t>
      </w:r>
      <w:r w:rsidRPr="00E2027F">
        <w:t> (New York: Verso, 1993)</w:t>
      </w:r>
      <w:r>
        <w:t>.</w:t>
      </w:r>
    </w:p>
    <w:p w:rsidR="00E2027F" w:rsidRPr="00E2027F" w:rsidRDefault="00E2027F" w:rsidP="00E2027F">
      <w:pPr>
        <w:pStyle w:val="FootnoteText"/>
      </w:pPr>
    </w:p>
    <w:p w:rsidR="00E2027F" w:rsidRDefault="00E2027F" w:rsidP="00E2027F">
      <w:pPr>
        <w:pStyle w:val="FootnoteText"/>
      </w:pPr>
      <w:proofErr w:type="spellStart"/>
      <w:r w:rsidRPr="00E2027F">
        <w:t>Gornick</w:t>
      </w:r>
      <w:proofErr w:type="spellEnd"/>
      <w:r w:rsidRPr="00E2027F">
        <w:t xml:space="preserve"> Vivian, 'Vivian </w:t>
      </w:r>
      <w:proofErr w:type="spellStart"/>
      <w:r w:rsidRPr="00E2027F">
        <w:t>Gornick</w:t>
      </w:r>
      <w:proofErr w:type="spellEnd"/>
      <w:r w:rsidRPr="00E2027F">
        <w:t xml:space="preserve"> Rereads Zora Neale Hurston', </w:t>
      </w:r>
      <w:r w:rsidRPr="00E2027F">
        <w:rPr>
          <w:i/>
          <w:iCs/>
        </w:rPr>
        <w:t>The Women's Review of Books, </w:t>
      </w:r>
      <w:r w:rsidRPr="00E2027F">
        <w:t>16 (1999), 32</w:t>
      </w:r>
      <w:r>
        <w:t>.</w:t>
      </w:r>
    </w:p>
    <w:p w:rsidR="00E2027F" w:rsidRPr="00E2027F" w:rsidRDefault="00E2027F" w:rsidP="00E2027F">
      <w:pPr>
        <w:pStyle w:val="FootnoteText"/>
      </w:pPr>
    </w:p>
    <w:p w:rsidR="00E2027F" w:rsidRDefault="00E2027F" w:rsidP="00E2027F">
      <w:pPr>
        <w:pStyle w:val="FootnoteText"/>
      </w:pPr>
      <w:r w:rsidRPr="00E2027F">
        <w:t>Hurd Myles Raymond, 'What Goes Around Comes Around: Characterization, Climax and Closure in Hurston's 'Sweat'', </w:t>
      </w:r>
      <w:r w:rsidRPr="00E2027F">
        <w:rPr>
          <w:i/>
          <w:iCs/>
        </w:rPr>
        <w:t>The Langston Hughes Review, </w:t>
      </w:r>
      <w:r w:rsidRPr="00E2027F">
        <w:t>12 (1993), 7</w:t>
      </w:r>
      <w:r>
        <w:t>.</w:t>
      </w:r>
    </w:p>
    <w:p w:rsidR="00E2027F" w:rsidRPr="00E2027F" w:rsidRDefault="00E2027F" w:rsidP="00E2027F">
      <w:pPr>
        <w:pStyle w:val="FootnoteText"/>
      </w:pPr>
    </w:p>
    <w:p w:rsidR="00E2027F" w:rsidRDefault="00E2027F" w:rsidP="00E2027F">
      <w:pPr>
        <w:pStyle w:val="FootnoteText"/>
      </w:pPr>
      <w:r w:rsidRPr="00E2027F">
        <w:t xml:space="preserve">Hurston Zora </w:t>
      </w:r>
      <w:r>
        <w:t>N</w:t>
      </w:r>
      <w:r w:rsidRPr="00E2027F">
        <w:t>eale, </w:t>
      </w:r>
      <w:proofErr w:type="gramStart"/>
      <w:r w:rsidRPr="00E2027F">
        <w:rPr>
          <w:i/>
          <w:iCs/>
        </w:rPr>
        <w:t>How</w:t>
      </w:r>
      <w:proofErr w:type="gramEnd"/>
      <w:r w:rsidRPr="00E2027F">
        <w:rPr>
          <w:i/>
          <w:iCs/>
        </w:rPr>
        <w:t xml:space="preserve"> it Feels to be </w:t>
      </w:r>
      <w:proofErr w:type="spellStart"/>
      <w:r w:rsidRPr="00E2027F">
        <w:rPr>
          <w:i/>
          <w:iCs/>
        </w:rPr>
        <w:t>Colored</w:t>
      </w:r>
      <w:proofErr w:type="spellEnd"/>
      <w:r w:rsidRPr="00E2027F">
        <w:rPr>
          <w:i/>
          <w:iCs/>
        </w:rPr>
        <w:t xml:space="preserve"> Me</w:t>
      </w:r>
      <w:r w:rsidRPr="00E2027F">
        <w:t> (Carlisle: Applewood Books, 2015)</w:t>
      </w:r>
      <w:r>
        <w:t>.</w:t>
      </w:r>
    </w:p>
    <w:p w:rsidR="00E2027F" w:rsidRPr="00E2027F" w:rsidRDefault="00E2027F" w:rsidP="00E2027F">
      <w:pPr>
        <w:pStyle w:val="FootnoteText"/>
      </w:pPr>
    </w:p>
    <w:p w:rsidR="00E2027F" w:rsidRPr="00E2027F" w:rsidRDefault="00E2027F" w:rsidP="00E2027F">
      <w:pPr>
        <w:pStyle w:val="FootnoteText"/>
      </w:pPr>
    </w:p>
    <w:p w:rsidR="00E2027F" w:rsidRDefault="00E2027F" w:rsidP="00E2027F">
      <w:pPr>
        <w:pStyle w:val="FootnoteText"/>
      </w:pPr>
      <w:r w:rsidRPr="00E2027F">
        <w:t>Hutchinson, George, ed., </w:t>
      </w:r>
      <w:r w:rsidRPr="00E2027F">
        <w:rPr>
          <w:i/>
          <w:iCs/>
        </w:rPr>
        <w:t>The Cambridge Companion to the Harlem Renaissance</w:t>
      </w:r>
      <w:r w:rsidRPr="00E2027F">
        <w:t> (Cambridge: Cambridge University Press, 2007)</w:t>
      </w:r>
      <w:r>
        <w:t>.</w:t>
      </w:r>
    </w:p>
    <w:p w:rsidR="00E2027F" w:rsidRPr="00E2027F" w:rsidRDefault="00E2027F" w:rsidP="00E2027F">
      <w:pPr>
        <w:pStyle w:val="FootnoteText"/>
      </w:pPr>
    </w:p>
    <w:p w:rsidR="00E2027F" w:rsidRDefault="00E2027F" w:rsidP="00E2027F">
      <w:pPr>
        <w:pStyle w:val="FootnoteText"/>
      </w:pPr>
      <w:r w:rsidRPr="00E2027F">
        <w:t xml:space="preserve">King, </w:t>
      </w:r>
      <w:proofErr w:type="spellStart"/>
      <w:r w:rsidRPr="00E2027F">
        <w:t>Lovalerie</w:t>
      </w:r>
      <w:proofErr w:type="spellEnd"/>
      <w:r w:rsidRPr="00E2027F">
        <w:t>, </w:t>
      </w:r>
      <w:r w:rsidRPr="00E2027F">
        <w:rPr>
          <w:i/>
          <w:iCs/>
        </w:rPr>
        <w:t>The Cambridge Introduction to Zora Neale Hurston</w:t>
      </w:r>
      <w:r w:rsidRPr="00E2027F">
        <w:t> (Cambridge: Cambridge University Press, 2008)</w:t>
      </w:r>
      <w:r>
        <w:t>.</w:t>
      </w:r>
    </w:p>
    <w:p w:rsidR="00E2027F" w:rsidRPr="00E2027F" w:rsidRDefault="00E2027F" w:rsidP="00E2027F">
      <w:pPr>
        <w:pStyle w:val="FootnoteText"/>
      </w:pPr>
    </w:p>
    <w:p w:rsidR="00E2027F" w:rsidRDefault="00E2027F" w:rsidP="00E2027F">
      <w:pPr>
        <w:pStyle w:val="FootnoteText"/>
      </w:pPr>
      <w:r w:rsidRPr="00E2027F">
        <w:t>Lamothe, Daphne, </w:t>
      </w:r>
      <w:r w:rsidRPr="00E2027F">
        <w:rPr>
          <w:i/>
          <w:iCs/>
        </w:rPr>
        <w:t>Inventing the New Negro:</w:t>
      </w:r>
      <w:r>
        <w:rPr>
          <w:i/>
          <w:iCs/>
        </w:rPr>
        <w:t xml:space="preserve"> </w:t>
      </w:r>
      <w:r w:rsidRPr="00E2027F">
        <w:rPr>
          <w:i/>
          <w:iCs/>
        </w:rPr>
        <w:t>Narrative, Cultu</w:t>
      </w:r>
      <w:r>
        <w:rPr>
          <w:i/>
          <w:iCs/>
        </w:rPr>
        <w:t>r</w:t>
      </w:r>
      <w:r w:rsidRPr="00E2027F">
        <w:rPr>
          <w:i/>
          <w:iCs/>
        </w:rPr>
        <w:t>e and Ethnography</w:t>
      </w:r>
      <w:r w:rsidRPr="00E2027F">
        <w:t> (Philadelphia: Pennsylvania Press, 2008)</w:t>
      </w:r>
      <w:r>
        <w:t>.</w:t>
      </w:r>
    </w:p>
    <w:p w:rsidR="00E2027F" w:rsidRPr="00E2027F" w:rsidRDefault="00E2027F" w:rsidP="00E2027F">
      <w:pPr>
        <w:pStyle w:val="FootnoteText"/>
      </w:pPr>
    </w:p>
    <w:p w:rsidR="00E2027F" w:rsidRDefault="00E2027F" w:rsidP="00E2027F">
      <w:pPr>
        <w:pStyle w:val="FootnoteText"/>
      </w:pPr>
      <w:r w:rsidRPr="00E2027F">
        <w:t>Miles, Dian</w:t>
      </w:r>
      <w:r>
        <w:t>a</w:t>
      </w:r>
      <w:r w:rsidRPr="00E2027F">
        <w:t>, </w:t>
      </w:r>
      <w:r w:rsidRPr="00E2027F">
        <w:rPr>
          <w:i/>
          <w:iCs/>
        </w:rPr>
        <w:t>Women, Violence and Testimony in the Works of Zora Neale Hurston</w:t>
      </w:r>
      <w:r w:rsidRPr="00E2027F">
        <w:t> (New York: Peter Lang Publishing, 2003)</w:t>
      </w:r>
      <w:r>
        <w:t xml:space="preserve">. </w:t>
      </w:r>
    </w:p>
    <w:p w:rsidR="00E2027F" w:rsidRPr="00E2027F" w:rsidRDefault="00E2027F" w:rsidP="00E2027F">
      <w:pPr>
        <w:pStyle w:val="FootnoteText"/>
      </w:pPr>
    </w:p>
    <w:p w:rsidR="00E2027F" w:rsidRDefault="00E2027F" w:rsidP="00E2027F">
      <w:pPr>
        <w:pStyle w:val="FootnoteText"/>
      </w:pPr>
      <w:r w:rsidRPr="00E2027F">
        <w:t>Pratt Theodore, 'Zora Neale Hurston', </w:t>
      </w:r>
      <w:r w:rsidRPr="00E2027F">
        <w:rPr>
          <w:i/>
          <w:iCs/>
        </w:rPr>
        <w:t>The Florida Historical Quarterly, </w:t>
      </w:r>
      <w:r w:rsidRPr="00E2027F">
        <w:t>40 (1961), 35-40</w:t>
      </w:r>
      <w:r>
        <w:t>.</w:t>
      </w:r>
    </w:p>
    <w:p w:rsidR="00E2027F" w:rsidRDefault="00E2027F" w:rsidP="00E2027F">
      <w:pPr>
        <w:pStyle w:val="FootnoteText"/>
      </w:pPr>
    </w:p>
    <w:p w:rsidR="00E2027F" w:rsidRDefault="00E2027F" w:rsidP="00E2027F">
      <w:pPr>
        <w:pStyle w:val="FootnoteText"/>
      </w:pPr>
      <w:r w:rsidRPr="00E2027F">
        <w:t>Wells Ida B, </w:t>
      </w:r>
      <w:r w:rsidRPr="00E2027F">
        <w:rPr>
          <w:i/>
          <w:iCs/>
        </w:rPr>
        <w:t>Crusade for Justice: The Autobiography of Ida B. Wells</w:t>
      </w:r>
      <w:r w:rsidRPr="00E2027F">
        <w:t> (Chicago: Chicago University press, 2013)</w:t>
      </w:r>
      <w:r w:rsidR="001352B3">
        <w:t>.</w:t>
      </w:r>
    </w:p>
    <w:p w:rsidR="00E2027F" w:rsidRPr="00E2027F" w:rsidRDefault="00E2027F" w:rsidP="00E2027F">
      <w:pPr>
        <w:pStyle w:val="FootnoteText"/>
      </w:pPr>
    </w:p>
    <w:p w:rsidR="00E2027F" w:rsidRPr="00E2027F" w:rsidRDefault="00E2027F" w:rsidP="00E2027F">
      <w:pPr>
        <w:pStyle w:val="FootnoteText"/>
      </w:pPr>
      <w:proofErr w:type="spellStart"/>
      <w:r w:rsidRPr="00E2027F">
        <w:t>Witcover</w:t>
      </w:r>
      <w:proofErr w:type="spellEnd"/>
      <w:r w:rsidRPr="00E2027F">
        <w:t>, Paul, </w:t>
      </w:r>
      <w:r w:rsidRPr="00E2027F">
        <w:rPr>
          <w:i/>
          <w:iCs/>
        </w:rPr>
        <w:t>Zora Neale Hurston</w:t>
      </w:r>
      <w:r w:rsidRPr="00E2027F">
        <w:t> (L. A.: Holloway House Publishing, 1994)</w:t>
      </w:r>
      <w:r>
        <w:t>.</w:t>
      </w: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p w:rsidR="00E2027F" w:rsidRDefault="00E2027F">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9F0B28"/>
    <w:multiLevelType w:val="hybridMultilevel"/>
    <w:tmpl w:val="3F0070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435"/>
    <w:rsid w:val="00057F70"/>
    <w:rsid w:val="00081AD0"/>
    <w:rsid w:val="000844CB"/>
    <w:rsid w:val="000F33C7"/>
    <w:rsid w:val="001138AF"/>
    <w:rsid w:val="001352B3"/>
    <w:rsid w:val="00160BE9"/>
    <w:rsid w:val="00174D5E"/>
    <w:rsid w:val="002071C3"/>
    <w:rsid w:val="002D3A1B"/>
    <w:rsid w:val="002E098A"/>
    <w:rsid w:val="002F0A23"/>
    <w:rsid w:val="00320C1C"/>
    <w:rsid w:val="00343AAF"/>
    <w:rsid w:val="00354A69"/>
    <w:rsid w:val="0037044C"/>
    <w:rsid w:val="003E1B26"/>
    <w:rsid w:val="003F2DA9"/>
    <w:rsid w:val="0044506E"/>
    <w:rsid w:val="00455E06"/>
    <w:rsid w:val="004846D0"/>
    <w:rsid w:val="004C0F33"/>
    <w:rsid w:val="004D3D9C"/>
    <w:rsid w:val="004F2A5B"/>
    <w:rsid w:val="00502259"/>
    <w:rsid w:val="005110A0"/>
    <w:rsid w:val="00522816"/>
    <w:rsid w:val="0056652E"/>
    <w:rsid w:val="005A77F0"/>
    <w:rsid w:val="00605CBF"/>
    <w:rsid w:val="006063DE"/>
    <w:rsid w:val="00630507"/>
    <w:rsid w:val="0063393A"/>
    <w:rsid w:val="00673E80"/>
    <w:rsid w:val="006F4A62"/>
    <w:rsid w:val="00704D43"/>
    <w:rsid w:val="00705514"/>
    <w:rsid w:val="00725B7B"/>
    <w:rsid w:val="007344E7"/>
    <w:rsid w:val="007448D3"/>
    <w:rsid w:val="007C468F"/>
    <w:rsid w:val="00821EC3"/>
    <w:rsid w:val="0087579C"/>
    <w:rsid w:val="008B4141"/>
    <w:rsid w:val="008E6B5D"/>
    <w:rsid w:val="008F3441"/>
    <w:rsid w:val="00974E70"/>
    <w:rsid w:val="00A04601"/>
    <w:rsid w:val="00A1050B"/>
    <w:rsid w:val="00A266B5"/>
    <w:rsid w:val="00A327D3"/>
    <w:rsid w:val="00A3502C"/>
    <w:rsid w:val="00A854E9"/>
    <w:rsid w:val="00AB1B71"/>
    <w:rsid w:val="00AD4361"/>
    <w:rsid w:val="00B11658"/>
    <w:rsid w:val="00B4007C"/>
    <w:rsid w:val="00B40C39"/>
    <w:rsid w:val="00B54304"/>
    <w:rsid w:val="00B63ACD"/>
    <w:rsid w:val="00B925D5"/>
    <w:rsid w:val="00BE45B3"/>
    <w:rsid w:val="00C1689F"/>
    <w:rsid w:val="00C328F7"/>
    <w:rsid w:val="00C514A3"/>
    <w:rsid w:val="00C9592D"/>
    <w:rsid w:val="00CF3B8B"/>
    <w:rsid w:val="00D81F27"/>
    <w:rsid w:val="00D91BD3"/>
    <w:rsid w:val="00E14435"/>
    <w:rsid w:val="00E2027F"/>
    <w:rsid w:val="00E57B48"/>
    <w:rsid w:val="00ED3219"/>
    <w:rsid w:val="00F174DB"/>
    <w:rsid w:val="00F53838"/>
    <w:rsid w:val="00F8200C"/>
    <w:rsid w:val="00F97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1EE4B"/>
  <w15:chartTrackingRefBased/>
  <w15:docId w15:val="{5352D35B-2A88-4E8F-A134-D371AC0FC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4506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4506E"/>
    <w:rPr>
      <w:sz w:val="20"/>
      <w:szCs w:val="20"/>
    </w:rPr>
  </w:style>
  <w:style w:type="character" w:styleId="FootnoteReference">
    <w:name w:val="footnote reference"/>
    <w:basedOn w:val="DefaultParagraphFont"/>
    <w:uiPriority w:val="99"/>
    <w:semiHidden/>
    <w:unhideWhenUsed/>
    <w:rsid w:val="0044506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4859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917A6A-2571-488F-B5C4-523F6865D5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7</Pages>
  <Words>2141</Words>
  <Characters>12208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Rosanna Jevon (1602506)</dc:creator>
  <cp:keywords/>
  <dc:description/>
  <cp:lastModifiedBy>Rosanna Jevon (1602506)</cp:lastModifiedBy>
  <cp:revision>23</cp:revision>
  <dcterms:created xsi:type="dcterms:W3CDTF">2020-01-27T08:52:00Z</dcterms:created>
  <dcterms:modified xsi:type="dcterms:W3CDTF">2020-01-31T10:31:00Z</dcterms:modified>
</cp:coreProperties>
</file>