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1787702424"/>
        <w:docPartObj>
          <w:docPartGallery w:val="Cover Pages"/>
          <w:docPartUnique/>
        </w:docPartObj>
      </w:sdtPr>
      <w:sdtEndPr>
        <w:rPr>
          <w:sz w:val="22"/>
        </w:rPr>
      </w:sdtEndPr>
      <w:sdtContent>
        <w:p w14:paraId="2A8447EF" w14:textId="4611D5E5" w:rsidR="00062792" w:rsidRDefault="00062792">
          <w:pPr>
            <w:pStyle w:val="NoSpacing"/>
            <w:rPr>
              <w:sz w:val="2"/>
            </w:rPr>
          </w:pPr>
        </w:p>
        <w:p w14:paraId="2FC87690" w14:textId="4CEA4F38" w:rsidR="00062792" w:rsidRDefault="00062792">
          <w:r>
            <w:rPr>
              <w:noProof/>
            </w:rPr>
            <mc:AlternateContent>
              <mc:Choice Requires="wps">
                <w:drawing>
                  <wp:anchor distT="0" distB="0" distL="114300" distR="114300" simplePos="0" relativeHeight="251661312" behindDoc="0" locked="0" layoutInCell="1" allowOverlap="1" wp14:anchorId="38794AE1" wp14:editId="203A680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2F5496"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9BEE043" w14:textId="69C50D34" w:rsidR="00062792" w:rsidRPr="00062792" w:rsidRDefault="00062792">
                                    <w:pPr>
                                      <w:pStyle w:val="NoSpacing"/>
                                      <w:rPr>
                                        <w:rFonts w:ascii="Times New Roman" w:eastAsiaTheme="majorEastAsia" w:hAnsi="Times New Roman" w:cs="Times New Roman"/>
                                        <w:caps/>
                                        <w:color w:val="2F5496" w:themeColor="accent1" w:themeShade="BF"/>
                                        <w:sz w:val="68"/>
                                        <w:szCs w:val="68"/>
                                      </w:rPr>
                                    </w:pPr>
                                    <w:r w:rsidRPr="00062792">
                                      <w:rPr>
                                        <w:rFonts w:ascii="Times New Roman" w:eastAsiaTheme="majorEastAsia" w:hAnsi="Times New Roman" w:cs="Times New Roman"/>
                                        <w:caps/>
                                        <w:color w:val="2F5496" w:themeColor="accent1" w:themeShade="BF"/>
                                        <w:sz w:val="64"/>
                                        <w:szCs w:val="64"/>
                                      </w:rPr>
                                      <w:t>Situational analysis of barclays using the swot framework</w:t>
                                    </w:r>
                                  </w:p>
                                </w:sdtContent>
                              </w:sdt>
                              <w:p w14:paraId="3AAE3FE9" w14:textId="5DB4C984" w:rsidR="00062792" w:rsidRDefault="00000000">
                                <w:pPr>
                                  <w:pStyle w:val="NoSpacing"/>
                                  <w:spacing w:before="120"/>
                                  <w:rPr>
                                    <w:color w:val="4472C4" w:themeColor="accent1"/>
                                    <w:sz w:val="36"/>
                                    <w:szCs w:val="36"/>
                                  </w:rPr>
                                </w:pPr>
                                <w:sdt>
                                  <w:sdtPr>
                                    <w:rPr>
                                      <w:rFonts w:ascii="Times New Roman" w:hAnsi="Times New Roman" w:cs="Times New Roman"/>
                                      <w:color w:val="2F5496" w:themeColor="accent1"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62792" w:rsidRPr="00062792">
                                      <w:rPr>
                                        <w:rFonts w:ascii="Times New Roman" w:hAnsi="Times New Roman" w:cs="Times New Roman"/>
                                        <w:color w:val="2F5496" w:themeColor="accent1" w:themeShade="BF"/>
                                        <w:sz w:val="36"/>
                                        <w:szCs w:val="36"/>
                                      </w:rPr>
                                      <w:t xml:space="preserve">BA (Hons) Business Management                                                                 </w:t>
                                    </w:r>
                                    <w:r w:rsidR="00E05DC8">
                                      <w:rPr>
                                        <w:rFonts w:ascii="Times New Roman" w:hAnsi="Times New Roman" w:cs="Times New Roman"/>
                                        <w:color w:val="2F5496" w:themeColor="accent1" w:themeShade="BF"/>
                                        <w:sz w:val="36"/>
                                        <w:szCs w:val="36"/>
                                      </w:rPr>
                                      <w:t xml:space="preserve">LCBB5015 </w:t>
                                    </w:r>
                                    <w:r w:rsidR="00062792" w:rsidRPr="00062792">
                                      <w:rPr>
                                        <w:rFonts w:ascii="Times New Roman" w:hAnsi="Times New Roman" w:cs="Times New Roman"/>
                                        <w:color w:val="2F5496" w:themeColor="accent1" w:themeShade="BF"/>
                                        <w:sz w:val="36"/>
                                        <w:szCs w:val="36"/>
                                      </w:rPr>
                                      <w:t xml:space="preserve">Principles of Marketing                                                                         Name: Ana </w:t>
                                    </w:r>
                                    <w:proofErr w:type="spellStart"/>
                                    <w:r w:rsidR="00062792" w:rsidRPr="00062792">
                                      <w:rPr>
                                        <w:rFonts w:ascii="Times New Roman" w:hAnsi="Times New Roman" w:cs="Times New Roman"/>
                                        <w:color w:val="2F5496" w:themeColor="accent1" w:themeShade="BF"/>
                                        <w:sz w:val="36"/>
                                        <w:szCs w:val="36"/>
                                      </w:rPr>
                                      <w:t>Craescu</w:t>
                                    </w:r>
                                    <w:proofErr w:type="spellEnd"/>
                                    <w:r w:rsidR="00062792" w:rsidRPr="00062792">
                                      <w:rPr>
                                        <w:rFonts w:ascii="Times New Roman" w:hAnsi="Times New Roman" w:cs="Times New Roman"/>
                                        <w:color w:val="2F5496" w:themeColor="accent1" w:themeShade="BF"/>
                                        <w:sz w:val="36"/>
                                        <w:szCs w:val="36"/>
                                      </w:rPr>
                                      <w:t xml:space="preserve">                                                                 Student ID: 2237626</w:t>
                                    </w:r>
                                  </w:sdtContent>
                                </w:sdt>
                                <w:r w:rsidR="00062792">
                                  <w:rPr>
                                    <w:noProof/>
                                  </w:rPr>
                                  <w:t xml:space="preserve"> </w:t>
                                </w:r>
                              </w:p>
                              <w:p w14:paraId="49D691C1" w14:textId="77777777" w:rsidR="00062792" w:rsidRDefault="000627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8794AE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eastAsiaTheme="majorEastAsia" w:hAnsi="Times New Roman" w:cs="Times New Roman"/>
                              <w:caps/>
                              <w:color w:val="2F5496"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9BEE043" w14:textId="69C50D34" w:rsidR="00062792" w:rsidRPr="00062792" w:rsidRDefault="00062792">
                              <w:pPr>
                                <w:pStyle w:val="NoSpacing"/>
                                <w:rPr>
                                  <w:rFonts w:ascii="Times New Roman" w:eastAsiaTheme="majorEastAsia" w:hAnsi="Times New Roman" w:cs="Times New Roman"/>
                                  <w:caps/>
                                  <w:color w:val="2F5496" w:themeColor="accent1" w:themeShade="BF"/>
                                  <w:sz w:val="68"/>
                                  <w:szCs w:val="68"/>
                                </w:rPr>
                              </w:pPr>
                              <w:r w:rsidRPr="00062792">
                                <w:rPr>
                                  <w:rFonts w:ascii="Times New Roman" w:eastAsiaTheme="majorEastAsia" w:hAnsi="Times New Roman" w:cs="Times New Roman"/>
                                  <w:caps/>
                                  <w:color w:val="2F5496" w:themeColor="accent1" w:themeShade="BF"/>
                                  <w:sz w:val="64"/>
                                  <w:szCs w:val="64"/>
                                </w:rPr>
                                <w:t>Situational analysis of barclays using the swot framework</w:t>
                              </w:r>
                            </w:p>
                          </w:sdtContent>
                        </w:sdt>
                        <w:p w14:paraId="3AAE3FE9" w14:textId="5DB4C984" w:rsidR="00062792" w:rsidRDefault="00000000">
                          <w:pPr>
                            <w:pStyle w:val="NoSpacing"/>
                            <w:spacing w:before="120"/>
                            <w:rPr>
                              <w:color w:val="4472C4" w:themeColor="accent1"/>
                              <w:sz w:val="36"/>
                              <w:szCs w:val="36"/>
                            </w:rPr>
                          </w:pPr>
                          <w:sdt>
                            <w:sdtPr>
                              <w:rPr>
                                <w:rFonts w:ascii="Times New Roman" w:hAnsi="Times New Roman" w:cs="Times New Roman"/>
                                <w:color w:val="2F5496" w:themeColor="accent1"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62792" w:rsidRPr="00062792">
                                <w:rPr>
                                  <w:rFonts w:ascii="Times New Roman" w:hAnsi="Times New Roman" w:cs="Times New Roman"/>
                                  <w:color w:val="2F5496" w:themeColor="accent1" w:themeShade="BF"/>
                                  <w:sz w:val="36"/>
                                  <w:szCs w:val="36"/>
                                </w:rPr>
                                <w:t xml:space="preserve">BA (Hons) Business Management                                                                 </w:t>
                              </w:r>
                              <w:r w:rsidR="00E05DC8">
                                <w:rPr>
                                  <w:rFonts w:ascii="Times New Roman" w:hAnsi="Times New Roman" w:cs="Times New Roman"/>
                                  <w:color w:val="2F5496" w:themeColor="accent1" w:themeShade="BF"/>
                                  <w:sz w:val="36"/>
                                  <w:szCs w:val="36"/>
                                </w:rPr>
                                <w:t xml:space="preserve">LCBB5015 </w:t>
                              </w:r>
                              <w:r w:rsidR="00062792" w:rsidRPr="00062792">
                                <w:rPr>
                                  <w:rFonts w:ascii="Times New Roman" w:hAnsi="Times New Roman" w:cs="Times New Roman"/>
                                  <w:color w:val="2F5496" w:themeColor="accent1" w:themeShade="BF"/>
                                  <w:sz w:val="36"/>
                                  <w:szCs w:val="36"/>
                                </w:rPr>
                                <w:t xml:space="preserve">Principles of Marketing                                                                         Name: Ana </w:t>
                              </w:r>
                              <w:proofErr w:type="spellStart"/>
                              <w:r w:rsidR="00062792" w:rsidRPr="00062792">
                                <w:rPr>
                                  <w:rFonts w:ascii="Times New Roman" w:hAnsi="Times New Roman" w:cs="Times New Roman"/>
                                  <w:color w:val="2F5496" w:themeColor="accent1" w:themeShade="BF"/>
                                  <w:sz w:val="36"/>
                                  <w:szCs w:val="36"/>
                                </w:rPr>
                                <w:t>Craescu</w:t>
                              </w:r>
                              <w:proofErr w:type="spellEnd"/>
                              <w:r w:rsidR="00062792" w:rsidRPr="00062792">
                                <w:rPr>
                                  <w:rFonts w:ascii="Times New Roman" w:hAnsi="Times New Roman" w:cs="Times New Roman"/>
                                  <w:color w:val="2F5496" w:themeColor="accent1" w:themeShade="BF"/>
                                  <w:sz w:val="36"/>
                                  <w:szCs w:val="36"/>
                                </w:rPr>
                                <w:t xml:space="preserve">                                                                 Student ID: 2237626</w:t>
                              </w:r>
                            </w:sdtContent>
                          </w:sdt>
                          <w:r w:rsidR="00062792">
                            <w:rPr>
                              <w:noProof/>
                            </w:rPr>
                            <w:t xml:space="preserve"> </w:t>
                          </w:r>
                        </w:p>
                        <w:p w14:paraId="49D691C1" w14:textId="77777777" w:rsidR="00062792" w:rsidRDefault="0006279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BB61A5A" wp14:editId="141DDCEB">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7A016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FBC1F7A" w14:textId="2A0D0458" w:rsidR="00062792" w:rsidRPr="00062792" w:rsidRDefault="00062792"/>
        <w:p w14:paraId="549D895D" w14:textId="43AFF0F7" w:rsidR="00062792" w:rsidRDefault="00000000"/>
      </w:sdtContent>
    </w:sdt>
    <w:p w14:paraId="11CAD50F" w14:textId="19E516BA" w:rsidR="00062792" w:rsidRDefault="00062792"/>
    <w:p w14:paraId="04A5A32F" w14:textId="77777777" w:rsidR="00062792" w:rsidRDefault="00062792">
      <w:r>
        <w:br w:type="page"/>
      </w:r>
    </w:p>
    <w:p w14:paraId="6D7AC504" w14:textId="38E5ED0A" w:rsidR="0019706A" w:rsidRDefault="00062792">
      <w:pPr>
        <w:rPr>
          <w:rFonts w:ascii="Times New Roman" w:hAnsi="Times New Roman" w:cs="Times New Roman"/>
          <w:sz w:val="24"/>
          <w:szCs w:val="24"/>
          <w:u w:val="single"/>
        </w:rPr>
      </w:pPr>
      <w:r w:rsidRPr="00062792">
        <w:rPr>
          <w:rFonts w:ascii="Times New Roman" w:hAnsi="Times New Roman" w:cs="Times New Roman"/>
          <w:sz w:val="24"/>
          <w:szCs w:val="24"/>
          <w:u w:val="single"/>
        </w:rPr>
        <w:lastRenderedPageBreak/>
        <w:t>Introduction</w:t>
      </w:r>
    </w:p>
    <w:p w14:paraId="67C35D0A" w14:textId="4CD5429E" w:rsidR="00062792" w:rsidRDefault="00062792">
      <w:pPr>
        <w:rPr>
          <w:rFonts w:ascii="Times New Roman" w:hAnsi="Times New Roman" w:cs="Times New Roman"/>
          <w:sz w:val="24"/>
          <w:szCs w:val="24"/>
          <w:u w:val="single"/>
        </w:rPr>
      </w:pPr>
    </w:p>
    <w:p w14:paraId="1B19151F" w14:textId="2ACE80CC" w:rsidR="00062792" w:rsidRPr="00062792" w:rsidRDefault="00062792" w:rsidP="00062792">
      <w:pPr>
        <w:spacing w:line="360" w:lineRule="auto"/>
        <w:rPr>
          <w:rFonts w:ascii="Times New Roman" w:hAnsi="Times New Roman" w:cs="Times New Roman"/>
          <w:sz w:val="24"/>
          <w:szCs w:val="24"/>
        </w:rPr>
      </w:pPr>
      <w:r w:rsidRPr="00062792">
        <w:rPr>
          <w:rFonts w:ascii="Times New Roman" w:hAnsi="Times New Roman" w:cs="Times New Roman"/>
          <w:sz w:val="24"/>
          <w:szCs w:val="24"/>
        </w:rPr>
        <w:t>Barclays is one of the major financial companies in the United Kingdom, offering a diverse variety of banking and financial services such as retail banking, investment banking, and wealth management</w:t>
      </w:r>
      <w:r w:rsidR="00E7429D">
        <w:rPr>
          <w:rFonts w:ascii="Times New Roman" w:hAnsi="Times New Roman" w:cs="Times New Roman"/>
          <w:sz w:val="24"/>
          <w:szCs w:val="24"/>
        </w:rPr>
        <w:t xml:space="preserve"> (Barclays, 2024)</w:t>
      </w:r>
      <w:r w:rsidRPr="00062792">
        <w:rPr>
          <w:rFonts w:ascii="Times New Roman" w:hAnsi="Times New Roman" w:cs="Times New Roman"/>
          <w:sz w:val="24"/>
          <w:szCs w:val="24"/>
        </w:rPr>
        <w:t>. Barclays, founded in 1690, operates internationally, servicing millions of consumers in Europe, the Americas, Africa, and Asia. The company has established a significant market position through its long-standing reputation, diverse service offering, and investment in digital banking technology.</w:t>
      </w:r>
    </w:p>
    <w:p w14:paraId="0A8E9E44" w14:textId="2727B68E" w:rsidR="00062792" w:rsidRDefault="00062792" w:rsidP="00062792">
      <w:pPr>
        <w:spacing w:line="360" w:lineRule="auto"/>
        <w:rPr>
          <w:rFonts w:ascii="Times New Roman" w:hAnsi="Times New Roman" w:cs="Times New Roman"/>
          <w:sz w:val="24"/>
          <w:szCs w:val="24"/>
        </w:rPr>
      </w:pPr>
      <w:r w:rsidRPr="00062792">
        <w:rPr>
          <w:rFonts w:ascii="Times New Roman" w:hAnsi="Times New Roman" w:cs="Times New Roman"/>
          <w:sz w:val="24"/>
          <w:szCs w:val="24"/>
        </w:rPr>
        <w:t>The financial services business is extremely competitive and constantly evolving owing to economic conditions, regulatory constraints, and technology innovation. Banks must modify their strategy to meet rising client demands, digital transformation, and changing financial laws.</w:t>
      </w:r>
    </w:p>
    <w:p w14:paraId="40189B48" w14:textId="4D788655" w:rsidR="00062792" w:rsidRDefault="00062792" w:rsidP="00062792">
      <w:pPr>
        <w:spacing w:line="360" w:lineRule="auto"/>
        <w:rPr>
          <w:rFonts w:ascii="Times New Roman" w:hAnsi="Times New Roman" w:cs="Times New Roman"/>
          <w:sz w:val="24"/>
          <w:szCs w:val="24"/>
        </w:rPr>
      </w:pPr>
      <w:r w:rsidRPr="00062792">
        <w:rPr>
          <w:rFonts w:ascii="Times New Roman" w:hAnsi="Times New Roman" w:cs="Times New Roman"/>
          <w:sz w:val="24"/>
          <w:szCs w:val="24"/>
        </w:rPr>
        <w:t>This research seeks to undertake a situational analysis of Barclays using the SWOT paradigm, which assesses internal strengths and weaknesses as well as external opportunities and threats. This report sheds light on the bank's strategic position and capacity to remain competitive in the evolving financial services business.</w:t>
      </w:r>
    </w:p>
    <w:p w14:paraId="1776F56A" w14:textId="5D0CB746" w:rsidR="00062792" w:rsidRDefault="00062792" w:rsidP="00062792">
      <w:pPr>
        <w:spacing w:line="360" w:lineRule="auto"/>
        <w:rPr>
          <w:rFonts w:ascii="Times New Roman" w:hAnsi="Times New Roman" w:cs="Times New Roman"/>
          <w:sz w:val="24"/>
          <w:szCs w:val="24"/>
        </w:rPr>
      </w:pPr>
    </w:p>
    <w:p w14:paraId="4BDFE081" w14:textId="78A06416" w:rsidR="00062792" w:rsidRDefault="00062792" w:rsidP="00062792">
      <w:pPr>
        <w:spacing w:line="360" w:lineRule="auto"/>
        <w:rPr>
          <w:rFonts w:ascii="Times New Roman" w:hAnsi="Times New Roman" w:cs="Times New Roman"/>
          <w:sz w:val="24"/>
          <w:szCs w:val="24"/>
          <w:u w:val="single"/>
        </w:rPr>
      </w:pPr>
      <w:r w:rsidRPr="00062792">
        <w:rPr>
          <w:rFonts w:ascii="Times New Roman" w:hAnsi="Times New Roman" w:cs="Times New Roman"/>
          <w:sz w:val="24"/>
          <w:szCs w:val="24"/>
          <w:u w:val="single"/>
        </w:rPr>
        <w:t>SWOT Analysis for Barclays</w:t>
      </w:r>
    </w:p>
    <w:p w14:paraId="3C2C99C0" w14:textId="77777777" w:rsidR="00062792" w:rsidRDefault="00062792" w:rsidP="00062792">
      <w:pPr>
        <w:spacing w:line="360" w:lineRule="auto"/>
        <w:rPr>
          <w:rFonts w:ascii="Times New Roman" w:hAnsi="Times New Roman" w:cs="Times New Roman"/>
          <w:sz w:val="24"/>
          <w:szCs w:val="24"/>
          <w:u w:val="single"/>
        </w:rPr>
      </w:pPr>
    </w:p>
    <w:p w14:paraId="676345A4" w14:textId="7CAAE827" w:rsidR="00062792" w:rsidRPr="00062792" w:rsidRDefault="00062792" w:rsidP="00062792">
      <w:pPr>
        <w:spacing w:line="360" w:lineRule="auto"/>
        <w:rPr>
          <w:rFonts w:ascii="Times New Roman" w:hAnsi="Times New Roman" w:cs="Times New Roman"/>
          <w:sz w:val="24"/>
          <w:szCs w:val="24"/>
        </w:rPr>
      </w:pPr>
      <w:r w:rsidRPr="00062792">
        <w:rPr>
          <w:rFonts w:ascii="Times New Roman" w:hAnsi="Times New Roman" w:cs="Times New Roman"/>
          <w:sz w:val="24"/>
          <w:szCs w:val="24"/>
        </w:rPr>
        <w:t xml:space="preserve">The SWOT framework is commonly used to evaluate </w:t>
      </w:r>
      <w:proofErr w:type="spellStart"/>
      <w:r w:rsidRPr="00062792">
        <w:rPr>
          <w:rFonts w:ascii="Times New Roman" w:hAnsi="Times New Roman" w:cs="Times New Roman"/>
          <w:sz w:val="24"/>
          <w:szCs w:val="24"/>
        </w:rPr>
        <w:t>organisational</w:t>
      </w:r>
      <w:proofErr w:type="spellEnd"/>
      <w:r w:rsidRPr="00062792">
        <w:rPr>
          <w:rFonts w:ascii="Times New Roman" w:hAnsi="Times New Roman" w:cs="Times New Roman"/>
          <w:sz w:val="24"/>
          <w:szCs w:val="24"/>
        </w:rPr>
        <w:t xml:space="preserve"> performance by examining internal capabilities and external environmental elements (Gürel and Tat, 2017).</w:t>
      </w:r>
    </w:p>
    <w:p w14:paraId="7ACC8B67" w14:textId="38E3BC7A" w:rsidR="00062792" w:rsidRDefault="00062792" w:rsidP="00062792">
      <w:pPr>
        <w:spacing w:line="360" w:lineRule="auto"/>
        <w:rPr>
          <w:rFonts w:ascii="Times New Roman" w:hAnsi="Times New Roman" w:cs="Times New Roman"/>
          <w:sz w:val="24"/>
          <w:szCs w:val="24"/>
        </w:rPr>
      </w:pPr>
      <w:r w:rsidRPr="00062792">
        <w:rPr>
          <w:rFonts w:ascii="Times New Roman" w:hAnsi="Times New Roman" w:cs="Times New Roman"/>
          <w:sz w:val="24"/>
          <w:szCs w:val="24"/>
        </w:rPr>
        <w:t>One of Barclays' primary strengths is its strong worldwide brand and diverse financial services business. The company operates in several areas, decreasing reliance on a single revenue stream. Its investment in digital banking platforms improves both client convenience and operational efficiency</w:t>
      </w:r>
      <w:r w:rsidR="00E7429D">
        <w:rPr>
          <w:rFonts w:ascii="Times New Roman" w:hAnsi="Times New Roman" w:cs="Times New Roman"/>
          <w:sz w:val="24"/>
          <w:szCs w:val="24"/>
        </w:rPr>
        <w:t xml:space="preserve"> (Kotler and Keller, 2022)</w:t>
      </w:r>
      <w:r w:rsidRPr="00062792">
        <w:rPr>
          <w:rFonts w:ascii="Times New Roman" w:hAnsi="Times New Roman" w:cs="Times New Roman"/>
          <w:sz w:val="24"/>
          <w:szCs w:val="24"/>
        </w:rPr>
        <w:t>. According to Mishkin (2019), technological innovation in banking enhances service delivery and boosts competitiveness.</w:t>
      </w:r>
    </w:p>
    <w:p w14:paraId="1E0CF967" w14:textId="17C75478" w:rsidR="003F7E27" w:rsidRDefault="003F7E27" w:rsidP="00062792">
      <w:pPr>
        <w:spacing w:line="360" w:lineRule="auto"/>
        <w:rPr>
          <w:rFonts w:ascii="Times New Roman" w:hAnsi="Times New Roman" w:cs="Times New Roman"/>
          <w:sz w:val="24"/>
          <w:szCs w:val="24"/>
        </w:rPr>
      </w:pPr>
      <w:r w:rsidRPr="003F7E27">
        <w:rPr>
          <w:rFonts w:ascii="Times New Roman" w:hAnsi="Times New Roman" w:cs="Times New Roman"/>
          <w:sz w:val="24"/>
          <w:szCs w:val="24"/>
        </w:rPr>
        <w:t xml:space="preserve">Despite its extensive market presence, Barclays confronts internal issues such as operational complexity and reputational risk. Large financial institutions frequently have difficulty coordinating worldwide operations and ensuring constant service quality. Furthermore, previous </w:t>
      </w:r>
      <w:r w:rsidRPr="003F7E27">
        <w:rPr>
          <w:rFonts w:ascii="Times New Roman" w:hAnsi="Times New Roman" w:cs="Times New Roman"/>
          <w:sz w:val="24"/>
          <w:szCs w:val="24"/>
        </w:rPr>
        <w:lastRenderedPageBreak/>
        <w:t>regulatory concerns and compliance failures damaged public trust. As Rose and Hudgins (201</w:t>
      </w:r>
      <w:r w:rsidR="00E7429D">
        <w:rPr>
          <w:rFonts w:ascii="Times New Roman" w:hAnsi="Times New Roman" w:cs="Times New Roman"/>
          <w:sz w:val="24"/>
          <w:szCs w:val="24"/>
        </w:rPr>
        <w:t>2</w:t>
      </w:r>
      <w:r w:rsidRPr="003F7E27">
        <w:rPr>
          <w:rFonts w:ascii="Times New Roman" w:hAnsi="Times New Roman" w:cs="Times New Roman"/>
          <w:sz w:val="24"/>
          <w:szCs w:val="24"/>
        </w:rPr>
        <w:t>) point out, reputational harm in banking may have a major impact on client trust and long-term profitability.</w:t>
      </w:r>
    </w:p>
    <w:p w14:paraId="79A52B3E" w14:textId="6FA30260" w:rsidR="003F7E27" w:rsidRPr="003F7E27" w:rsidRDefault="003F7E27" w:rsidP="003F7E27">
      <w:pPr>
        <w:spacing w:line="360" w:lineRule="auto"/>
        <w:rPr>
          <w:rFonts w:ascii="Times New Roman" w:hAnsi="Times New Roman" w:cs="Times New Roman"/>
          <w:sz w:val="24"/>
          <w:szCs w:val="24"/>
        </w:rPr>
      </w:pPr>
      <w:r w:rsidRPr="003F7E27">
        <w:rPr>
          <w:rFonts w:ascii="Times New Roman" w:hAnsi="Times New Roman" w:cs="Times New Roman"/>
          <w:sz w:val="24"/>
          <w:szCs w:val="24"/>
        </w:rPr>
        <w:t>The expansion of digital banking creates enormous opportunity for Barclays to broaden its offerings and boost consumer engagement. Banks can improve customer experience while also lowering operating expenses by boosting the usage of mobile banking and fintech</w:t>
      </w:r>
      <w:r w:rsidR="00DE6F71">
        <w:rPr>
          <w:rFonts w:ascii="Times New Roman" w:hAnsi="Times New Roman" w:cs="Times New Roman"/>
          <w:sz w:val="24"/>
          <w:szCs w:val="24"/>
        </w:rPr>
        <w:t xml:space="preserve"> (World Bank, 2023)</w:t>
      </w:r>
      <w:r w:rsidRPr="003F7E27">
        <w:rPr>
          <w:rFonts w:ascii="Times New Roman" w:hAnsi="Times New Roman" w:cs="Times New Roman"/>
          <w:sz w:val="24"/>
          <w:szCs w:val="24"/>
        </w:rPr>
        <w:t>. Furthermore, the emergence of sustainable finance creates chances for developing ecologically responsible investment products (Arner</w:t>
      </w:r>
      <w:r>
        <w:rPr>
          <w:rFonts w:ascii="Times New Roman" w:hAnsi="Times New Roman" w:cs="Times New Roman"/>
          <w:sz w:val="24"/>
          <w:szCs w:val="24"/>
        </w:rPr>
        <w:t xml:space="preserve"> et al.,</w:t>
      </w:r>
      <w:r w:rsidRPr="003F7E27">
        <w:rPr>
          <w:rFonts w:ascii="Times New Roman" w:hAnsi="Times New Roman" w:cs="Times New Roman"/>
          <w:sz w:val="24"/>
          <w:szCs w:val="24"/>
        </w:rPr>
        <w:t xml:space="preserve"> 2017).</w:t>
      </w:r>
    </w:p>
    <w:p w14:paraId="2D4A152A" w14:textId="666852DF" w:rsidR="003F7E27" w:rsidRDefault="003F7E27" w:rsidP="003F7E27">
      <w:pPr>
        <w:spacing w:line="360" w:lineRule="auto"/>
        <w:rPr>
          <w:rFonts w:ascii="Times New Roman" w:hAnsi="Times New Roman" w:cs="Times New Roman"/>
          <w:sz w:val="24"/>
          <w:szCs w:val="24"/>
        </w:rPr>
      </w:pPr>
      <w:r w:rsidRPr="003F7E27">
        <w:rPr>
          <w:rFonts w:ascii="Times New Roman" w:hAnsi="Times New Roman" w:cs="Times New Roman"/>
          <w:sz w:val="24"/>
          <w:szCs w:val="24"/>
        </w:rPr>
        <w:t>Barclays confronts fierce competition from both established banks and upstart technology startups</w:t>
      </w:r>
      <w:r w:rsidR="00E7429D">
        <w:rPr>
          <w:rFonts w:ascii="Times New Roman" w:hAnsi="Times New Roman" w:cs="Times New Roman"/>
          <w:sz w:val="24"/>
          <w:szCs w:val="24"/>
        </w:rPr>
        <w:t xml:space="preserve"> (Heffernan, 2005)</w:t>
      </w:r>
      <w:r w:rsidRPr="003F7E27">
        <w:rPr>
          <w:rFonts w:ascii="Times New Roman" w:hAnsi="Times New Roman" w:cs="Times New Roman"/>
          <w:sz w:val="24"/>
          <w:szCs w:val="24"/>
        </w:rPr>
        <w:t>. Digital-only banks and financial technology companies provide new, low-cost services that disrupt established banking methods. Furthermore, stringent regulatory requirements and economic instability pose persistent threats to profitability and operational flexibility (Heffernan, 20</w:t>
      </w:r>
      <w:r w:rsidR="00E7429D">
        <w:rPr>
          <w:rFonts w:ascii="Times New Roman" w:hAnsi="Times New Roman" w:cs="Times New Roman"/>
          <w:sz w:val="24"/>
          <w:szCs w:val="24"/>
        </w:rPr>
        <w:t>05</w:t>
      </w:r>
      <w:r w:rsidRPr="003F7E27">
        <w:rPr>
          <w:rFonts w:ascii="Times New Roman" w:hAnsi="Times New Roman" w:cs="Times New Roman"/>
          <w:sz w:val="24"/>
          <w:szCs w:val="24"/>
        </w:rPr>
        <w:t>).</w:t>
      </w:r>
    </w:p>
    <w:p w14:paraId="2324084F" w14:textId="385F95EB" w:rsidR="003F7E27" w:rsidRDefault="003F7E27" w:rsidP="003F7E27">
      <w:pPr>
        <w:spacing w:line="360" w:lineRule="auto"/>
        <w:rPr>
          <w:rFonts w:ascii="Times New Roman" w:hAnsi="Times New Roman" w:cs="Times New Roman"/>
          <w:sz w:val="24"/>
          <w:szCs w:val="24"/>
        </w:rPr>
      </w:pPr>
    </w:p>
    <w:p w14:paraId="46071C55" w14:textId="7574F411" w:rsidR="003F7E27" w:rsidRDefault="003F7E27" w:rsidP="003F7E27">
      <w:pPr>
        <w:spacing w:line="360" w:lineRule="auto"/>
        <w:rPr>
          <w:rFonts w:ascii="Times New Roman" w:hAnsi="Times New Roman" w:cs="Times New Roman"/>
          <w:sz w:val="24"/>
          <w:szCs w:val="24"/>
          <w:u w:val="single"/>
        </w:rPr>
      </w:pPr>
      <w:r w:rsidRPr="003F7E27">
        <w:rPr>
          <w:rFonts w:ascii="Times New Roman" w:hAnsi="Times New Roman" w:cs="Times New Roman"/>
          <w:sz w:val="24"/>
          <w:szCs w:val="24"/>
          <w:u w:val="single"/>
        </w:rPr>
        <w:t>Critical Analysis and Evaluation</w:t>
      </w:r>
    </w:p>
    <w:p w14:paraId="22C42F2E" w14:textId="5B52CD0E" w:rsidR="003F7E27" w:rsidRDefault="003F7E27" w:rsidP="003F7E27">
      <w:pPr>
        <w:spacing w:line="360" w:lineRule="auto"/>
        <w:rPr>
          <w:rFonts w:ascii="Times New Roman" w:hAnsi="Times New Roman" w:cs="Times New Roman"/>
          <w:sz w:val="24"/>
          <w:szCs w:val="24"/>
          <w:u w:val="single"/>
        </w:rPr>
      </w:pPr>
    </w:p>
    <w:p w14:paraId="69DAFF99" w14:textId="40090D0F" w:rsidR="003F7E27" w:rsidRPr="003F7E27" w:rsidRDefault="003F7E27" w:rsidP="00DE720B">
      <w:pPr>
        <w:spacing w:line="360" w:lineRule="auto"/>
        <w:rPr>
          <w:rFonts w:ascii="Times New Roman" w:hAnsi="Times New Roman" w:cs="Times New Roman"/>
          <w:sz w:val="24"/>
          <w:szCs w:val="24"/>
        </w:rPr>
      </w:pPr>
      <w:r w:rsidRPr="003F7E27">
        <w:rPr>
          <w:rFonts w:ascii="Times New Roman" w:hAnsi="Times New Roman" w:cs="Times New Roman"/>
          <w:sz w:val="24"/>
          <w:szCs w:val="24"/>
        </w:rPr>
        <w:t xml:space="preserve">The SWOT analysis of Barclays offers helpful insights into the </w:t>
      </w:r>
      <w:proofErr w:type="spellStart"/>
      <w:r w:rsidRPr="003F7E27">
        <w:rPr>
          <w:rFonts w:ascii="Times New Roman" w:hAnsi="Times New Roman" w:cs="Times New Roman"/>
          <w:sz w:val="24"/>
          <w:szCs w:val="24"/>
        </w:rPr>
        <w:t>organisation's</w:t>
      </w:r>
      <w:proofErr w:type="spellEnd"/>
      <w:r w:rsidRPr="003F7E27">
        <w:rPr>
          <w:rFonts w:ascii="Times New Roman" w:hAnsi="Times New Roman" w:cs="Times New Roman"/>
          <w:sz w:val="24"/>
          <w:szCs w:val="24"/>
        </w:rPr>
        <w:t xml:space="preserve"> internal capabilities and external environment; however, a more thorough examination reveals the strategic complexity the bank confronts in maintaining long-term competitiveness in the financial services market.</w:t>
      </w:r>
    </w:p>
    <w:p w14:paraId="129167A8" w14:textId="413FE462" w:rsidR="003F7E27" w:rsidRDefault="00DE720B" w:rsidP="00DE720B">
      <w:pPr>
        <w:spacing w:line="360" w:lineRule="auto"/>
        <w:rPr>
          <w:rFonts w:ascii="Times New Roman" w:hAnsi="Times New Roman" w:cs="Times New Roman"/>
          <w:sz w:val="24"/>
          <w:szCs w:val="24"/>
        </w:rPr>
      </w:pPr>
      <w:r w:rsidRPr="00DE720B">
        <w:rPr>
          <w:rFonts w:ascii="Times New Roman" w:hAnsi="Times New Roman" w:cs="Times New Roman"/>
          <w:sz w:val="24"/>
          <w:szCs w:val="24"/>
        </w:rPr>
        <w:t>A significant asset of Barclays is its commitment in digitization, which improves operational efficiency and customer experience</w:t>
      </w:r>
      <w:r w:rsidR="00E7429D">
        <w:rPr>
          <w:rFonts w:ascii="Times New Roman" w:hAnsi="Times New Roman" w:cs="Times New Roman"/>
          <w:sz w:val="24"/>
          <w:szCs w:val="24"/>
        </w:rPr>
        <w:t xml:space="preserve"> (Kotler and Keller, 2022)</w:t>
      </w:r>
      <w:r w:rsidRPr="00DE720B">
        <w:rPr>
          <w:rFonts w:ascii="Times New Roman" w:hAnsi="Times New Roman" w:cs="Times New Roman"/>
          <w:sz w:val="24"/>
          <w:szCs w:val="24"/>
        </w:rPr>
        <w:t xml:space="preserve">. The growing use of mobile banking applications, artificial intelligence, and data analytics enables the bank to </w:t>
      </w:r>
      <w:proofErr w:type="spellStart"/>
      <w:r w:rsidRPr="00DE720B">
        <w:rPr>
          <w:rFonts w:ascii="Times New Roman" w:hAnsi="Times New Roman" w:cs="Times New Roman"/>
          <w:sz w:val="24"/>
          <w:szCs w:val="24"/>
        </w:rPr>
        <w:t>personalise</w:t>
      </w:r>
      <w:proofErr w:type="spellEnd"/>
      <w:r w:rsidRPr="00DE720B">
        <w:rPr>
          <w:rFonts w:ascii="Times New Roman" w:hAnsi="Times New Roman" w:cs="Times New Roman"/>
          <w:sz w:val="24"/>
          <w:szCs w:val="24"/>
        </w:rPr>
        <w:t xml:space="preserve"> services and enhance decision-making. According to Mishkin (2019), technology innovation is crucial for increasing financial intermediation and market efficiency. However, although digital transformation provides competitive benefits, it also poses considerable hazards. Cybersecurity risks, data breaches, and system vulnerabilities may erode consumer trust and cause financial and </w:t>
      </w:r>
      <w:r w:rsidRPr="00DE720B">
        <w:rPr>
          <w:rFonts w:ascii="Times New Roman" w:hAnsi="Times New Roman" w:cs="Times New Roman"/>
          <w:sz w:val="24"/>
          <w:szCs w:val="24"/>
        </w:rPr>
        <w:lastRenderedPageBreak/>
        <w:t>reputational harm. To address these threats, Barclays must continue to invest in both innovation and effective cybersecurity standards.</w:t>
      </w:r>
    </w:p>
    <w:p w14:paraId="3ED60190" w14:textId="515B3B93" w:rsidR="00DE720B" w:rsidRDefault="00DE720B" w:rsidP="00DE720B">
      <w:pPr>
        <w:spacing w:line="360" w:lineRule="auto"/>
        <w:rPr>
          <w:rFonts w:ascii="Times New Roman" w:hAnsi="Times New Roman" w:cs="Times New Roman"/>
          <w:sz w:val="24"/>
          <w:szCs w:val="24"/>
        </w:rPr>
      </w:pPr>
      <w:r w:rsidRPr="00DE720B">
        <w:rPr>
          <w:rFonts w:ascii="Times New Roman" w:hAnsi="Times New Roman" w:cs="Times New Roman"/>
          <w:sz w:val="24"/>
          <w:szCs w:val="24"/>
        </w:rPr>
        <w:t>Additionally, Barclays' worldwide presence promotes volatility by spreading risk across several markets</w:t>
      </w:r>
      <w:r w:rsidR="00E7429D">
        <w:rPr>
          <w:rFonts w:ascii="Times New Roman" w:hAnsi="Times New Roman" w:cs="Times New Roman"/>
          <w:sz w:val="24"/>
          <w:szCs w:val="24"/>
        </w:rPr>
        <w:t xml:space="preserve"> (Grant, 2021)</w:t>
      </w:r>
      <w:r w:rsidRPr="00DE720B">
        <w:rPr>
          <w:rFonts w:ascii="Times New Roman" w:hAnsi="Times New Roman" w:cs="Times New Roman"/>
          <w:sz w:val="24"/>
          <w:szCs w:val="24"/>
        </w:rPr>
        <w:t>. This eliminates reliance on a single economy and enables the bank to seize growth possibilities in emerging regions. Nonetheless, foreign exposure brings hurdles in terms of regulatory compliance and operational complexity. According to Heffernan (20</w:t>
      </w:r>
      <w:r w:rsidR="00E7429D">
        <w:rPr>
          <w:rFonts w:ascii="Times New Roman" w:hAnsi="Times New Roman" w:cs="Times New Roman"/>
          <w:sz w:val="24"/>
          <w:szCs w:val="24"/>
        </w:rPr>
        <w:t xml:space="preserve">05), </w:t>
      </w:r>
      <w:r w:rsidR="00E7429D" w:rsidRPr="00DE720B">
        <w:rPr>
          <w:rFonts w:ascii="Times New Roman" w:hAnsi="Times New Roman" w:cs="Times New Roman"/>
          <w:sz w:val="24"/>
          <w:szCs w:val="24"/>
        </w:rPr>
        <w:t>global</w:t>
      </w:r>
      <w:r w:rsidRPr="00DE720B">
        <w:rPr>
          <w:rFonts w:ascii="Times New Roman" w:hAnsi="Times New Roman" w:cs="Times New Roman"/>
          <w:sz w:val="24"/>
          <w:szCs w:val="24"/>
        </w:rPr>
        <w:t xml:space="preserve"> banks are under growing pressure to conform with a variety of regulatory frameworks, which can result in increased administrative expenses and strategic limits. Navigating various regulatory systems involves substantial resources from Barclays and may constrain strategic flexibility, especially in highly regulated areas.</w:t>
      </w:r>
    </w:p>
    <w:p w14:paraId="2751A1CC" w14:textId="1E645500" w:rsidR="00DE720B" w:rsidRDefault="00DE720B" w:rsidP="00DE720B">
      <w:pPr>
        <w:spacing w:line="360" w:lineRule="auto"/>
        <w:rPr>
          <w:rFonts w:ascii="Times New Roman" w:hAnsi="Times New Roman" w:cs="Times New Roman"/>
          <w:sz w:val="24"/>
          <w:szCs w:val="24"/>
        </w:rPr>
      </w:pPr>
      <w:r w:rsidRPr="00DE720B">
        <w:rPr>
          <w:rFonts w:ascii="Times New Roman" w:hAnsi="Times New Roman" w:cs="Times New Roman"/>
          <w:sz w:val="24"/>
          <w:szCs w:val="24"/>
        </w:rPr>
        <w:t xml:space="preserve">Another key concern revealed in the SWOT analysis is reputational risk, which is still a major drawback for many large financial </w:t>
      </w:r>
      <w:proofErr w:type="spellStart"/>
      <w:r w:rsidRPr="00DE720B">
        <w:rPr>
          <w:rFonts w:ascii="Times New Roman" w:hAnsi="Times New Roman" w:cs="Times New Roman"/>
          <w:sz w:val="24"/>
          <w:szCs w:val="24"/>
        </w:rPr>
        <w:t>organisations</w:t>
      </w:r>
      <w:proofErr w:type="spellEnd"/>
      <w:r w:rsidR="00E7429D">
        <w:rPr>
          <w:rFonts w:ascii="Times New Roman" w:hAnsi="Times New Roman" w:cs="Times New Roman"/>
          <w:sz w:val="24"/>
          <w:szCs w:val="24"/>
        </w:rPr>
        <w:t xml:space="preserve"> (Rose and Hudgins, 2012)</w:t>
      </w:r>
      <w:r w:rsidRPr="00DE720B">
        <w:rPr>
          <w:rFonts w:ascii="Times New Roman" w:hAnsi="Times New Roman" w:cs="Times New Roman"/>
          <w:sz w:val="24"/>
          <w:szCs w:val="24"/>
        </w:rPr>
        <w:t>. Previous banking problems have increased scrutiny from regulators and consumers, making trust an important factor of success. Rose and Hudgins (201</w:t>
      </w:r>
      <w:r w:rsidR="00E7429D">
        <w:rPr>
          <w:rFonts w:ascii="Times New Roman" w:hAnsi="Times New Roman" w:cs="Times New Roman"/>
          <w:sz w:val="24"/>
          <w:szCs w:val="24"/>
        </w:rPr>
        <w:t>2</w:t>
      </w:r>
      <w:r w:rsidRPr="00DE720B">
        <w:rPr>
          <w:rFonts w:ascii="Times New Roman" w:hAnsi="Times New Roman" w:cs="Times New Roman"/>
          <w:sz w:val="24"/>
          <w:szCs w:val="24"/>
        </w:rPr>
        <w:t>) argue that reputation is a critical intangible asset in banking, impacting both customer loyalty and investor confidence. While Barclays has worked to enhance transparency and ethical procedures, sustaining a favorable company image necessitates an ongoing commitment to responsible governance and corporate social responsibility programs.</w:t>
      </w:r>
    </w:p>
    <w:p w14:paraId="4D01C3A0" w14:textId="02CF1D11" w:rsidR="00DE720B" w:rsidRDefault="00DE720B" w:rsidP="00DE720B">
      <w:pPr>
        <w:spacing w:line="360" w:lineRule="auto"/>
        <w:rPr>
          <w:rFonts w:ascii="Times New Roman" w:hAnsi="Times New Roman" w:cs="Times New Roman"/>
          <w:sz w:val="24"/>
          <w:szCs w:val="24"/>
        </w:rPr>
      </w:pPr>
      <w:r w:rsidRPr="00DE720B">
        <w:rPr>
          <w:rFonts w:ascii="Times New Roman" w:hAnsi="Times New Roman" w:cs="Times New Roman"/>
          <w:sz w:val="24"/>
          <w:szCs w:val="24"/>
        </w:rPr>
        <w:t>The threat presented by fintech businesses is one of the most serious external issues</w:t>
      </w:r>
      <w:r w:rsidR="00E7429D">
        <w:rPr>
          <w:rFonts w:ascii="Times New Roman" w:hAnsi="Times New Roman" w:cs="Times New Roman"/>
          <w:sz w:val="24"/>
          <w:szCs w:val="24"/>
        </w:rPr>
        <w:t xml:space="preserve"> (Arner et al., 2017)</w:t>
      </w:r>
      <w:r w:rsidRPr="00DE720B">
        <w:rPr>
          <w:rFonts w:ascii="Times New Roman" w:hAnsi="Times New Roman" w:cs="Times New Roman"/>
          <w:sz w:val="24"/>
          <w:szCs w:val="24"/>
        </w:rPr>
        <w:t xml:space="preserve">. Fintech </w:t>
      </w:r>
      <w:proofErr w:type="spellStart"/>
      <w:r w:rsidRPr="00DE720B">
        <w:rPr>
          <w:rFonts w:ascii="Times New Roman" w:hAnsi="Times New Roman" w:cs="Times New Roman"/>
          <w:sz w:val="24"/>
          <w:szCs w:val="24"/>
        </w:rPr>
        <w:t>organisations</w:t>
      </w:r>
      <w:proofErr w:type="spellEnd"/>
      <w:r w:rsidRPr="00DE720B">
        <w:rPr>
          <w:rFonts w:ascii="Times New Roman" w:hAnsi="Times New Roman" w:cs="Times New Roman"/>
          <w:sz w:val="24"/>
          <w:szCs w:val="24"/>
        </w:rPr>
        <w:t xml:space="preserve"> have lower cost structures and a strong focus on innovation, allowing them to provide faster, more accessible, and frequently cheaper services. This challenges existing banking models and changes client expectations. As Arner et al., (2017) point out, fintech innovation is altering the financial sector by raising competition and lowering entry barriers. To remain competitive, Barclays must embrace a more agile and customer-centric strategy, which may include partnerships, acquisitions, and internal innovation activities.</w:t>
      </w:r>
    </w:p>
    <w:p w14:paraId="2DACE721" w14:textId="4C333EC2" w:rsidR="00DE720B" w:rsidRDefault="00DE720B" w:rsidP="00DE720B">
      <w:pPr>
        <w:spacing w:line="360" w:lineRule="auto"/>
        <w:rPr>
          <w:rFonts w:ascii="Times New Roman" w:hAnsi="Times New Roman" w:cs="Times New Roman"/>
          <w:sz w:val="24"/>
          <w:szCs w:val="24"/>
        </w:rPr>
      </w:pPr>
      <w:r w:rsidRPr="00DE720B">
        <w:rPr>
          <w:rFonts w:ascii="Times New Roman" w:hAnsi="Times New Roman" w:cs="Times New Roman"/>
          <w:sz w:val="24"/>
          <w:szCs w:val="24"/>
        </w:rPr>
        <w:t xml:space="preserve">Notwithstanding these issues, Barclays has enormous prospects, notably in the field of sustainable finance. The rising awareness of environmental and social concerns has resulted in increased demand for ethical investing solutions. Through incorporating sustainability into its fundamental strategy, Barclays may boost brand value and attract socially concerned customers. </w:t>
      </w:r>
      <w:r w:rsidRPr="00DE720B">
        <w:rPr>
          <w:rFonts w:ascii="Times New Roman" w:hAnsi="Times New Roman" w:cs="Times New Roman"/>
          <w:sz w:val="24"/>
          <w:szCs w:val="24"/>
        </w:rPr>
        <w:lastRenderedPageBreak/>
        <w:t>Grant (2021) contends that aligning company strategy with developing global trends is critical to obtaining long-term competitive advantage.</w:t>
      </w:r>
    </w:p>
    <w:p w14:paraId="64FB6F3E" w14:textId="49FAE023" w:rsidR="00DE720B" w:rsidRDefault="00DE720B" w:rsidP="00DE720B">
      <w:pPr>
        <w:spacing w:line="360" w:lineRule="auto"/>
        <w:rPr>
          <w:rFonts w:ascii="Times New Roman" w:hAnsi="Times New Roman" w:cs="Times New Roman"/>
          <w:sz w:val="24"/>
          <w:szCs w:val="24"/>
        </w:rPr>
      </w:pPr>
      <w:r w:rsidRPr="00DE720B">
        <w:rPr>
          <w:rFonts w:ascii="Times New Roman" w:hAnsi="Times New Roman" w:cs="Times New Roman"/>
          <w:sz w:val="24"/>
          <w:szCs w:val="24"/>
        </w:rPr>
        <w:t>Overall, while the SWOT framework is valuable for providing an overview, its static nature limits its ability to capture the dynamic interplay between internal and external forces</w:t>
      </w:r>
      <w:r w:rsidR="00E7429D">
        <w:rPr>
          <w:rFonts w:ascii="Times New Roman" w:hAnsi="Times New Roman" w:cs="Times New Roman"/>
          <w:sz w:val="24"/>
          <w:szCs w:val="24"/>
        </w:rPr>
        <w:t xml:space="preserve"> (Johnson et al., 2020)</w:t>
      </w:r>
      <w:r w:rsidRPr="00DE720B">
        <w:rPr>
          <w:rFonts w:ascii="Times New Roman" w:hAnsi="Times New Roman" w:cs="Times New Roman"/>
          <w:sz w:val="24"/>
          <w:szCs w:val="24"/>
        </w:rPr>
        <w:t>. As a result, Barclays must take a proactive and adaptable strategic approach, always responding to technological improvements, regulatory changes, and shifting customer expectations. Long-term performance will be determined by the bank's ability to strike a balance between innovation, risk management, and sustainability, all while retaining high client trust and operational resilience.</w:t>
      </w:r>
    </w:p>
    <w:p w14:paraId="2628DE92" w14:textId="08EF3CC4" w:rsidR="00DE720B" w:rsidRDefault="00DE720B" w:rsidP="00DE720B">
      <w:pPr>
        <w:spacing w:line="360" w:lineRule="auto"/>
        <w:rPr>
          <w:rFonts w:ascii="Times New Roman" w:hAnsi="Times New Roman" w:cs="Times New Roman"/>
          <w:sz w:val="24"/>
          <w:szCs w:val="24"/>
        </w:rPr>
      </w:pPr>
    </w:p>
    <w:p w14:paraId="5CFAE7BE" w14:textId="7B506AA0" w:rsidR="00DE720B" w:rsidRDefault="00DE720B" w:rsidP="00DE720B">
      <w:pPr>
        <w:spacing w:line="360" w:lineRule="auto"/>
        <w:rPr>
          <w:rFonts w:ascii="Times New Roman" w:hAnsi="Times New Roman" w:cs="Times New Roman"/>
          <w:sz w:val="24"/>
          <w:szCs w:val="24"/>
          <w:u w:val="single"/>
        </w:rPr>
      </w:pPr>
      <w:r w:rsidRPr="00DE720B">
        <w:rPr>
          <w:rFonts w:ascii="Times New Roman" w:hAnsi="Times New Roman" w:cs="Times New Roman"/>
          <w:sz w:val="24"/>
          <w:szCs w:val="24"/>
          <w:u w:val="single"/>
        </w:rPr>
        <w:t>Conclusion</w:t>
      </w:r>
    </w:p>
    <w:p w14:paraId="57176579" w14:textId="379CBBC8" w:rsidR="00DE720B" w:rsidRDefault="00DE720B" w:rsidP="00DE720B">
      <w:pPr>
        <w:spacing w:line="360" w:lineRule="auto"/>
        <w:rPr>
          <w:rFonts w:ascii="Times New Roman" w:hAnsi="Times New Roman" w:cs="Times New Roman"/>
          <w:sz w:val="24"/>
          <w:szCs w:val="24"/>
        </w:rPr>
      </w:pPr>
    </w:p>
    <w:p w14:paraId="7F971EEA" w14:textId="6607E6D8" w:rsidR="00DE720B" w:rsidRPr="00DE720B" w:rsidRDefault="00DE720B" w:rsidP="00DE720B">
      <w:pPr>
        <w:spacing w:line="360" w:lineRule="auto"/>
        <w:rPr>
          <w:rFonts w:ascii="Times New Roman" w:hAnsi="Times New Roman" w:cs="Times New Roman"/>
          <w:sz w:val="24"/>
          <w:szCs w:val="24"/>
        </w:rPr>
      </w:pPr>
      <w:r w:rsidRPr="00DE720B">
        <w:rPr>
          <w:rFonts w:ascii="Times New Roman" w:hAnsi="Times New Roman" w:cs="Times New Roman"/>
          <w:sz w:val="24"/>
          <w:szCs w:val="24"/>
        </w:rPr>
        <w:t>This paper accomplished a situational analysis of Barclays using the SWOT paradigm. The findings found major assets such as excellent brand awareness, worldwide presence, and digital skills, as well as drawbacks such as reputational issues and operational complexities.</w:t>
      </w:r>
    </w:p>
    <w:p w14:paraId="3D4856AD" w14:textId="582FDD29" w:rsidR="00DE720B" w:rsidRPr="00DE720B" w:rsidRDefault="00DE720B" w:rsidP="00DE720B">
      <w:pPr>
        <w:spacing w:line="360" w:lineRule="auto"/>
        <w:rPr>
          <w:rFonts w:ascii="Times New Roman" w:hAnsi="Times New Roman" w:cs="Times New Roman"/>
          <w:sz w:val="24"/>
          <w:szCs w:val="24"/>
        </w:rPr>
      </w:pPr>
      <w:r w:rsidRPr="00DE720B">
        <w:rPr>
          <w:rFonts w:ascii="Times New Roman" w:hAnsi="Times New Roman" w:cs="Times New Roman"/>
          <w:sz w:val="24"/>
          <w:szCs w:val="24"/>
        </w:rPr>
        <w:t>External opportunities, such as digital banking expansion and sustainable finance, have great potential for future development. Nonetheless, increased competition from fintech businesses and stringent regulatory requirements pose persistent challenges to the organization's effectiveness.</w:t>
      </w:r>
    </w:p>
    <w:p w14:paraId="12DCC5EB" w14:textId="3F444EED" w:rsidR="00DE720B" w:rsidRDefault="00DE720B" w:rsidP="00DE720B">
      <w:pPr>
        <w:spacing w:line="360" w:lineRule="auto"/>
        <w:rPr>
          <w:rFonts w:ascii="Times New Roman" w:hAnsi="Times New Roman" w:cs="Times New Roman"/>
          <w:sz w:val="24"/>
          <w:szCs w:val="24"/>
        </w:rPr>
      </w:pPr>
      <w:r w:rsidRPr="00DE720B">
        <w:rPr>
          <w:rFonts w:ascii="Times New Roman" w:hAnsi="Times New Roman" w:cs="Times New Roman"/>
          <w:sz w:val="24"/>
          <w:szCs w:val="24"/>
        </w:rPr>
        <w:t>To remain competitive, Barclays should continue to engage in digital innovation, develop risk management measures, and build its reputation via transparent and ethical practices. Adapting to industry changes and seizing new possibilities will be important for long-term success.</w:t>
      </w:r>
    </w:p>
    <w:p w14:paraId="3A94BC8E" w14:textId="01A00BA8" w:rsidR="00DE720B" w:rsidRDefault="00DE720B" w:rsidP="00DE720B">
      <w:pPr>
        <w:spacing w:line="360" w:lineRule="auto"/>
        <w:rPr>
          <w:rFonts w:ascii="Times New Roman" w:hAnsi="Times New Roman" w:cs="Times New Roman"/>
          <w:sz w:val="24"/>
          <w:szCs w:val="24"/>
        </w:rPr>
      </w:pPr>
      <w:r w:rsidRPr="00DE720B">
        <w:rPr>
          <w:rFonts w:ascii="Times New Roman" w:hAnsi="Times New Roman" w:cs="Times New Roman"/>
          <w:sz w:val="24"/>
          <w:szCs w:val="24"/>
        </w:rPr>
        <w:t xml:space="preserve">In general, SWOT analysis is a practical strategic instrument that enables </w:t>
      </w:r>
      <w:proofErr w:type="spellStart"/>
      <w:r w:rsidRPr="00DE720B">
        <w:rPr>
          <w:rFonts w:ascii="Times New Roman" w:hAnsi="Times New Roman" w:cs="Times New Roman"/>
          <w:sz w:val="24"/>
          <w:szCs w:val="24"/>
        </w:rPr>
        <w:t>organisations</w:t>
      </w:r>
      <w:proofErr w:type="spellEnd"/>
      <w:r w:rsidRPr="00DE720B">
        <w:rPr>
          <w:rFonts w:ascii="Times New Roman" w:hAnsi="Times New Roman" w:cs="Times New Roman"/>
          <w:sz w:val="24"/>
          <w:szCs w:val="24"/>
        </w:rPr>
        <w:t xml:space="preserve"> to assess their position and design educated plans to maintain a competitive edge in evolving marketplaces.</w:t>
      </w:r>
    </w:p>
    <w:p w14:paraId="73EBCBCC" w14:textId="37F651EA" w:rsidR="00DE720B" w:rsidRDefault="00DE720B" w:rsidP="00DE720B">
      <w:pPr>
        <w:spacing w:line="360" w:lineRule="auto"/>
        <w:rPr>
          <w:rFonts w:ascii="Times New Roman" w:hAnsi="Times New Roman" w:cs="Times New Roman"/>
          <w:sz w:val="24"/>
          <w:szCs w:val="24"/>
        </w:rPr>
      </w:pPr>
    </w:p>
    <w:p w14:paraId="4C07D453" w14:textId="63694632" w:rsidR="00DE720B" w:rsidRDefault="00DE720B" w:rsidP="00DE720B">
      <w:pPr>
        <w:spacing w:line="360" w:lineRule="auto"/>
        <w:rPr>
          <w:rFonts w:ascii="Times New Roman" w:hAnsi="Times New Roman" w:cs="Times New Roman"/>
          <w:sz w:val="24"/>
          <w:szCs w:val="24"/>
        </w:rPr>
      </w:pPr>
    </w:p>
    <w:p w14:paraId="58B6E865" w14:textId="0A2D0120" w:rsidR="00DE720B" w:rsidRDefault="00DE720B" w:rsidP="00DE720B">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p>
    <w:p w14:paraId="34641059" w14:textId="77777777" w:rsidR="00DE720B" w:rsidRDefault="00DE720B" w:rsidP="00DE720B">
      <w:pPr>
        <w:pStyle w:val="NormalWeb"/>
        <w:spacing w:before="0" w:beforeAutospacing="0" w:after="0" w:afterAutospacing="0" w:line="480" w:lineRule="auto"/>
        <w:ind w:left="720" w:hanging="720"/>
      </w:pPr>
      <w:r>
        <w:t xml:space="preserve">Arner, D.W., Barberis, J.N. and Buckley, R.P. (2017) 'FinTech and </w:t>
      </w:r>
      <w:proofErr w:type="spellStart"/>
      <w:r>
        <w:t>RegTech</w:t>
      </w:r>
      <w:proofErr w:type="spellEnd"/>
      <w:r>
        <w:t xml:space="preserve"> in a nutshell, and the future in a sandbox,' </w:t>
      </w:r>
      <w:r>
        <w:rPr>
          <w:i/>
          <w:iCs/>
        </w:rPr>
        <w:t>SSRN Electronic Journal</w:t>
      </w:r>
      <w:r>
        <w:t xml:space="preserve"> [Preprint]. </w:t>
      </w:r>
      <w:r>
        <w:rPr>
          <w:rStyle w:val="url"/>
        </w:rPr>
        <w:t>https://doi.org/10.2139/ssrn.3088303</w:t>
      </w:r>
      <w:r>
        <w:t>.</w:t>
      </w:r>
    </w:p>
    <w:p w14:paraId="069FCE8B" w14:textId="77777777" w:rsidR="00DE720B" w:rsidRDefault="00DE720B" w:rsidP="00DE720B">
      <w:pPr>
        <w:pStyle w:val="NormalWeb"/>
      </w:pPr>
      <w:r>
        <w:t xml:space="preserve">Gürel, E. and Tat, M. (2017) ‘SWOT analysis: A theoretical review’, </w:t>
      </w:r>
      <w:r>
        <w:rPr>
          <w:rStyle w:val="Emphasis"/>
        </w:rPr>
        <w:t>Journal of International Social Research</w:t>
      </w:r>
      <w:r>
        <w:t>, 10(51), pp. 994–1006.</w:t>
      </w:r>
    </w:p>
    <w:p w14:paraId="4F56C2C2" w14:textId="77777777" w:rsidR="00E7429D" w:rsidRDefault="00E7429D" w:rsidP="00E7429D">
      <w:pPr>
        <w:pStyle w:val="NormalWeb"/>
        <w:spacing w:before="0" w:beforeAutospacing="0" w:after="0" w:afterAutospacing="0" w:line="480" w:lineRule="auto"/>
        <w:ind w:left="720" w:hanging="720"/>
      </w:pPr>
      <w:r>
        <w:t xml:space="preserve">Heffernan, S. (2005) </w:t>
      </w:r>
      <w:r>
        <w:rPr>
          <w:i/>
          <w:iCs/>
        </w:rPr>
        <w:t>Modern Banking</w:t>
      </w:r>
      <w:r>
        <w:t>. John Wiley &amp; Sons.</w:t>
      </w:r>
    </w:p>
    <w:p w14:paraId="50271492" w14:textId="77777777" w:rsidR="00DE720B" w:rsidRDefault="00DE720B" w:rsidP="00DE720B">
      <w:pPr>
        <w:pStyle w:val="NormalWeb"/>
      </w:pPr>
      <w:r>
        <w:t xml:space="preserve">Mishkin, F. (2019) </w:t>
      </w:r>
      <w:r>
        <w:rPr>
          <w:rStyle w:val="Emphasis"/>
        </w:rPr>
        <w:t>The Economics of Money, Banking and Financial Markets</w:t>
      </w:r>
      <w:r>
        <w:t>. 12th ed. Pearson.</w:t>
      </w:r>
    </w:p>
    <w:p w14:paraId="35951609" w14:textId="77777777" w:rsidR="00E7429D" w:rsidRPr="00E7429D" w:rsidRDefault="00E7429D" w:rsidP="00E7429D">
      <w:pPr>
        <w:rPr>
          <w:rFonts w:ascii="Times New Roman" w:eastAsia="Times New Roman" w:hAnsi="Times New Roman" w:cs="Times New Roman"/>
          <w:sz w:val="24"/>
          <w:szCs w:val="24"/>
        </w:rPr>
      </w:pPr>
      <w:r w:rsidRPr="00E7429D">
        <w:rPr>
          <w:rFonts w:ascii="Times New Roman" w:eastAsia="Times New Roman" w:hAnsi="Times New Roman" w:cs="Times New Roman"/>
          <w:sz w:val="24"/>
          <w:szCs w:val="24"/>
        </w:rPr>
        <w:t>Rose, P.S. and Hudgins, S.C. (2012) Bank Management &amp; Financial Services. McGraw Hill, New York.</w:t>
      </w:r>
    </w:p>
    <w:p w14:paraId="51E0BAA9" w14:textId="77777777" w:rsidR="00DE720B" w:rsidRDefault="00DE720B" w:rsidP="00DE720B">
      <w:pPr>
        <w:pStyle w:val="NormalWeb"/>
      </w:pPr>
      <w:r>
        <w:t xml:space="preserve">Kotler, P. and Keller, K. (2022) </w:t>
      </w:r>
      <w:r>
        <w:rPr>
          <w:rStyle w:val="Emphasis"/>
        </w:rPr>
        <w:t>Marketing Management</w:t>
      </w:r>
      <w:r>
        <w:t>. 16th ed. Pearson.</w:t>
      </w:r>
    </w:p>
    <w:p w14:paraId="3565CC0C" w14:textId="77777777" w:rsidR="00DE720B" w:rsidRDefault="00DE720B" w:rsidP="00DE720B">
      <w:pPr>
        <w:pStyle w:val="NormalWeb"/>
      </w:pPr>
      <w:r>
        <w:t xml:space="preserve">Grant, R. (2021) </w:t>
      </w:r>
      <w:r>
        <w:rPr>
          <w:rStyle w:val="Emphasis"/>
        </w:rPr>
        <w:t>Contemporary Strategy Analysis</w:t>
      </w:r>
      <w:r>
        <w:t>. Wiley.</w:t>
      </w:r>
    </w:p>
    <w:p w14:paraId="1D51BC5B" w14:textId="77777777" w:rsidR="00DE720B" w:rsidRDefault="00DE720B" w:rsidP="00DE720B">
      <w:pPr>
        <w:pStyle w:val="NormalWeb"/>
      </w:pPr>
      <w:r>
        <w:t xml:space="preserve">Johnson, G., Scholes, K. and Whittington, R. (2020) </w:t>
      </w:r>
      <w:r>
        <w:rPr>
          <w:rStyle w:val="Emphasis"/>
        </w:rPr>
        <w:t>Exploring Strategy</w:t>
      </w:r>
      <w:r>
        <w:t>. 12th ed. Pearson.</w:t>
      </w:r>
    </w:p>
    <w:p w14:paraId="63B3BA49" w14:textId="77777777" w:rsidR="00DE720B" w:rsidRDefault="00DE720B" w:rsidP="00DE720B">
      <w:pPr>
        <w:pStyle w:val="NormalWeb"/>
      </w:pPr>
      <w:r>
        <w:t xml:space="preserve">Barclays (2024) </w:t>
      </w:r>
      <w:r>
        <w:rPr>
          <w:rStyle w:val="Emphasis"/>
        </w:rPr>
        <w:t>Annual Report and Accounts</w:t>
      </w:r>
      <w:r>
        <w:t xml:space="preserve">. Available at: </w:t>
      </w:r>
      <w:hyperlink r:id="rId4" w:tgtFrame="_new" w:history="1">
        <w:r>
          <w:rPr>
            <w:rStyle w:val="Hyperlink"/>
          </w:rPr>
          <w:t>https://home.barclays</w:t>
        </w:r>
      </w:hyperlink>
    </w:p>
    <w:p w14:paraId="00FE6A73" w14:textId="77777777" w:rsidR="00DE720B" w:rsidRDefault="00DE720B" w:rsidP="00DE720B">
      <w:pPr>
        <w:pStyle w:val="NormalWeb"/>
      </w:pPr>
      <w:r>
        <w:t xml:space="preserve">World Bank (2023) </w:t>
      </w:r>
      <w:r>
        <w:rPr>
          <w:rStyle w:val="Emphasis"/>
        </w:rPr>
        <w:t>Global Financial Development Report</w:t>
      </w:r>
      <w:r>
        <w:t>. Washington, DC: World Bank.</w:t>
      </w:r>
    </w:p>
    <w:p w14:paraId="7B90DF05" w14:textId="77777777" w:rsidR="00DE720B" w:rsidRPr="00DE720B" w:rsidRDefault="00DE720B" w:rsidP="00DE720B">
      <w:pPr>
        <w:spacing w:line="360" w:lineRule="auto"/>
        <w:rPr>
          <w:rFonts w:ascii="Times New Roman" w:hAnsi="Times New Roman" w:cs="Times New Roman"/>
          <w:sz w:val="24"/>
          <w:szCs w:val="24"/>
        </w:rPr>
      </w:pPr>
    </w:p>
    <w:sectPr w:rsidR="00DE720B" w:rsidRPr="00DE720B" w:rsidSect="0006279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792"/>
    <w:rsid w:val="00062792"/>
    <w:rsid w:val="0019706A"/>
    <w:rsid w:val="003F7E27"/>
    <w:rsid w:val="00DE6F71"/>
    <w:rsid w:val="00DE720B"/>
    <w:rsid w:val="00E05DC8"/>
    <w:rsid w:val="00E742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27BB7"/>
  <w15:chartTrackingRefBased/>
  <w15:docId w15:val="{E0FB7792-1FDF-42B7-9F85-CB95C8A14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2792"/>
    <w:pPr>
      <w:spacing w:after="0" w:line="240" w:lineRule="auto"/>
    </w:pPr>
    <w:rPr>
      <w:rFonts w:eastAsiaTheme="minorEastAsia"/>
    </w:rPr>
  </w:style>
  <w:style w:type="character" w:customStyle="1" w:styleId="NoSpacingChar">
    <w:name w:val="No Spacing Char"/>
    <w:basedOn w:val="DefaultParagraphFont"/>
    <w:link w:val="NoSpacing"/>
    <w:uiPriority w:val="1"/>
    <w:rsid w:val="00062792"/>
    <w:rPr>
      <w:rFonts w:eastAsiaTheme="minorEastAsia"/>
    </w:rPr>
  </w:style>
  <w:style w:type="paragraph" w:styleId="NormalWeb">
    <w:name w:val="Normal (Web)"/>
    <w:basedOn w:val="Normal"/>
    <w:uiPriority w:val="99"/>
    <w:semiHidden/>
    <w:unhideWhenUsed/>
    <w:rsid w:val="00DE720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E720B"/>
    <w:rPr>
      <w:i/>
      <w:iCs/>
    </w:rPr>
  </w:style>
  <w:style w:type="character" w:styleId="Hyperlink">
    <w:name w:val="Hyperlink"/>
    <w:basedOn w:val="DefaultParagraphFont"/>
    <w:uiPriority w:val="99"/>
    <w:semiHidden/>
    <w:unhideWhenUsed/>
    <w:rsid w:val="00DE720B"/>
    <w:rPr>
      <w:color w:val="0000FF"/>
      <w:u w:val="single"/>
    </w:rPr>
  </w:style>
  <w:style w:type="character" w:customStyle="1" w:styleId="url">
    <w:name w:val="url"/>
    <w:basedOn w:val="DefaultParagraphFont"/>
    <w:rsid w:val="00DE7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289393">
      <w:bodyDiv w:val="1"/>
      <w:marLeft w:val="0"/>
      <w:marRight w:val="0"/>
      <w:marTop w:val="0"/>
      <w:marBottom w:val="0"/>
      <w:divBdr>
        <w:top w:val="none" w:sz="0" w:space="0" w:color="auto"/>
        <w:left w:val="none" w:sz="0" w:space="0" w:color="auto"/>
        <w:bottom w:val="none" w:sz="0" w:space="0" w:color="auto"/>
        <w:right w:val="none" w:sz="0" w:space="0" w:color="auto"/>
      </w:divBdr>
    </w:div>
    <w:div w:id="1497499333">
      <w:bodyDiv w:val="1"/>
      <w:marLeft w:val="0"/>
      <w:marRight w:val="0"/>
      <w:marTop w:val="0"/>
      <w:marBottom w:val="0"/>
      <w:divBdr>
        <w:top w:val="none" w:sz="0" w:space="0" w:color="auto"/>
        <w:left w:val="none" w:sz="0" w:space="0" w:color="auto"/>
        <w:bottom w:val="none" w:sz="0" w:space="0" w:color="auto"/>
        <w:right w:val="none" w:sz="0" w:space="0" w:color="auto"/>
      </w:divBdr>
      <w:divsChild>
        <w:div w:id="233587529">
          <w:marLeft w:val="-720"/>
          <w:marRight w:val="0"/>
          <w:marTop w:val="0"/>
          <w:marBottom w:val="0"/>
          <w:divBdr>
            <w:top w:val="none" w:sz="0" w:space="0" w:color="auto"/>
            <w:left w:val="none" w:sz="0" w:space="0" w:color="auto"/>
            <w:bottom w:val="none" w:sz="0" w:space="0" w:color="auto"/>
            <w:right w:val="none" w:sz="0" w:space="0" w:color="auto"/>
          </w:divBdr>
        </w:div>
      </w:divsChild>
    </w:div>
    <w:div w:id="2075614521">
      <w:bodyDiv w:val="1"/>
      <w:marLeft w:val="0"/>
      <w:marRight w:val="0"/>
      <w:marTop w:val="0"/>
      <w:marBottom w:val="0"/>
      <w:divBdr>
        <w:top w:val="none" w:sz="0" w:space="0" w:color="auto"/>
        <w:left w:val="none" w:sz="0" w:space="0" w:color="auto"/>
        <w:bottom w:val="none" w:sz="0" w:space="0" w:color="auto"/>
        <w:right w:val="none" w:sz="0" w:space="0" w:color="auto"/>
      </w:divBdr>
      <w:divsChild>
        <w:div w:id="1361197520">
          <w:marLeft w:val="-720"/>
          <w:marRight w:val="0"/>
          <w:marTop w:val="0"/>
          <w:marBottom w:val="0"/>
          <w:divBdr>
            <w:top w:val="none" w:sz="0" w:space="0" w:color="auto"/>
            <w:left w:val="none" w:sz="0" w:space="0" w:color="auto"/>
            <w:bottom w:val="none" w:sz="0" w:space="0" w:color="auto"/>
            <w:right w:val="none" w:sz="0" w:space="0" w:color="auto"/>
          </w:divBdr>
        </w:div>
      </w:divsChild>
    </w:div>
    <w:div w:id="2141025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home.barcl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6</Pages>
  <Words>1404</Words>
  <Characters>8005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Situational analysis of barclays using the swot framework</dc:title>
  <dc:subject>BA (Hons) Business Management                                                                 LCBB5015 Principles of Marketing                                                                         Name: Ana Craescu                                                                 Student ID: 2237626</dc:subject>
  <dc:creator>klm</dc:creator>
  <cp:keywords/>
  <dc:description/>
  <cp:lastModifiedBy>klm</cp:lastModifiedBy>
  <cp:revision>2</cp:revision>
  <dcterms:created xsi:type="dcterms:W3CDTF">2026-03-17T22:46:00Z</dcterms:created>
  <dcterms:modified xsi:type="dcterms:W3CDTF">2026-03-20T17:34:00Z</dcterms:modified>
</cp:coreProperties>
</file>