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1E885" w14:textId="0011F975" w:rsidR="008D61E9" w:rsidRDefault="008D61E9" w:rsidP="008D61E9">
      <w:pPr>
        <w:pStyle w:val="Title"/>
        <w:rPr>
          <w:rFonts w:ascii="Times New Roman" w:eastAsia="Times New Roman" w:hAnsi="Times New Roman" w:cs="Times New Roman"/>
        </w:rPr>
      </w:pPr>
      <w:bookmarkStart w:id="0" w:name="_Hlk216557515"/>
      <w:bookmarkEnd w:id="0"/>
      <w:r w:rsidRPr="0048389D">
        <w:rPr>
          <w:noProof/>
        </w:rPr>
        <w:drawing>
          <wp:inline distT="0" distB="0" distL="0" distR="0" wp14:anchorId="4C9BA763" wp14:editId="0A716F6A">
            <wp:extent cx="2273300" cy="914400"/>
            <wp:effectExtent l="0" t="0" r="0" b="0"/>
            <wp:docPr id="1426454011"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4" descr="UWTSD logo with na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7241" cy="915985"/>
                    </a:xfrm>
                    <a:prstGeom prst="rect">
                      <a:avLst/>
                    </a:prstGeom>
                    <a:noFill/>
                    <a:ln>
                      <a:noFill/>
                    </a:ln>
                  </pic:spPr>
                </pic:pic>
              </a:graphicData>
            </a:graphic>
          </wp:inline>
        </w:drawing>
      </w:r>
    </w:p>
    <w:p w14:paraId="14F4A873" w14:textId="77777777" w:rsidR="006C3EDC" w:rsidRDefault="006C3EDC" w:rsidP="00D02E93">
      <w:pPr>
        <w:pStyle w:val="Title"/>
        <w:jc w:val="center"/>
        <w:rPr>
          <w:rFonts w:ascii="Times New Roman" w:eastAsia="Times New Roman" w:hAnsi="Times New Roman" w:cs="Times New Roman"/>
          <w:sz w:val="36"/>
          <w:szCs w:val="36"/>
        </w:rPr>
      </w:pPr>
    </w:p>
    <w:p w14:paraId="550E6D93" w14:textId="77777777" w:rsidR="006C3EDC" w:rsidRDefault="006C3EDC" w:rsidP="00D02E93">
      <w:pPr>
        <w:pStyle w:val="Title"/>
        <w:jc w:val="center"/>
        <w:rPr>
          <w:rFonts w:ascii="Times New Roman" w:eastAsia="Times New Roman" w:hAnsi="Times New Roman" w:cs="Times New Roman"/>
          <w:sz w:val="36"/>
          <w:szCs w:val="36"/>
        </w:rPr>
      </w:pPr>
    </w:p>
    <w:p w14:paraId="7D946D07" w14:textId="77777777" w:rsidR="00561E54" w:rsidRPr="00561E54" w:rsidRDefault="00561E54" w:rsidP="00561E54"/>
    <w:p w14:paraId="024EB861" w14:textId="08EF07E4" w:rsidR="00D02E93" w:rsidRPr="006C3EDC" w:rsidRDefault="00D02E93" w:rsidP="00D02E93">
      <w:pPr>
        <w:pStyle w:val="Title"/>
        <w:jc w:val="center"/>
        <w:rPr>
          <w:rFonts w:ascii="Times New Roman" w:eastAsia="Times New Roman" w:hAnsi="Times New Roman" w:cs="Times New Roman"/>
          <w:sz w:val="36"/>
          <w:szCs w:val="36"/>
        </w:rPr>
      </w:pPr>
      <w:r w:rsidRPr="006C3EDC">
        <w:rPr>
          <w:rFonts w:ascii="Times New Roman" w:eastAsia="Times New Roman" w:hAnsi="Times New Roman" w:cs="Times New Roman"/>
          <w:sz w:val="36"/>
          <w:szCs w:val="36"/>
        </w:rPr>
        <w:t>LEVEL 7 ASSESSMENT SUBMISSION</w:t>
      </w:r>
    </w:p>
    <w:p w14:paraId="21041EC2" w14:textId="77777777" w:rsidR="00D02E93" w:rsidRPr="006C3EDC" w:rsidRDefault="00D02E93" w:rsidP="00D02E93">
      <w:pPr>
        <w:rPr>
          <w:sz w:val="36"/>
          <w:szCs w:val="36"/>
        </w:rPr>
      </w:pPr>
    </w:p>
    <w:p w14:paraId="361CB0D3" w14:textId="77777777" w:rsidR="00D02E93" w:rsidRPr="006C3EDC" w:rsidRDefault="00D02E93" w:rsidP="00D02E93">
      <w:pPr>
        <w:pStyle w:val="Title"/>
        <w:jc w:val="center"/>
        <w:rPr>
          <w:rFonts w:ascii="Times New Roman" w:eastAsia="Times New Roman" w:hAnsi="Times New Roman" w:cs="Times New Roman"/>
          <w:sz w:val="36"/>
          <w:szCs w:val="36"/>
        </w:rPr>
      </w:pPr>
      <w:r w:rsidRPr="006C3EDC">
        <w:rPr>
          <w:rFonts w:ascii="Times New Roman" w:eastAsia="Times New Roman" w:hAnsi="Times New Roman" w:cs="Times New Roman"/>
          <w:sz w:val="36"/>
          <w:szCs w:val="36"/>
        </w:rPr>
        <w:t>Programme: Master of Business Administration (MBA)</w:t>
      </w:r>
      <w:r w:rsidRPr="006C3EDC">
        <w:rPr>
          <w:rFonts w:ascii="Times New Roman" w:eastAsia="Times New Roman" w:hAnsi="Times New Roman" w:cs="Times New Roman"/>
          <w:sz w:val="36"/>
          <w:szCs w:val="36"/>
        </w:rPr>
        <w:br/>
        <w:t>Module Name: International Business Concepts</w:t>
      </w:r>
    </w:p>
    <w:p w14:paraId="66C364E2" w14:textId="77777777" w:rsidR="006C3EDC" w:rsidRDefault="006C3EDC" w:rsidP="00D02E93">
      <w:pPr>
        <w:pStyle w:val="Title"/>
        <w:jc w:val="center"/>
        <w:rPr>
          <w:rFonts w:ascii="Times New Roman" w:eastAsia="Times New Roman" w:hAnsi="Times New Roman" w:cs="Times New Roman"/>
          <w:sz w:val="36"/>
          <w:szCs w:val="36"/>
        </w:rPr>
      </w:pPr>
    </w:p>
    <w:p w14:paraId="05B86FEA" w14:textId="4448A2ED" w:rsidR="00D02E93" w:rsidRPr="006C3EDC" w:rsidRDefault="00D02E93" w:rsidP="00D02E93">
      <w:pPr>
        <w:pStyle w:val="Title"/>
        <w:jc w:val="center"/>
        <w:rPr>
          <w:rFonts w:ascii="Times New Roman" w:eastAsia="Times New Roman" w:hAnsi="Times New Roman" w:cs="Times New Roman"/>
          <w:sz w:val="36"/>
          <w:szCs w:val="36"/>
        </w:rPr>
      </w:pPr>
      <w:r w:rsidRPr="006C3EDC">
        <w:rPr>
          <w:rFonts w:ascii="Times New Roman" w:eastAsia="Times New Roman" w:hAnsi="Times New Roman" w:cs="Times New Roman"/>
          <w:sz w:val="36"/>
          <w:szCs w:val="36"/>
        </w:rPr>
        <w:br/>
        <w:t>Module Code: LCMB7034</w:t>
      </w:r>
      <w:r w:rsidRPr="006C3EDC">
        <w:rPr>
          <w:rFonts w:ascii="Times New Roman" w:eastAsia="Times New Roman" w:hAnsi="Times New Roman" w:cs="Times New Roman"/>
          <w:sz w:val="36"/>
          <w:szCs w:val="36"/>
        </w:rPr>
        <w:br/>
        <w:t>Assignment Title: </w:t>
      </w:r>
      <w:r w:rsidR="0061166D">
        <w:rPr>
          <w:rFonts w:ascii="Times New Roman" w:eastAsia="Times New Roman" w:hAnsi="Times New Roman" w:cs="Times New Roman"/>
          <w:sz w:val="36"/>
          <w:szCs w:val="36"/>
        </w:rPr>
        <w:t>“</w:t>
      </w:r>
      <w:r w:rsidRPr="006C3EDC">
        <w:rPr>
          <w:rFonts w:ascii="Times New Roman" w:eastAsia="Times New Roman" w:hAnsi="Times New Roman" w:cs="Times New Roman"/>
          <w:sz w:val="36"/>
          <w:szCs w:val="36"/>
        </w:rPr>
        <w:t>Report: A Critical Analysis of the UK FinTech Industry and Foreign MNE Operations (Stripe Inc.)</w:t>
      </w:r>
      <w:r w:rsidR="0061166D">
        <w:rPr>
          <w:rFonts w:ascii="Times New Roman" w:eastAsia="Times New Roman" w:hAnsi="Times New Roman" w:cs="Times New Roman"/>
          <w:sz w:val="36"/>
          <w:szCs w:val="36"/>
        </w:rPr>
        <w:t>”</w:t>
      </w:r>
    </w:p>
    <w:p w14:paraId="0FAA0EA5" w14:textId="77777777" w:rsidR="00D02E93" w:rsidRDefault="00D02E93" w:rsidP="00D02E93"/>
    <w:p w14:paraId="78069D68" w14:textId="77777777" w:rsidR="006C3EDC" w:rsidRDefault="006C3EDC" w:rsidP="00D02E93"/>
    <w:p w14:paraId="0D9F0A1B" w14:textId="77777777" w:rsidR="00561E54" w:rsidRDefault="00561E54" w:rsidP="00D02E93"/>
    <w:p w14:paraId="52C6BA22" w14:textId="6AB52E95" w:rsidR="00D02E93" w:rsidRDefault="00D02E93" w:rsidP="00D02E93">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Lecturer Name: </w:t>
      </w:r>
      <w:r w:rsidR="004F7087">
        <w:rPr>
          <w:rFonts w:ascii="Times New Roman" w:eastAsia="Times New Roman" w:hAnsi="Times New Roman" w:cs="Times New Roman"/>
          <w:b/>
          <w:bCs/>
          <w:sz w:val="24"/>
          <w:szCs w:val="24"/>
        </w:rPr>
        <w:t xml:space="preserve">Dr </w:t>
      </w:r>
      <w:r w:rsidR="00234562">
        <w:rPr>
          <w:rFonts w:ascii="Times New Roman" w:eastAsia="Times New Roman" w:hAnsi="Times New Roman" w:cs="Times New Roman"/>
          <w:b/>
          <w:bCs/>
          <w:sz w:val="24"/>
          <w:szCs w:val="24"/>
        </w:rPr>
        <w:t xml:space="preserve">David </w:t>
      </w:r>
      <w:r w:rsidR="004F7087">
        <w:rPr>
          <w:rFonts w:ascii="Times New Roman" w:eastAsia="Times New Roman" w:hAnsi="Times New Roman" w:cs="Times New Roman"/>
          <w:b/>
          <w:bCs/>
          <w:sz w:val="24"/>
          <w:szCs w:val="24"/>
        </w:rPr>
        <w:t>Gladius</w:t>
      </w:r>
      <w:r w:rsidR="00234562">
        <w:rPr>
          <w:rFonts w:ascii="Times New Roman" w:eastAsia="Times New Roman" w:hAnsi="Times New Roman" w:cs="Times New Roman"/>
          <w:b/>
          <w:bCs/>
          <w:sz w:val="24"/>
          <w:szCs w:val="24"/>
        </w:rPr>
        <w:t xml:space="preserve"> Kulothungan</w:t>
      </w:r>
      <w:r>
        <w:rPr>
          <w:rFonts w:ascii="Times New Roman" w:eastAsia="Times New Roman" w:hAnsi="Times New Roman" w:cs="Times New Roman"/>
          <w:b/>
          <w:bCs/>
          <w:sz w:val="24"/>
          <w:szCs w:val="24"/>
        </w:rPr>
        <w:br/>
        <w:t>Student Name: </w:t>
      </w:r>
      <w:r w:rsidR="00CB3C58">
        <w:rPr>
          <w:rFonts w:ascii="Times New Roman" w:eastAsia="Times New Roman" w:hAnsi="Times New Roman" w:cs="Times New Roman"/>
          <w:b/>
          <w:bCs/>
          <w:sz w:val="24"/>
          <w:szCs w:val="24"/>
        </w:rPr>
        <w:t>Cristian Stoleru</w:t>
      </w:r>
      <w:r>
        <w:rPr>
          <w:rFonts w:ascii="Times New Roman" w:eastAsia="Times New Roman" w:hAnsi="Times New Roman" w:cs="Times New Roman"/>
          <w:b/>
          <w:bCs/>
          <w:sz w:val="24"/>
          <w:szCs w:val="24"/>
        </w:rPr>
        <w:br/>
        <w:t>Student ID Number: </w:t>
      </w:r>
      <w:r w:rsidR="004F7087">
        <w:rPr>
          <w:rFonts w:ascii="Times New Roman" w:eastAsia="Times New Roman" w:hAnsi="Times New Roman" w:cs="Times New Roman"/>
          <w:b/>
          <w:bCs/>
          <w:sz w:val="24"/>
          <w:szCs w:val="24"/>
        </w:rPr>
        <w:t>2215119</w:t>
      </w:r>
    </w:p>
    <w:p w14:paraId="2CDF9919" w14:textId="3B1D49BE" w:rsidR="00D02E93" w:rsidRDefault="00D02E93" w:rsidP="00D02E93">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Submission Date</w:t>
      </w:r>
      <w:r w:rsidRPr="00561E54">
        <w:rPr>
          <w:rFonts w:ascii="Times New Roman" w:eastAsia="Times New Roman" w:hAnsi="Times New Roman" w:cs="Times New Roman"/>
          <w:b/>
          <w:bCs/>
          <w:sz w:val="24"/>
          <w:szCs w:val="24"/>
        </w:rPr>
        <w:t>:  April 2026</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br/>
      </w:r>
    </w:p>
    <w:p w14:paraId="19011965" w14:textId="77777777" w:rsidR="00D02E93" w:rsidRDefault="00D02E93" w:rsidP="00AF308B">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Declaration of Academic Honesty:</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By submitting this work, I certify that this is my own work, that it has not been submitted for any other assessment, and that all sources used have been appropriately cited and referenced in accordance with the UWTSD Harvard Referencing Style.</w:t>
      </w:r>
    </w:p>
    <w:p w14:paraId="5A37EBD7" w14:textId="77777777" w:rsidR="00D02E93" w:rsidRDefault="00D02E93" w:rsidP="00D02E93">
      <w:pPr>
        <w:keepNext/>
        <w:keepLines/>
        <w:pBdr>
          <w:top w:val="nil"/>
          <w:left w:val="nil"/>
          <w:bottom w:val="single" w:sz="4" w:space="1" w:color="595959"/>
          <w:right w:val="nil"/>
          <w:between w:val="nil"/>
        </w:pBdr>
        <w:spacing w:before="360" w:line="360" w:lineRule="auto"/>
        <w:ind w:left="432" w:hanging="432"/>
        <w:rPr>
          <w:rFonts w:ascii="Times New Roman" w:eastAsia="Times New Roman" w:hAnsi="Times New Roman" w:cs="Times New Roman"/>
          <w:b/>
          <w:bCs/>
          <w:smallCaps/>
          <w:color w:val="000000"/>
          <w:sz w:val="40"/>
          <w:szCs w:val="40"/>
        </w:rPr>
      </w:pPr>
      <w:r>
        <w:rPr>
          <w:rFonts w:ascii="Times New Roman" w:eastAsia="Times New Roman" w:hAnsi="Times New Roman" w:cs="Times New Roman"/>
          <w:b/>
          <w:bCs/>
          <w:smallCaps/>
          <w:color w:val="000000"/>
          <w:sz w:val="40"/>
          <w:szCs w:val="40"/>
        </w:rPr>
        <w:lastRenderedPageBreak/>
        <w:t>Table of Contents</w:t>
      </w:r>
    </w:p>
    <w:sdt>
      <w:sdtPr>
        <w:id w:val="-898931107"/>
        <w:docPartObj>
          <w:docPartGallery w:val="Table of Contents"/>
          <w:docPartUnique/>
        </w:docPartObj>
      </w:sdtPr>
      <w:sdtEndPr/>
      <w:sdtContent>
        <w:p w14:paraId="7221628C" w14:textId="5709F3A1" w:rsidR="000B7B09" w:rsidRDefault="00D02E93">
          <w:pPr>
            <w:pStyle w:val="TOC1"/>
            <w:tabs>
              <w:tab w:val="right" w:leader="dot" w:pos="9016"/>
            </w:tabs>
            <w:rPr>
              <w:noProof/>
            </w:rPr>
          </w:pPr>
          <w:r>
            <w:fldChar w:fldCharType="begin"/>
          </w:r>
          <w:r>
            <w:instrText xml:space="preserve"> TOC \h \u \z \t "Heading 1,1,Heading 2,2,Heading 3,3,"</w:instrText>
          </w:r>
          <w:r>
            <w:fldChar w:fldCharType="separate"/>
          </w:r>
          <w:hyperlink w:anchor="_Toc227532684" w:history="1">
            <w:r w:rsidR="000B7B09" w:rsidRPr="00A12526">
              <w:rPr>
                <w:rStyle w:val="Hyperlink"/>
                <w:rFonts w:ascii="Times New Roman" w:eastAsia="Times New Roman" w:hAnsi="Times New Roman" w:cs="Times New Roman"/>
                <w:noProof/>
              </w:rPr>
              <w:t>SECTION 1: INTERNATIONAL INDUSTRY AND BUSINESS REPORT</w:t>
            </w:r>
            <w:r w:rsidR="000B7B09">
              <w:rPr>
                <w:noProof/>
                <w:webHidden/>
              </w:rPr>
              <w:tab/>
            </w:r>
            <w:r w:rsidR="000B7B09">
              <w:rPr>
                <w:noProof/>
                <w:webHidden/>
              </w:rPr>
              <w:fldChar w:fldCharType="begin"/>
            </w:r>
            <w:r w:rsidR="000B7B09">
              <w:rPr>
                <w:noProof/>
                <w:webHidden/>
              </w:rPr>
              <w:instrText xml:space="preserve"> PAGEREF _Toc227532684 \h </w:instrText>
            </w:r>
            <w:r w:rsidR="000B7B09">
              <w:rPr>
                <w:noProof/>
                <w:webHidden/>
              </w:rPr>
            </w:r>
            <w:r w:rsidR="000B7B09">
              <w:rPr>
                <w:noProof/>
                <w:webHidden/>
              </w:rPr>
              <w:fldChar w:fldCharType="separate"/>
            </w:r>
            <w:r w:rsidR="003E271E">
              <w:rPr>
                <w:noProof/>
                <w:webHidden/>
              </w:rPr>
              <w:t>3</w:t>
            </w:r>
            <w:r w:rsidR="000B7B09">
              <w:rPr>
                <w:noProof/>
                <w:webHidden/>
              </w:rPr>
              <w:fldChar w:fldCharType="end"/>
            </w:r>
          </w:hyperlink>
        </w:p>
        <w:p w14:paraId="05CE7C44" w14:textId="71FD581F" w:rsidR="000B7B09" w:rsidRDefault="000B7B09">
          <w:pPr>
            <w:pStyle w:val="TOC1"/>
            <w:tabs>
              <w:tab w:val="left" w:pos="480"/>
              <w:tab w:val="right" w:leader="dot" w:pos="9016"/>
            </w:tabs>
            <w:rPr>
              <w:noProof/>
            </w:rPr>
          </w:pPr>
          <w:hyperlink w:anchor="_Toc227532685" w:history="1">
            <w:r w:rsidRPr="00A12526">
              <w:rPr>
                <w:rStyle w:val="Hyperlink"/>
                <w:rFonts w:ascii="Times New Roman" w:eastAsia="Times New Roman" w:hAnsi="Times New Roman" w:cs="Times New Roman"/>
                <w:noProof/>
              </w:rPr>
              <w:t>1</w:t>
            </w:r>
            <w:r>
              <w:rPr>
                <w:noProof/>
              </w:rPr>
              <w:tab/>
            </w:r>
            <w:r w:rsidRPr="00A12526">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_Toc227532685 \h </w:instrText>
            </w:r>
            <w:r>
              <w:rPr>
                <w:noProof/>
                <w:webHidden/>
              </w:rPr>
            </w:r>
            <w:r>
              <w:rPr>
                <w:noProof/>
                <w:webHidden/>
              </w:rPr>
              <w:fldChar w:fldCharType="separate"/>
            </w:r>
            <w:r w:rsidR="003E271E">
              <w:rPr>
                <w:noProof/>
                <w:webHidden/>
              </w:rPr>
              <w:t>3</w:t>
            </w:r>
            <w:r>
              <w:rPr>
                <w:noProof/>
                <w:webHidden/>
              </w:rPr>
              <w:fldChar w:fldCharType="end"/>
            </w:r>
          </w:hyperlink>
        </w:p>
        <w:p w14:paraId="5D81E34A" w14:textId="41B3C6DF" w:rsidR="000B7B09" w:rsidRDefault="000B7B09">
          <w:pPr>
            <w:pStyle w:val="TOC1"/>
            <w:tabs>
              <w:tab w:val="left" w:pos="480"/>
              <w:tab w:val="right" w:leader="dot" w:pos="9016"/>
            </w:tabs>
            <w:rPr>
              <w:noProof/>
            </w:rPr>
          </w:pPr>
          <w:hyperlink w:anchor="_Toc227532686" w:history="1">
            <w:r w:rsidRPr="00A12526">
              <w:rPr>
                <w:rStyle w:val="Hyperlink"/>
                <w:rFonts w:ascii="Times New Roman" w:eastAsia="Times New Roman" w:hAnsi="Times New Roman" w:cs="Times New Roman"/>
                <w:noProof/>
              </w:rPr>
              <w:t>2</w:t>
            </w:r>
            <w:r>
              <w:rPr>
                <w:noProof/>
              </w:rPr>
              <w:tab/>
            </w:r>
            <w:r w:rsidRPr="00A12526">
              <w:rPr>
                <w:rStyle w:val="Hyperlink"/>
                <w:rFonts w:ascii="Times New Roman" w:eastAsia="Times New Roman" w:hAnsi="Times New Roman" w:cs="Times New Roman"/>
                <w:noProof/>
              </w:rPr>
              <w:t>Industry and Country Overview</w:t>
            </w:r>
            <w:r>
              <w:rPr>
                <w:noProof/>
                <w:webHidden/>
              </w:rPr>
              <w:tab/>
            </w:r>
            <w:r>
              <w:rPr>
                <w:noProof/>
                <w:webHidden/>
              </w:rPr>
              <w:fldChar w:fldCharType="begin"/>
            </w:r>
            <w:r>
              <w:rPr>
                <w:noProof/>
                <w:webHidden/>
              </w:rPr>
              <w:instrText xml:space="preserve"> PAGEREF _Toc227532686 \h </w:instrText>
            </w:r>
            <w:r>
              <w:rPr>
                <w:noProof/>
                <w:webHidden/>
              </w:rPr>
            </w:r>
            <w:r>
              <w:rPr>
                <w:noProof/>
                <w:webHidden/>
              </w:rPr>
              <w:fldChar w:fldCharType="separate"/>
            </w:r>
            <w:r w:rsidR="003E271E">
              <w:rPr>
                <w:noProof/>
                <w:webHidden/>
              </w:rPr>
              <w:t>3</w:t>
            </w:r>
            <w:r>
              <w:rPr>
                <w:noProof/>
                <w:webHidden/>
              </w:rPr>
              <w:fldChar w:fldCharType="end"/>
            </w:r>
          </w:hyperlink>
        </w:p>
        <w:p w14:paraId="5AF97CA0" w14:textId="60D3591A" w:rsidR="000B7B09" w:rsidRDefault="000B7B09">
          <w:pPr>
            <w:pStyle w:val="TOC2"/>
            <w:tabs>
              <w:tab w:val="left" w:pos="960"/>
              <w:tab w:val="right" w:leader="dot" w:pos="9016"/>
            </w:tabs>
            <w:rPr>
              <w:noProof/>
            </w:rPr>
          </w:pPr>
          <w:hyperlink w:anchor="_Toc227532687" w:history="1">
            <w:r w:rsidRPr="00A12526">
              <w:rPr>
                <w:rStyle w:val="Hyperlink"/>
                <w:rFonts w:ascii="Times New Roman" w:eastAsia="Times New Roman" w:hAnsi="Times New Roman" w:cs="Times New Roman"/>
                <w:noProof/>
              </w:rPr>
              <w:t>2.1</w:t>
            </w:r>
            <w:r>
              <w:rPr>
                <w:noProof/>
              </w:rPr>
              <w:tab/>
            </w:r>
            <w:r w:rsidRPr="00A12526">
              <w:rPr>
                <w:rStyle w:val="Hyperlink"/>
                <w:rFonts w:ascii="Times New Roman" w:eastAsia="Times New Roman" w:hAnsi="Times New Roman" w:cs="Times New Roman"/>
                <w:noProof/>
              </w:rPr>
              <w:t>The UK FinTech Context, Size, and Scope</w:t>
            </w:r>
            <w:r>
              <w:rPr>
                <w:noProof/>
                <w:webHidden/>
              </w:rPr>
              <w:tab/>
            </w:r>
            <w:r>
              <w:rPr>
                <w:noProof/>
                <w:webHidden/>
              </w:rPr>
              <w:fldChar w:fldCharType="begin"/>
            </w:r>
            <w:r>
              <w:rPr>
                <w:noProof/>
                <w:webHidden/>
              </w:rPr>
              <w:instrText xml:space="preserve"> PAGEREF _Toc227532687 \h </w:instrText>
            </w:r>
            <w:r>
              <w:rPr>
                <w:noProof/>
                <w:webHidden/>
              </w:rPr>
            </w:r>
            <w:r>
              <w:rPr>
                <w:noProof/>
                <w:webHidden/>
              </w:rPr>
              <w:fldChar w:fldCharType="separate"/>
            </w:r>
            <w:r w:rsidR="003E271E">
              <w:rPr>
                <w:noProof/>
                <w:webHidden/>
              </w:rPr>
              <w:t>3</w:t>
            </w:r>
            <w:r>
              <w:rPr>
                <w:noProof/>
                <w:webHidden/>
              </w:rPr>
              <w:fldChar w:fldCharType="end"/>
            </w:r>
          </w:hyperlink>
        </w:p>
        <w:p w14:paraId="302EF1CC" w14:textId="62F35D44" w:rsidR="000B7B09" w:rsidRDefault="000B7B09">
          <w:pPr>
            <w:pStyle w:val="TOC2"/>
            <w:tabs>
              <w:tab w:val="left" w:pos="960"/>
              <w:tab w:val="right" w:leader="dot" w:pos="9016"/>
            </w:tabs>
            <w:rPr>
              <w:noProof/>
            </w:rPr>
          </w:pPr>
          <w:hyperlink w:anchor="_Toc227532688" w:history="1">
            <w:r w:rsidRPr="00A12526">
              <w:rPr>
                <w:rStyle w:val="Hyperlink"/>
                <w:rFonts w:ascii="Times New Roman" w:eastAsia="Times New Roman" w:hAnsi="Times New Roman" w:cs="Times New Roman"/>
                <w:noProof/>
              </w:rPr>
              <w:t>2.2</w:t>
            </w:r>
            <w:r>
              <w:rPr>
                <w:noProof/>
              </w:rPr>
              <w:tab/>
            </w:r>
            <w:r w:rsidRPr="00A12526">
              <w:rPr>
                <w:rStyle w:val="Hyperlink"/>
                <w:rFonts w:ascii="Times New Roman" w:eastAsia="Times New Roman" w:hAnsi="Times New Roman" w:cs="Times New Roman"/>
                <w:noProof/>
              </w:rPr>
              <w:t>Major Domestic and Multinational Firms</w:t>
            </w:r>
            <w:r>
              <w:rPr>
                <w:noProof/>
                <w:webHidden/>
              </w:rPr>
              <w:tab/>
            </w:r>
            <w:r>
              <w:rPr>
                <w:noProof/>
                <w:webHidden/>
              </w:rPr>
              <w:fldChar w:fldCharType="begin"/>
            </w:r>
            <w:r>
              <w:rPr>
                <w:noProof/>
                <w:webHidden/>
              </w:rPr>
              <w:instrText xml:space="preserve"> PAGEREF _Toc227532688 \h </w:instrText>
            </w:r>
            <w:r>
              <w:rPr>
                <w:noProof/>
                <w:webHidden/>
              </w:rPr>
            </w:r>
            <w:r>
              <w:rPr>
                <w:noProof/>
                <w:webHidden/>
              </w:rPr>
              <w:fldChar w:fldCharType="separate"/>
            </w:r>
            <w:r w:rsidR="003E271E">
              <w:rPr>
                <w:noProof/>
                <w:webHidden/>
              </w:rPr>
              <w:t>5</w:t>
            </w:r>
            <w:r>
              <w:rPr>
                <w:noProof/>
                <w:webHidden/>
              </w:rPr>
              <w:fldChar w:fldCharType="end"/>
            </w:r>
          </w:hyperlink>
        </w:p>
        <w:p w14:paraId="13FEF9A0" w14:textId="21094705" w:rsidR="000B7B09" w:rsidRDefault="000B7B09">
          <w:pPr>
            <w:pStyle w:val="TOC1"/>
            <w:tabs>
              <w:tab w:val="left" w:pos="480"/>
              <w:tab w:val="right" w:leader="dot" w:pos="9016"/>
            </w:tabs>
            <w:rPr>
              <w:noProof/>
            </w:rPr>
          </w:pPr>
          <w:hyperlink w:anchor="_Toc227532689" w:history="1">
            <w:r w:rsidRPr="00A12526">
              <w:rPr>
                <w:rStyle w:val="Hyperlink"/>
                <w:rFonts w:ascii="Times New Roman" w:eastAsia="Times New Roman" w:hAnsi="Times New Roman" w:cs="Times New Roman"/>
                <w:noProof/>
              </w:rPr>
              <w:t>3</w:t>
            </w:r>
            <w:r>
              <w:rPr>
                <w:noProof/>
              </w:rPr>
              <w:tab/>
            </w:r>
            <w:r w:rsidRPr="00A12526">
              <w:rPr>
                <w:rStyle w:val="Hyperlink"/>
                <w:rFonts w:ascii="Times New Roman" w:eastAsia="Times New Roman" w:hAnsi="Times New Roman" w:cs="Times New Roman"/>
                <w:noProof/>
              </w:rPr>
              <w:t>Porter’s Diamond Model of National Advantage</w:t>
            </w:r>
            <w:r>
              <w:rPr>
                <w:noProof/>
                <w:webHidden/>
              </w:rPr>
              <w:tab/>
            </w:r>
            <w:r>
              <w:rPr>
                <w:noProof/>
                <w:webHidden/>
              </w:rPr>
              <w:fldChar w:fldCharType="begin"/>
            </w:r>
            <w:r>
              <w:rPr>
                <w:noProof/>
                <w:webHidden/>
              </w:rPr>
              <w:instrText xml:space="preserve"> PAGEREF _Toc227532689 \h </w:instrText>
            </w:r>
            <w:r>
              <w:rPr>
                <w:noProof/>
                <w:webHidden/>
              </w:rPr>
            </w:r>
            <w:r>
              <w:rPr>
                <w:noProof/>
                <w:webHidden/>
              </w:rPr>
              <w:fldChar w:fldCharType="separate"/>
            </w:r>
            <w:r w:rsidR="003E271E">
              <w:rPr>
                <w:noProof/>
                <w:webHidden/>
              </w:rPr>
              <w:t>6</w:t>
            </w:r>
            <w:r>
              <w:rPr>
                <w:noProof/>
                <w:webHidden/>
              </w:rPr>
              <w:fldChar w:fldCharType="end"/>
            </w:r>
          </w:hyperlink>
        </w:p>
        <w:p w14:paraId="37BB32C9" w14:textId="32786122" w:rsidR="000B7B09" w:rsidRDefault="000B7B09">
          <w:pPr>
            <w:pStyle w:val="TOC2"/>
            <w:tabs>
              <w:tab w:val="left" w:pos="960"/>
              <w:tab w:val="right" w:leader="dot" w:pos="9016"/>
            </w:tabs>
            <w:rPr>
              <w:noProof/>
            </w:rPr>
          </w:pPr>
          <w:hyperlink w:anchor="_Toc227532690" w:history="1">
            <w:r w:rsidRPr="00A12526">
              <w:rPr>
                <w:rStyle w:val="Hyperlink"/>
                <w:rFonts w:ascii="Times New Roman" w:eastAsia="Times New Roman" w:hAnsi="Times New Roman" w:cs="Times New Roman"/>
                <w:noProof/>
              </w:rPr>
              <w:t>3.1</w:t>
            </w:r>
            <w:r>
              <w:rPr>
                <w:noProof/>
              </w:rPr>
              <w:tab/>
            </w:r>
            <w:r w:rsidRPr="00A12526">
              <w:rPr>
                <w:rStyle w:val="Hyperlink"/>
                <w:rFonts w:ascii="Times New Roman" w:eastAsia="Times New Roman" w:hAnsi="Times New Roman" w:cs="Times New Roman"/>
                <w:noProof/>
              </w:rPr>
              <w:t>Factor Conditions</w:t>
            </w:r>
            <w:r>
              <w:rPr>
                <w:noProof/>
                <w:webHidden/>
              </w:rPr>
              <w:tab/>
            </w:r>
            <w:r>
              <w:rPr>
                <w:noProof/>
                <w:webHidden/>
              </w:rPr>
              <w:fldChar w:fldCharType="begin"/>
            </w:r>
            <w:r>
              <w:rPr>
                <w:noProof/>
                <w:webHidden/>
              </w:rPr>
              <w:instrText xml:space="preserve"> PAGEREF _Toc227532690 \h </w:instrText>
            </w:r>
            <w:r>
              <w:rPr>
                <w:noProof/>
                <w:webHidden/>
              </w:rPr>
            </w:r>
            <w:r>
              <w:rPr>
                <w:noProof/>
                <w:webHidden/>
              </w:rPr>
              <w:fldChar w:fldCharType="separate"/>
            </w:r>
            <w:r w:rsidR="003E271E">
              <w:rPr>
                <w:noProof/>
                <w:webHidden/>
              </w:rPr>
              <w:t>6</w:t>
            </w:r>
            <w:r>
              <w:rPr>
                <w:noProof/>
                <w:webHidden/>
              </w:rPr>
              <w:fldChar w:fldCharType="end"/>
            </w:r>
          </w:hyperlink>
        </w:p>
        <w:p w14:paraId="239823AF" w14:textId="7716D9F5" w:rsidR="000B7B09" w:rsidRDefault="000B7B09">
          <w:pPr>
            <w:pStyle w:val="TOC2"/>
            <w:tabs>
              <w:tab w:val="left" w:pos="960"/>
              <w:tab w:val="right" w:leader="dot" w:pos="9016"/>
            </w:tabs>
            <w:rPr>
              <w:noProof/>
            </w:rPr>
          </w:pPr>
          <w:hyperlink w:anchor="_Toc227532691" w:history="1">
            <w:r w:rsidRPr="00A12526">
              <w:rPr>
                <w:rStyle w:val="Hyperlink"/>
                <w:rFonts w:ascii="Times New Roman" w:eastAsia="Times New Roman" w:hAnsi="Times New Roman" w:cs="Times New Roman"/>
                <w:noProof/>
              </w:rPr>
              <w:t>3.2</w:t>
            </w:r>
            <w:r>
              <w:rPr>
                <w:noProof/>
              </w:rPr>
              <w:tab/>
            </w:r>
            <w:r w:rsidRPr="00A12526">
              <w:rPr>
                <w:rStyle w:val="Hyperlink"/>
                <w:rFonts w:ascii="Times New Roman" w:eastAsia="Times New Roman" w:hAnsi="Times New Roman" w:cs="Times New Roman"/>
                <w:noProof/>
              </w:rPr>
              <w:t>Demand Conditions</w:t>
            </w:r>
            <w:r>
              <w:rPr>
                <w:noProof/>
                <w:webHidden/>
              </w:rPr>
              <w:tab/>
            </w:r>
            <w:r>
              <w:rPr>
                <w:noProof/>
                <w:webHidden/>
              </w:rPr>
              <w:fldChar w:fldCharType="begin"/>
            </w:r>
            <w:r>
              <w:rPr>
                <w:noProof/>
                <w:webHidden/>
              </w:rPr>
              <w:instrText xml:space="preserve"> PAGEREF _Toc227532691 \h </w:instrText>
            </w:r>
            <w:r>
              <w:rPr>
                <w:noProof/>
                <w:webHidden/>
              </w:rPr>
            </w:r>
            <w:r>
              <w:rPr>
                <w:noProof/>
                <w:webHidden/>
              </w:rPr>
              <w:fldChar w:fldCharType="separate"/>
            </w:r>
            <w:r w:rsidR="003E271E">
              <w:rPr>
                <w:noProof/>
                <w:webHidden/>
              </w:rPr>
              <w:t>7</w:t>
            </w:r>
            <w:r>
              <w:rPr>
                <w:noProof/>
                <w:webHidden/>
              </w:rPr>
              <w:fldChar w:fldCharType="end"/>
            </w:r>
          </w:hyperlink>
        </w:p>
        <w:p w14:paraId="1E9DC22C" w14:textId="20770167" w:rsidR="000B7B09" w:rsidRDefault="000B7B09">
          <w:pPr>
            <w:pStyle w:val="TOC2"/>
            <w:tabs>
              <w:tab w:val="left" w:pos="960"/>
              <w:tab w:val="right" w:leader="dot" w:pos="9016"/>
            </w:tabs>
            <w:rPr>
              <w:noProof/>
            </w:rPr>
          </w:pPr>
          <w:hyperlink w:anchor="_Toc227532692" w:history="1">
            <w:r w:rsidRPr="00A12526">
              <w:rPr>
                <w:rStyle w:val="Hyperlink"/>
                <w:rFonts w:ascii="Times New Roman" w:eastAsia="Times New Roman" w:hAnsi="Times New Roman" w:cs="Times New Roman"/>
                <w:noProof/>
              </w:rPr>
              <w:t>3.3</w:t>
            </w:r>
            <w:r>
              <w:rPr>
                <w:noProof/>
              </w:rPr>
              <w:tab/>
            </w:r>
            <w:r w:rsidRPr="00A12526">
              <w:rPr>
                <w:rStyle w:val="Hyperlink"/>
                <w:rFonts w:ascii="Times New Roman" w:eastAsia="Times New Roman" w:hAnsi="Times New Roman" w:cs="Times New Roman"/>
                <w:noProof/>
              </w:rPr>
              <w:t>Related and Supporting Industries</w:t>
            </w:r>
            <w:r>
              <w:rPr>
                <w:noProof/>
                <w:webHidden/>
              </w:rPr>
              <w:tab/>
            </w:r>
            <w:r>
              <w:rPr>
                <w:noProof/>
                <w:webHidden/>
              </w:rPr>
              <w:fldChar w:fldCharType="begin"/>
            </w:r>
            <w:r>
              <w:rPr>
                <w:noProof/>
                <w:webHidden/>
              </w:rPr>
              <w:instrText xml:space="preserve"> PAGEREF _Toc227532692 \h </w:instrText>
            </w:r>
            <w:r>
              <w:rPr>
                <w:noProof/>
                <w:webHidden/>
              </w:rPr>
            </w:r>
            <w:r>
              <w:rPr>
                <w:noProof/>
                <w:webHidden/>
              </w:rPr>
              <w:fldChar w:fldCharType="separate"/>
            </w:r>
            <w:r w:rsidR="003E271E">
              <w:rPr>
                <w:noProof/>
                <w:webHidden/>
              </w:rPr>
              <w:t>7</w:t>
            </w:r>
            <w:r>
              <w:rPr>
                <w:noProof/>
                <w:webHidden/>
              </w:rPr>
              <w:fldChar w:fldCharType="end"/>
            </w:r>
          </w:hyperlink>
        </w:p>
        <w:p w14:paraId="252EE468" w14:textId="3DE77497" w:rsidR="000B7B09" w:rsidRDefault="000B7B09">
          <w:pPr>
            <w:pStyle w:val="TOC2"/>
            <w:tabs>
              <w:tab w:val="left" w:pos="960"/>
              <w:tab w:val="right" w:leader="dot" w:pos="9016"/>
            </w:tabs>
            <w:rPr>
              <w:noProof/>
            </w:rPr>
          </w:pPr>
          <w:hyperlink w:anchor="_Toc227532693" w:history="1">
            <w:r w:rsidRPr="00A12526">
              <w:rPr>
                <w:rStyle w:val="Hyperlink"/>
                <w:rFonts w:ascii="Times New Roman" w:eastAsia="Times New Roman" w:hAnsi="Times New Roman" w:cs="Times New Roman"/>
                <w:noProof/>
              </w:rPr>
              <w:t>3.4</w:t>
            </w:r>
            <w:r>
              <w:rPr>
                <w:noProof/>
              </w:rPr>
              <w:tab/>
            </w:r>
            <w:r w:rsidRPr="00A12526">
              <w:rPr>
                <w:rStyle w:val="Hyperlink"/>
                <w:rFonts w:ascii="Times New Roman" w:eastAsia="Times New Roman" w:hAnsi="Times New Roman" w:cs="Times New Roman"/>
                <w:noProof/>
              </w:rPr>
              <w:t>Firm Strategy, Structure, and Rivalry</w:t>
            </w:r>
            <w:r>
              <w:rPr>
                <w:noProof/>
                <w:webHidden/>
              </w:rPr>
              <w:tab/>
            </w:r>
            <w:r>
              <w:rPr>
                <w:noProof/>
                <w:webHidden/>
              </w:rPr>
              <w:fldChar w:fldCharType="begin"/>
            </w:r>
            <w:r>
              <w:rPr>
                <w:noProof/>
                <w:webHidden/>
              </w:rPr>
              <w:instrText xml:space="preserve"> PAGEREF _Toc227532693 \h </w:instrText>
            </w:r>
            <w:r>
              <w:rPr>
                <w:noProof/>
                <w:webHidden/>
              </w:rPr>
            </w:r>
            <w:r>
              <w:rPr>
                <w:noProof/>
                <w:webHidden/>
              </w:rPr>
              <w:fldChar w:fldCharType="separate"/>
            </w:r>
            <w:r w:rsidR="003E271E">
              <w:rPr>
                <w:noProof/>
                <w:webHidden/>
              </w:rPr>
              <w:t>8</w:t>
            </w:r>
            <w:r>
              <w:rPr>
                <w:noProof/>
                <w:webHidden/>
              </w:rPr>
              <w:fldChar w:fldCharType="end"/>
            </w:r>
          </w:hyperlink>
        </w:p>
        <w:p w14:paraId="12FD3C21" w14:textId="42DE0054" w:rsidR="000B7B09" w:rsidRDefault="000B7B09">
          <w:pPr>
            <w:pStyle w:val="TOC2"/>
            <w:tabs>
              <w:tab w:val="left" w:pos="960"/>
              <w:tab w:val="right" w:leader="dot" w:pos="9016"/>
            </w:tabs>
            <w:rPr>
              <w:noProof/>
            </w:rPr>
          </w:pPr>
          <w:hyperlink w:anchor="_Toc227532694" w:history="1">
            <w:r w:rsidRPr="00A12526">
              <w:rPr>
                <w:rStyle w:val="Hyperlink"/>
                <w:rFonts w:ascii="Times New Roman" w:eastAsia="Times New Roman" w:hAnsi="Times New Roman" w:cs="Times New Roman"/>
                <w:noProof/>
              </w:rPr>
              <w:t>3.5</w:t>
            </w:r>
            <w:r>
              <w:rPr>
                <w:noProof/>
              </w:rPr>
              <w:tab/>
            </w:r>
            <w:r w:rsidRPr="00A12526">
              <w:rPr>
                <w:rStyle w:val="Hyperlink"/>
                <w:rFonts w:ascii="Times New Roman" w:eastAsia="Times New Roman" w:hAnsi="Times New Roman" w:cs="Times New Roman"/>
                <w:noProof/>
              </w:rPr>
              <w:t>The Role of Government and Chance</w:t>
            </w:r>
            <w:r>
              <w:rPr>
                <w:noProof/>
                <w:webHidden/>
              </w:rPr>
              <w:tab/>
            </w:r>
            <w:r>
              <w:rPr>
                <w:noProof/>
                <w:webHidden/>
              </w:rPr>
              <w:fldChar w:fldCharType="begin"/>
            </w:r>
            <w:r>
              <w:rPr>
                <w:noProof/>
                <w:webHidden/>
              </w:rPr>
              <w:instrText xml:space="preserve"> PAGEREF _Toc227532694 \h </w:instrText>
            </w:r>
            <w:r>
              <w:rPr>
                <w:noProof/>
                <w:webHidden/>
              </w:rPr>
            </w:r>
            <w:r>
              <w:rPr>
                <w:noProof/>
                <w:webHidden/>
              </w:rPr>
              <w:fldChar w:fldCharType="separate"/>
            </w:r>
            <w:r w:rsidR="003E271E">
              <w:rPr>
                <w:noProof/>
                <w:webHidden/>
              </w:rPr>
              <w:t>8</w:t>
            </w:r>
            <w:r>
              <w:rPr>
                <w:noProof/>
                <w:webHidden/>
              </w:rPr>
              <w:fldChar w:fldCharType="end"/>
            </w:r>
          </w:hyperlink>
        </w:p>
        <w:p w14:paraId="17F8895E" w14:textId="1E51FB3C" w:rsidR="000B7B09" w:rsidRDefault="000B7B09">
          <w:pPr>
            <w:pStyle w:val="TOC1"/>
            <w:tabs>
              <w:tab w:val="left" w:pos="480"/>
              <w:tab w:val="right" w:leader="dot" w:pos="9016"/>
            </w:tabs>
            <w:rPr>
              <w:noProof/>
            </w:rPr>
          </w:pPr>
          <w:hyperlink w:anchor="_Toc227532695" w:history="1">
            <w:r w:rsidRPr="00A12526">
              <w:rPr>
                <w:rStyle w:val="Hyperlink"/>
                <w:rFonts w:ascii="Times New Roman" w:eastAsia="Times New Roman" w:hAnsi="Times New Roman" w:cs="Times New Roman"/>
                <w:noProof/>
              </w:rPr>
              <w:t>4</w:t>
            </w:r>
            <w:r>
              <w:rPr>
                <w:noProof/>
              </w:rPr>
              <w:tab/>
            </w:r>
            <w:r w:rsidRPr="00A12526">
              <w:rPr>
                <w:rStyle w:val="Hyperlink"/>
                <w:rFonts w:ascii="Times New Roman" w:eastAsia="Times New Roman" w:hAnsi="Times New Roman" w:cs="Times New Roman"/>
                <w:noProof/>
              </w:rPr>
              <w:t>Foreign MNC Analysis: Stripe in the UK Market</w:t>
            </w:r>
            <w:r>
              <w:rPr>
                <w:noProof/>
                <w:webHidden/>
              </w:rPr>
              <w:tab/>
            </w:r>
            <w:r>
              <w:rPr>
                <w:noProof/>
                <w:webHidden/>
              </w:rPr>
              <w:fldChar w:fldCharType="begin"/>
            </w:r>
            <w:r>
              <w:rPr>
                <w:noProof/>
                <w:webHidden/>
              </w:rPr>
              <w:instrText xml:space="preserve"> PAGEREF _Toc227532695 \h </w:instrText>
            </w:r>
            <w:r>
              <w:rPr>
                <w:noProof/>
                <w:webHidden/>
              </w:rPr>
            </w:r>
            <w:r>
              <w:rPr>
                <w:noProof/>
                <w:webHidden/>
              </w:rPr>
              <w:fldChar w:fldCharType="separate"/>
            </w:r>
            <w:r w:rsidR="003E271E">
              <w:rPr>
                <w:noProof/>
                <w:webHidden/>
              </w:rPr>
              <w:t>8</w:t>
            </w:r>
            <w:r>
              <w:rPr>
                <w:noProof/>
                <w:webHidden/>
              </w:rPr>
              <w:fldChar w:fldCharType="end"/>
            </w:r>
          </w:hyperlink>
        </w:p>
        <w:p w14:paraId="34BAAAA6" w14:textId="47D40219" w:rsidR="000B7B09" w:rsidRDefault="000B7B09">
          <w:pPr>
            <w:pStyle w:val="TOC2"/>
            <w:tabs>
              <w:tab w:val="left" w:pos="960"/>
              <w:tab w:val="right" w:leader="dot" w:pos="9016"/>
            </w:tabs>
            <w:rPr>
              <w:noProof/>
            </w:rPr>
          </w:pPr>
          <w:hyperlink w:anchor="_Toc227532696" w:history="1">
            <w:r w:rsidRPr="00A12526">
              <w:rPr>
                <w:rStyle w:val="Hyperlink"/>
                <w:rFonts w:ascii="Times New Roman" w:eastAsia="Times New Roman" w:hAnsi="Times New Roman" w:cs="Times New Roman"/>
                <w:noProof/>
              </w:rPr>
              <w:t>4.1</w:t>
            </w:r>
            <w:r>
              <w:rPr>
                <w:noProof/>
              </w:rPr>
              <w:tab/>
            </w:r>
            <w:r w:rsidRPr="00A12526">
              <w:rPr>
                <w:rStyle w:val="Hyperlink"/>
                <w:rFonts w:ascii="Times New Roman" w:eastAsia="Times New Roman" w:hAnsi="Times New Roman" w:cs="Times New Roman"/>
                <w:noProof/>
              </w:rPr>
              <w:t>Introduction to Stripe</w:t>
            </w:r>
            <w:r>
              <w:rPr>
                <w:noProof/>
                <w:webHidden/>
              </w:rPr>
              <w:tab/>
            </w:r>
            <w:r>
              <w:rPr>
                <w:noProof/>
                <w:webHidden/>
              </w:rPr>
              <w:fldChar w:fldCharType="begin"/>
            </w:r>
            <w:r>
              <w:rPr>
                <w:noProof/>
                <w:webHidden/>
              </w:rPr>
              <w:instrText xml:space="preserve"> PAGEREF _Toc227532696 \h </w:instrText>
            </w:r>
            <w:r>
              <w:rPr>
                <w:noProof/>
                <w:webHidden/>
              </w:rPr>
            </w:r>
            <w:r>
              <w:rPr>
                <w:noProof/>
                <w:webHidden/>
              </w:rPr>
              <w:fldChar w:fldCharType="separate"/>
            </w:r>
            <w:r w:rsidR="003E271E">
              <w:rPr>
                <w:noProof/>
                <w:webHidden/>
              </w:rPr>
              <w:t>8</w:t>
            </w:r>
            <w:r>
              <w:rPr>
                <w:noProof/>
                <w:webHidden/>
              </w:rPr>
              <w:fldChar w:fldCharType="end"/>
            </w:r>
          </w:hyperlink>
        </w:p>
        <w:p w14:paraId="7831716D" w14:textId="4D725388" w:rsidR="000B7B09" w:rsidRDefault="000B7B09">
          <w:pPr>
            <w:pStyle w:val="TOC2"/>
            <w:tabs>
              <w:tab w:val="left" w:pos="960"/>
              <w:tab w:val="right" w:leader="dot" w:pos="9016"/>
            </w:tabs>
            <w:rPr>
              <w:noProof/>
            </w:rPr>
          </w:pPr>
          <w:hyperlink w:anchor="_Toc227532697" w:history="1">
            <w:r w:rsidRPr="00A12526">
              <w:rPr>
                <w:rStyle w:val="Hyperlink"/>
                <w:rFonts w:ascii="Times New Roman" w:eastAsia="Times New Roman" w:hAnsi="Times New Roman" w:cs="Times New Roman"/>
                <w:noProof/>
              </w:rPr>
              <w:t>4.2</w:t>
            </w:r>
            <w:r>
              <w:rPr>
                <w:noProof/>
              </w:rPr>
              <w:tab/>
            </w:r>
            <w:r w:rsidRPr="00A12526">
              <w:rPr>
                <w:rStyle w:val="Hyperlink"/>
                <w:rFonts w:ascii="Times New Roman" w:eastAsia="Times New Roman" w:hAnsi="Times New Roman" w:cs="Times New Roman"/>
                <w:noProof/>
              </w:rPr>
              <w:t>PESTLE Analysis of the UK Market for Stripe</w:t>
            </w:r>
            <w:r>
              <w:rPr>
                <w:noProof/>
                <w:webHidden/>
              </w:rPr>
              <w:tab/>
            </w:r>
            <w:r>
              <w:rPr>
                <w:noProof/>
                <w:webHidden/>
              </w:rPr>
              <w:fldChar w:fldCharType="begin"/>
            </w:r>
            <w:r>
              <w:rPr>
                <w:noProof/>
                <w:webHidden/>
              </w:rPr>
              <w:instrText xml:space="preserve"> PAGEREF _Toc227532697 \h </w:instrText>
            </w:r>
            <w:r>
              <w:rPr>
                <w:noProof/>
                <w:webHidden/>
              </w:rPr>
            </w:r>
            <w:r>
              <w:rPr>
                <w:noProof/>
                <w:webHidden/>
              </w:rPr>
              <w:fldChar w:fldCharType="separate"/>
            </w:r>
            <w:r w:rsidR="003E271E">
              <w:rPr>
                <w:noProof/>
                <w:webHidden/>
              </w:rPr>
              <w:t>9</w:t>
            </w:r>
            <w:r>
              <w:rPr>
                <w:noProof/>
                <w:webHidden/>
              </w:rPr>
              <w:fldChar w:fldCharType="end"/>
            </w:r>
          </w:hyperlink>
        </w:p>
        <w:p w14:paraId="1BD95B9C" w14:textId="0628F141" w:rsidR="000B7B09" w:rsidRDefault="000B7B09">
          <w:pPr>
            <w:pStyle w:val="TOC3"/>
            <w:tabs>
              <w:tab w:val="left" w:pos="1440"/>
              <w:tab w:val="right" w:leader="dot" w:pos="9016"/>
            </w:tabs>
            <w:rPr>
              <w:noProof/>
            </w:rPr>
          </w:pPr>
          <w:hyperlink w:anchor="_Toc227532698" w:history="1">
            <w:r w:rsidRPr="00A12526">
              <w:rPr>
                <w:rStyle w:val="Hyperlink"/>
                <w:rFonts w:ascii="Times New Roman" w:eastAsia="Times New Roman" w:hAnsi="Times New Roman" w:cs="Times New Roman"/>
                <w:noProof/>
              </w:rPr>
              <w:t>4.2.1</w:t>
            </w:r>
            <w:r>
              <w:rPr>
                <w:noProof/>
              </w:rPr>
              <w:tab/>
            </w:r>
            <w:r w:rsidRPr="00A12526">
              <w:rPr>
                <w:rStyle w:val="Hyperlink"/>
                <w:rFonts w:ascii="Times New Roman" w:eastAsia="Times New Roman" w:hAnsi="Times New Roman" w:cs="Times New Roman"/>
                <w:noProof/>
              </w:rPr>
              <w:t>Political Factors</w:t>
            </w:r>
            <w:r>
              <w:rPr>
                <w:noProof/>
                <w:webHidden/>
              </w:rPr>
              <w:tab/>
            </w:r>
            <w:r>
              <w:rPr>
                <w:noProof/>
                <w:webHidden/>
              </w:rPr>
              <w:fldChar w:fldCharType="begin"/>
            </w:r>
            <w:r>
              <w:rPr>
                <w:noProof/>
                <w:webHidden/>
              </w:rPr>
              <w:instrText xml:space="preserve"> PAGEREF _Toc227532698 \h </w:instrText>
            </w:r>
            <w:r>
              <w:rPr>
                <w:noProof/>
                <w:webHidden/>
              </w:rPr>
            </w:r>
            <w:r>
              <w:rPr>
                <w:noProof/>
                <w:webHidden/>
              </w:rPr>
              <w:fldChar w:fldCharType="separate"/>
            </w:r>
            <w:r w:rsidR="003E271E">
              <w:rPr>
                <w:noProof/>
                <w:webHidden/>
              </w:rPr>
              <w:t>9</w:t>
            </w:r>
            <w:r>
              <w:rPr>
                <w:noProof/>
                <w:webHidden/>
              </w:rPr>
              <w:fldChar w:fldCharType="end"/>
            </w:r>
          </w:hyperlink>
        </w:p>
        <w:p w14:paraId="7C9C30A2" w14:textId="27123E64" w:rsidR="000B7B09" w:rsidRDefault="000B7B09">
          <w:pPr>
            <w:pStyle w:val="TOC3"/>
            <w:tabs>
              <w:tab w:val="left" w:pos="1440"/>
              <w:tab w:val="right" w:leader="dot" w:pos="9016"/>
            </w:tabs>
            <w:rPr>
              <w:noProof/>
            </w:rPr>
          </w:pPr>
          <w:hyperlink w:anchor="_Toc227532699" w:history="1">
            <w:r w:rsidRPr="00A12526">
              <w:rPr>
                <w:rStyle w:val="Hyperlink"/>
                <w:rFonts w:ascii="Times New Roman" w:eastAsia="Times New Roman" w:hAnsi="Times New Roman" w:cs="Times New Roman"/>
                <w:noProof/>
              </w:rPr>
              <w:t>4.2.2</w:t>
            </w:r>
            <w:r>
              <w:rPr>
                <w:noProof/>
              </w:rPr>
              <w:tab/>
            </w:r>
            <w:r w:rsidRPr="00A12526">
              <w:rPr>
                <w:rStyle w:val="Hyperlink"/>
                <w:rFonts w:ascii="Times New Roman" w:eastAsia="Times New Roman" w:hAnsi="Times New Roman" w:cs="Times New Roman"/>
                <w:noProof/>
              </w:rPr>
              <w:t>Economic Factors</w:t>
            </w:r>
            <w:r>
              <w:rPr>
                <w:noProof/>
                <w:webHidden/>
              </w:rPr>
              <w:tab/>
            </w:r>
            <w:r>
              <w:rPr>
                <w:noProof/>
                <w:webHidden/>
              </w:rPr>
              <w:fldChar w:fldCharType="begin"/>
            </w:r>
            <w:r>
              <w:rPr>
                <w:noProof/>
                <w:webHidden/>
              </w:rPr>
              <w:instrText xml:space="preserve"> PAGEREF _Toc227532699 \h </w:instrText>
            </w:r>
            <w:r>
              <w:rPr>
                <w:noProof/>
                <w:webHidden/>
              </w:rPr>
            </w:r>
            <w:r>
              <w:rPr>
                <w:noProof/>
                <w:webHidden/>
              </w:rPr>
              <w:fldChar w:fldCharType="separate"/>
            </w:r>
            <w:r w:rsidR="003E271E">
              <w:rPr>
                <w:noProof/>
                <w:webHidden/>
              </w:rPr>
              <w:t>10</w:t>
            </w:r>
            <w:r>
              <w:rPr>
                <w:noProof/>
                <w:webHidden/>
              </w:rPr>
              <w:fldChar w:fldCharType="end"/>
            </w:r>
          </w:hyperlink>
        </w:p>
        <w:p w14:paraId="0F02A334" w14:textId="79245C4C" w:rsidR="000B7B09" w:rsidRDefault="000B7B09">
          <w:pPr>
            <w:pStyle w:val="TOC3"/>
            <w:tabs>
              <w:tab w:val="left" w:pos="1440"/>
              <w:tab w:val="right" w:leader="dot" w:pos="9016"/>
            </w:tabs>
            <w:rPr>
              <w:noProof/>
            </w:rPr>
          </w:pPr>
          <w:hyperlink w:anchor="_Toc227532700" w:history="1">
            <w:r w:rsidRPr="00A12526">
              <w:rPr>
                <w:rStyle w:val="Hyperlink"/>
                <w:rFonts w:ascii="Times New Roman" w:eastAsia="Times New Roman" w:hAnsi="Times New Roman" w:cs="Times New Roman"/>
                <w:noProof/>
              </w:rPr>
              <w:t>4.2.3</w:t>
            </w:r>
            <w:r>
              <w:rPr>
                <w:noProof/>
              </w:rPr>
              <w:tab/>
            </w:r>
            <w:r w:rsidRPr="00A12526">
              <w:rPr>
                <w:rStyle w:val="Hyperlink"/>
                <w:rFonts w:ascii="Times New Roman" w:eastAsia="Times New Roman" w:hAnsi="Times New Roman" w:cs="Times New Roman"/>
                <w:noProof/>
              </w:rPr>
              <w:t>Social Factors</w:t>
            </w:r>
            <w:r>
              <w:rPr>
                <w:noProof/>
                <w:webHidden/>
              </w:rPr>
              <w:tab/>
            </w:r>
            <w:r>
              <w:rPr>
                <w:noProof/>
                <w:webHidden/>
              </w:rPr>
              <w:fldChar w:fldCharType="begin"/>
            </w:r>
            <w:r>
              <w:rPr>
                <w:noProof/>
                <w:webHidden/>
              </w:rPr>
              <w:instrText xml:space="preserve"> PAGEREF _Toc227532700 \h </w:instrText>
            </w:r>
            <w:r>
              <w:rPr>
                <w:noProof/>
                <w:webHidden/>
              </w:rPr>
            </w:r>
            <w:r>
              <w:rPr>
                <w:noProof/>
                <w:webHidden/>
              </w:rPr>
              <w:fldChar w:fldCharType="separate"/>
            </w:r>
            <w:r w:rsidR="003E271E">
              <w:rPr>
                <w:noProof/>
                <w:webHidden/>
              </w:rPr>
              <w:t>10</w:t>
            </w:r>
            <w:r>
              <w:rPr>
                <w:noProof/>
                <w:webHidden/>
              </w:rPr>
              <w:fldChar w:fldCharType="end"/>
            </w:r>
          </w:hyperlink>
        </w:p>
        <w:p w14:paraId="733BA82D" w14:textId="2794B0E2" w:rsidR="000B7B09" w:rsidRDefault="000B7B09">
          <w:pPr>
            <w:pStyle w:val="TOC3"/>
            <w:tabs>
              <w:tab w:val="left" w:pos="1440"/>
              <w:tab w:val="right" w:leader="dot" w:pos="9016"/>
            </w:tabs>
            <w:rPr>
              <w:noProof/>
            </w:rPr>
          </w:pPr>
          <w:hyperlink w:anchor="_Toc227532701" w:history="1">
            <w:r w:rsidRPr="00A12526">
              <w:rPr>
                <w:rStyle w:val="Hyperlink"/>
                <w:rFonts w:ascii="Times New Roman" w:eastAsia="Times New Roman" w:hAnsi="Times New Roman" w:cs="Times New Roman"/>
                <w:noProof/>
              </w:rPr>
              <w:t>4.2.4</w:t>
            </w:r>
            <w:r>
              <w:rPr>
                <w:noProof/>
              </w:rPr>
              <w:tab/>
            </w:r>
            <w:r w:rsidRPr="00A12526">
              <w:rPr>
                <w:rStyle w:val="Hyperlink"/>
                <w:rFonts w:ascii="Times New Roman" w:eastAsia="Times New Roman" w:hAnsi="Times New Roman" w:cs="Times New Roman"/>
                <w:noProof/>
              </w:rPr>
              <w:t>Technological Factors</w:t>
            </w:r>
            <w:r>
              <w:rPr>
                <w:noProof/>
                <w:webHidden/>
              </w:rPr>
              <w:tab/>
            </w:r>
            <w:r>
              <w:rPr>
                <w:noProof/>
                <w:webHidden/>
              </w:rPr>
              <w:fldChar w:fldCharType="begin"/>
            </w:r>
            <w:r>
              <w:rPr>
                <w:noProof/>
                <w:webHidden/>
              </w:rPr>
              <w:instrText xml:space="preserve"> PAGEREF _Toc227532701 \h </w:instrText>
            </w:r>
            <w:r>
              <w:rPr>
                <w:noProof/>
                <w:webHidden/>
              </w:rPr>
            </w:r>
            <w:r>
              <w:rPr>
                <w:noProof/>
                <w:webHidden/>
              </w:rPr>
              <w:fldChar w:fldCharType="separate"/>
            </w:r>
            <w:r w:rsidR="003E271E">
              <w:rPr>
                <w:noProof/>
                <w:webHidden/>
              </w:rPr>
              <w:t>11</w:t>
            </w:r>
            <w:r>
              <w:rPr>
                <w:noProof/>
                <w:webHidden/>
              </w:rPr>
              <w:fldChar w:fldCharType="end"/>
            </w:r>
          </w:hyperlink>
        </w:p>
        <w:p w14:paraId="52AFBF95" w14:textId="1038FCD0" w:rsidR="000B7B09" w:rsidRDefault="000B7B09">
          <w:pPr>
            <w:pStyle w:val="TOC3"/>
            <w:tabs>
              <w:tab w:val="left" w:pos="1440"/>
              <w:tab w:val="right" w:leader="dot" w:pos="9016"/>
            </w:tabs>
            <w:rPr>
              <w:noProof/>
            </w:rPr>
          </w:pPr>
          <w:hyperlink w:anchor="_Toc227532702" w:history="1">
            <w:r w:rsidRPr="00A12526">
              <w:rPr>
                <w:rStyle w:val="Hyperlink"/>
                <w:rFonts w:ascii="Times New Roman" w:eastAsia="Times New Roman" w:hAnsi="Times New Roman" w:cs="Times New Roman"/>
                <w:noProof/>
              </w:rPr>
              <w:t>4.2.5</w:t>
            </w:r>
            <w:r>
              <w:rPr>
                <w:noProof/>
              </w:rPr>
              <w:tab/>
            </w:r>
            <w:r w:rsidRPr="00A12526">
              <w:rPr>
                <w:rStyle w:val="Hyperlink"/>
                <w:rFonts w:ascii="Times New Roman" w:eastAsia="Times New Roman" w:hAnsi="Times New Roman" w:cs="Times New Roman"/>
                <w:noProof/>
              </w:rPr>
              <w:t>Legal Factors</w:t>
            </w:r>
            <w:r>
              <w:rPr>
                <w:noProof/>
                <w:webHidden/>
              </w:rPr>
              <w:tab/>
            </w:r>
            <w:r>
              <w:rPr>
                <w:noProof/>
                <w:webHidden/>
              </w:rPr>
              <w:fldChar w:fldCharType="begin"/>
            </w:r>
            <w:r>
              <w:rPr>
                <w:noProof/>
                <w:webHidden/>
              </w:rPr>
              <w:instrText xml:space="preserve"> PAGEREF _Toc227532702 \h </w:instrText>
            </w:r>
            <w:r>
              <w:rPr>
                <w:noProof/>
                <w:webHidden/>
              </w:rPr>
            </w:r>
            <w:r>
              <w:rPr>
                <w:noProof/>
                <w:webHidden/>
              </w:rPr>
              <w:fldChar w:fldCharType="separate"/>
            </w:r>
            <w:r w:rsidR="003E271E">
              <w:rPr>
                <w:noProof/>
                <w:webHidden/>
              </w:rPr>
              <w:t>12</w:t>
            </w:r>
            <w:r>
              <w:rPr>
                <w:noProof/>
                <w:webHidden/>
              </w:rPr>
              <w:fldChar w:fldCharType="end"/>
            </w:r>
          </w:hyperlink>
        </w:p>
        <w:p w14:paraId="3B558D13" w14:textId="4F9D3368" w:rsidR="000B7B09" w:rsidRDefault="000B7B09">
          <w:pPr>
            <w:pStyle w:val="TOC3"/>
            <w:tabs>
              <w:tab w:val="left" w:pos="1440"/>
              <w:tab w:val="right" w:leader="dot" w:pos="9016"/>
            </w:tabs>
            <w:rPr>
              <w:noProof/>
            </w:rPr>
          </w:pPr>
          <w:hyperlink w:anchor="_Toc227532703" w:history="1">
            <w:r w:rsidRPr="00A12526">
              <w:rPr>
                <w:rStyle w:val="Hyperlink"/>
                <w:rFonts w:ascii="Times New Roman" w:eastAsia="Times New Roman" w:hAnsi="Times New Roman" w:cs="Times New Roman"/>
                <w:noProof/>
              </w:rPr>
              <w:t>4.2.6</w:t>
            </w:r>
            <w:r>
              <w:rPr>
                <w:noProof/>
              </w:rPr>
              <w:tab/>
            </w:r>
            <w:r w:rsidRPr="00A12526">
              <w:rPr>
                <w:rStyle w:val="Hyperlink"/>
                <w:rFonts w:ascii="Times New Roman" w:eastAsia="Times New Roman" w:hAnsi="Times New Roman" w:cs="Times New Roman"/>
                <w:noProof/>
              </w:rPr>
              <w:t>Environmental Factors</w:t>
            </w:r>
            <w:r>
              <w:rPr>
                <w:noProof/>
                <w:webHidden/>
              </w:rPr>
              <w:tab/>
            </w:r>
            <w:r>
              <w:rPr>
                <w:noProof/>
                <w:webHidden/>
              </w:rPr>
              <w:fldChar w:fldCharType="begin"/>
            </w:r>
            <w:r>
              <w:rPr>
                <w:noProof/>
                <w:webHidden/>
              </w:rPr>
              <w:instrText xml:space="preserve"> PAGEREF _Toc227532703 \h </w:instrText>
            </w:r>
            <w:r>
              <w:rPr>
                <w:noProof/>
                <w:webHidden/>
              </w:rPr>
            </w:r>
            <w:r>
              <w:rPr>
                <w:noProof/>
                <w:webHidden/>
              </w:rPr>
              <w:fldChar w:fldCharType="separate"/>
            </w:r>
            <w:r w:rsidR="003E271E">
              <w:rPr>
                <w:noProof/>
                <w:webHidden/>
              </w:rPr>
              <w:t>13</w:t>
            </w:r>
            <w:r>
              <w:rPr>
                <w:noProof/>
                <w:webHidden/>
              </w:rPr>
              <w:fldChar w:fldCharType="end"/>
            </w:r>
          </w:hyperlink>
        </w:p>
        <w:p w14:paraId="5C11D27D" w14:textId="4E4E5DAB" w:rsidR="000B7B09" w:rsidRDefault="000B7B09">
          <w:pPr>
            <w:pStyle w:val="TOC2"/>
            <w:tabs>
              <w:tab w:val="left" w:pos="960"/>
              <w:tab w:val="right" w:leader="dot" w:pos="9016"/>
            </w:tabs>
            <w:rPr>
              <w:noProof/>
            </w:rPr>
          </w:pPr>
          <w:hyperlink w:anchor="_Toc227532704" w:history="1">
            <w:r w:rsidRPr="00A12526">
              <w:rPr>
                <w:rStyle w:val="Hyperlink"/>
                <w:rFonts w:ascii="Times New Roman" w:eastAsia="Times New Roman" w:hAnsi="Times New Roman" w:cs="Times New Roman"/>
                <w:noProof/>
              </w:rPr>
              <w:t>4.3</w:t>
            </w:r>
            <w:r>
              <w:rPr>
                <w:noProof/>
              </w:rPr>
              <w:tab/>
            </w:r>
            <w:r w:rsidRPr="00A12526">
              <w:rPr>
                <w:rStyle w:val="Hyperlink"/>
                <w:rFonts w:ascii="Times New Roman" w:eastAsia="Times New Roman" w:hAnsi="Times New Roman" w:cs="Times New Roman"/>
                <w:noProof/>
              </w:rPr>
              <w:t>Evaluation of Overall Market Attractiveness for Stripe</w:t>
            </w:r>
            <w:r>
              <w:rPr>
                <w:noProof/>
                <w:webHidden/>
              </w:rPr>
              <w:tab/>
            </w:r>
            <w:r>
              <w:rPr>
                <w:noProof/>
                <w:webHidden/>
              </w:rPr>
              <w:fldChar w:fldCharType="begin"/>
            </w:r>
            <w:r>
              <w:rPr>
                <w:noProof/>
                <w:webHidden/>
              </w:rPr>
              <w:instrText xml:space="preserve"> PAGEREF _Toc227532704 \h </w:instrText>
            </w:r>
            <w:r>
              <w:rPr>
                <w:noProof/>
                <w:webHidden/>
              </w:rPr>
            </w:r>
            <w:r>
              <w:rPr>
                <w:noProof/>
                <w:webHidden/>
              </w:rPr>
              <w:fldChar w:fldCharType="separate"/>
            </w:r>
            <w:r w:rsidR="003E271E">
              <w:rPr>
                <w:noProof/>
                <w:webHidden/>
              </w:rPr>
              <w:t>13</w:t>
            </w:r>
            <w:r>
              <w:rPr>
                <w:noProof/>
                <w:webHidden/>
              </w:rPr>
              <w:fldChar w:fldCharType="end"/>
            </w:r>
          </w:hyperlink>
        </w:p>
        <w:p w14:paraId="32C4F547" w14:textId="6AE3BFE9" w:rsidR="000B7B09" w:rsidRDefault="000B7B09">
          <w:pPr>
            <w:pStyle w:val="TOC1"/>
            <w:tabs>
              <w:tab w:val="left" w:pos="440"/>
              <w:tab w:val="right" w:leader="dot" w:pos="9016"/>
            </w:tabs>
            <w:rPr>
              <w:noProof/>
            </w:rPr>
          </w:pPr>
          <w:hyperlink w:anchor="_Toc227532705" w:history="1">
            <w:r w:rsidRPr="00A12526">
              <w:rPr>
                <w:rStyle w:val="Hyperlink"/>
                <w:rFonts w:ascii="Times New Roman" w:eastAsia="Times New Roman" w:hAnsi="Times New Roman" w:cs="Times New Roman"/>
                <w:noProof/>
              </w:rPr>
              <w:t>5</w:t>
            </w:r>
            <w:r>
              <w:rPr>
                <w:noProof/>
              </w:rPr>
              <w:tab/>
            </w:r>
            <w:r w:rsidRPr="00A12526">
              <w:rPr>
                <w:rStyle w:val="Hyperlink"/>
                <w:rFonts w:ascii="Times New Roman" w:eastAsia="Times New Roman" w:hAnsi="Times New Roman" w:cs="Times New Roman"/>
                <w:noProof/>
              </w:rPr>
              <w:t>Conclusion</w:t>
            </w:r>
            <w:r>
              <w:rPr>
                <w:noProof/>
                <w:webHidden/>
              </w:rPr>
              <w:tab/>
            </w:r>
            <w:r>
              <w:rPr>
                <w:noProof/>
                <w:webHidden/>
              </w:rPr>
              <w:fldChar w:fldCharType="begin"/>
            </w:r>
            <w:r>
              <w:rPr>
                <w:noProof/>
                <w:webHidden/>
              </w:rPr>
              <w:instrText xml:space="preserve"> PAGEREF _Toc227532705 \h </w:instrText>
            </w:r>
            <w:r>
              <w:rPr>
                <w:noProof/>
                <w:webHidden/>
              </w:rPr>
            </w:r>
            <w:r>
              <w:rPr>
                <w:noProof/>
                <w:webHidden/>
              </w:rPr>
              <w:fldChar w:fldCharType="separate"/>
            </w:r>
            <w:r w:rsidR="003E271E">
              <w:rPr>
                <w:noProof/>
                <w:webHidden/>
              </w:rPr>
              <w:t>14</w:t>
            </w:r>
            <w:r>
              <w:rPr>
                <w:noProof/>
                <w:webHidden/>
              </w:rPr>
              <w:fldChar w:fldCharType="end"/>
            </w:r>
          </w:hyperlink>
        </w:p>
        <w:p w14:paraId="490285E6" w14:textId="29285AF6" w:rsidR="000B7B09" w:rsidRDefault="000B7B09">
          <w:pPr>
            <w:pStyle w:val="TOC1"/>
            <w:tabs>
              <w:tab w:val="right" w:leader="dot" w:pos="9016"/>
            </w:tabs>
            <w:rPr>
              <w:noProof/>
            </w:rPr>
          </w:pPr>
          <w:hyperlink w:anchor="_Toc227532706" w:history="1">
            <w:r w:rsidRPr="00A12526">
              <w:rPr>
                <w:rStyle w:val="Hyperlink"/>
                <w:rFonts w:ascii="Times New Roman" w:eastAsia="Times New Roman" w:hAnsi="Times New Roman" w:cs="Times New Roman"/>
                <w:noProof/>
              </w:rPr>
              <w:t>SECTION 2: REFLECTIVE ACCOUNT (GIBBS' REFLECTIVE CYCLE)</w:t>
            </w:r>
            <w:r>
              <w:rPr>
                <w:noProof/>
                <w:webHidden/>
              </w:rPr>
              <w:tab/>
            </w:r>
            <w:r>
              <w:rPr>
                <w:noProof/>
                <w:webHidden/>
              </w:rPr>
              <w:fldChar w:fldCharType="begin"/>
            </w:r>
            <w:r>
              <w:rPr>
                <w:noProof/>
                <w:webHidden/>
              </w:rPr>
              <w:instrText xml:space="preserve"> PAGEREF _Toc227532706 \h </w:instrText>
            </w:r>
            <w:r>
              <w:rPr>
                <w:noProof/>
                <w:webHidden/>
              </w:rPr>
            </w:r>
            <w:r>
              <w:rPr>
                <w:noProof/>
                <w:webHidden/>
              </w:rPr>
              <w:fldChar w:fldCharType="separate"/>
            </w:r>
            <w:r w:rsidR="003E271E">
              <w:rPr>
                <w:noProof/>
                <w:webHidden/>
              </w:rPr>
              <w:t>15</w:t>
            </w:r>
            <w:r>
              <w:rPr>
                <w:noProof/>
                <w:webHidden/>
              </w:rPr>
              <w:fldChar w:fldCharType="end"/>
            </w:r>
          </w:hyperlink>
        </w:p>
        <w:p w14:paraId="00D7B1FC" w14:textId="1C4420E3" w:rsidR="000B7B09" w:rsidRDefault="000B7B09">
          <w:pPr>
            <w:pStyle w:val="TOC1"/>
            <w:tabs>
              <w:tab w:val="left" w:pos="440"/>
              <w:tab w:val="right" w:leader="dot" w:pos="9016"/>
            </w:tabs>
            <w:rPr>
              <w:noProof/>
            </w:rPr>
          </w:pPr>
          <w:hyperlink w:anchor="_Toc227532707" w:history="1">
            <w:r w:rsidRPr="00A12526">
              <w:rPr>
                <w:rStyle w:val="Hyperlink"/>
                <w:rFonts w:ascii="Times New Roman" w:eastAsia="Times New Roman" w:hAnsi="Times New Roman" w:cs="Times New Roman"/>
                <w:noProof/>
              </w:rPr>
              <w:t>6</w:t>
            </w:r>
            <w:r>
              <w:rPr>
                <w:noProof/>
              </w:rPr>
              <w:tab/>
            </w:r>
            <w:r w:rsidRPr="00A12526">
              <w:rPr>
                <w:rStyle w:val="Hyperlink"/>
                <w:rFonts w:ascii="Times New Roman" w:eastAsia="Times New Roman" w:hAnsi="Times New Roman" w:cs="Times New Roman"/>
                <w:noProof/>
              </w:rPr>
              <w:t>Reference List</w:t>
            </w:r>
            <w:r>
              <w:rPr>
                <w:noProof/>
                <w:webHidden/>
              </w:rPr>
              <w:tab/>
            </w:r>
            <w:r>
              <w:rPr>
                <w:noProof/>
                <w:webHidden/>
              </w:rPr>
              <w:fldChar w:fldCharType="begin"/>
            </w:r>
            <w:r>
              <w:rPr>
                <w:noProof/>
                <w:webHidden/>
              </w:rPr>
              <w:instrText xml:space="preserve"> PAGEREF _Toc227532707 \h </w:instrText>
            </w:r>
            <w:r>
              <w:rPr>
                <w:noProof/>
                <w:webHidden/>
              </w:rPr>
            </w:r>
            <w:r>
              <w:rPr>
                <w:noProof/>
                <w:webHidden/>
              </w:rPr>
              <w:fldChar w:fldCharType="separate"/>
            </w:r>
            <w:r w:rsidR="003E271E">
              <w:rPr>
                <w:noProof/>
                <w:webHidden/>
              </w:rPr>
              <w:t>19</w:t>
            </w:r>
            <w:r>
              <w:rPr>
                <w:noProof/>
                <w:webHidden/>
              </w:rPr>
              <w:fldChar w:fldCharType="end"/>
            </w:r>
          </w:hyperlink>
        </w:p>
        <w:p w14:paraId="6DD3B376" w14:textId="4B953A80" w:rsidR="000B7B09" w:rsidRDefault="000B7B09">
          <w:pPr>
            <w:pStyle w:val="TOC1"/>
            <w:tabs>
              <w:tab w:val="left" w:pos="440"/>
              <w:tab w:val="right" w:leader="dot" w:pos="9016"/>
            </w:tabs>
            <w:rPr>
              <w:noProof/>
            </w:rPr>
          </w:pPr>
          <w:hyperlink w:anchor="_Toc227532708" w:history="1">
            <w:r w:rsidRPr="00A12526">
              <w:rPr>
                <w:rStyle w:val="Hyperlink"/>
                <w:rFonts w:ascii="Times New Roman" w:eastAsia="Times New Roman" w:hAnsi="Times New Roman" w:cs="Times New Roman"/>
                <w:noProof/>
              </w:rPr>
              <w:t>7</w:t>
            </w:r>
            <w:r>
              <w:rPr>
                <w:noProof/>
              </w:rPr>
              <w:tab/>
            </w:r>
            <w:r w:rsidRPr="00A12526">
              <w:rPr>
                <w:rStyle w:val="Hyperlink"/>
                <w:rFonts w:ascii="Times New Roman" w:eastAsia="Times New Roman" w:hAnsi="Times New Roman" w:cs="Times New Roman"/>
                <w:noProof/>
              </w:rPr>
              <w:t>APPENDICES</w:t>
            </w:r>
            <w:r>
              <w:rPr>
                <w:noProof/>
                <w:webHidden/>
              </w:rPr>
              <w:tab/>
            </w:r>
            <w:r>
              <w:rPr>
                <w:noProof/>
                <w:webHidden/>
              </w:rPr>
              <w:fldChar w:fldCharType="begin"/>
            </w:r>
            <w:r>
              <w:rPr>
                <w:noProof/>
                <w:webHidden/>
              </w:rPr>
              <w:instrText xml:space="preserve"> PAGEREF _Toc227532708 \h </w:instrText>
            </w:r>
            <w:r>
              <w:rPr>
                <w:noProof/>
                <w:webHidden/>
              </w:rPr>
            </w:r>
            <w:r>
              <w:rPr>
                <w:noProof/>
                <w:webHidden/>
              </w:rPr>
              <w:fldChar w:fldCharType="separate"/>
            </w:r>
            <w:r w:rsidR="003E271E">
              <w:rPr>
                <w:noProof/>
                <w:webHidden/>
              </w:rPr>
              <w:t>24</w:t>
            </w:r>
            <w:r>
              <w:rPr>
                <w:noProof/>
                <w:webHidden/>
              </w:rPr>
              <w:fldChar w:fldCharType="end"/>
            </w:r>
          </w:hyperlink>
        </w:p>
        <w:p w14:paraId="6D98A86E" w14:textId="02EEB601" w:rsidR="000B7B09" w:rsidRDefault="000B7B09">
          <w:pPr>
            <w:pStyle w:val="TOC2"/>
            <w:tabs>
              <w:tab w:val="right" w:leader="dot" w:pos="9016"/>
            </w:tabs>
            <w:rPr>
              <w:noProof/>
            </w:rPr>
          </w:pPr>
          <w:hyperlink w:anchor="_Toc227532709" w:history="1">
            <w:r w:rsidRPr="00A12526">
              <w:rPr>
                <w:rStyle w:val="Hyperlink"/>
                <w:rFonts w:ascii="Times New Roman" w:eastAsia="Times New Roman" w:hAnsi="Times New Roman" w:cs="Times New Roman"/>
                <w:noProof/>
              </w:rPr>
              <w:t>Appendix 1: The UK FinTech Market Growth Projection (2024–2031)</w:t>
            </w:r>
            <w:r>
              <w:rPr>
                <w:noProof/>
                <w:webHidden/>
              </w:rPr>
              <w:tab/>
            </w:r>
            <w:r>
              <w:rPr>
                <w:noProof/>
                <w:webHidden/>
              </w:rPr>
              <w:fldChar w:fldCharType="begin"/>
            </w:r>
            <w:r>
              <w:rPr>
                <w:noProof/>
                <w:webHidden/>
              </w:rPr>
              <w:instrText xml:space="preserve"> PAGEREF _Toc227532709 \h </w:instrText>
            </w:r>
            <w:r>
              <w:rPr>
                <w:noProof/>
                <w:webHidden/>
              </w:rPr>
            </w:r>
            <w:r>
              <w:rPr>
                <w:noProof/>
                <w:webHidden/>
              </w:rPr>
              <w:fldChar w:fldCharType="separate"/>
            </w:r>
            <w:r w:rsidR="003E271E">
              <w:rPr>
                <w:noProof/>
                <w:webHidden/>
              </w:rPr>
              <w:t>24</w:t>
            </w:r>
            <w:r>
              <w:rPr>
                <w:noProof/>
                <w:webHidden/>
              </w:rPr>
              <w:fldChar w:fldCharType="end"/>
            </w:r>
          </w:hyperlink>
        </w:p>
        <w:p w14:paraId="1482855D" w14:textId="28D91BCD" w:rsidR="000B7B09" w:rsidRDefault="000B7B09">
          <w:pPr>
            <w:pStyle w:val="TOC2"/>
            <w:tabs>
              <w:tab w:val="right" w:leader="dot" w:pos="9016"/>
            </w:tabs>
            <w:rPr>
              <w:noProof/>
            </w:rPr>
          </w:pPr>
          <w:hyperlink w:anchor="_Toc227532710" w:history="1">
            <w:r w:rsidRPr="00A12526">
              <w:rPr>
                <w:rStyle w:val="Hyperlink"/>
                <w:rFonts w:ascii="Times New Roman" w:eastAsia="Times New Roman" w:hAnsi="Times New Roman" w:cs="Times New Roman"/>
                <w:noProof/>
              </w:rPr>
              <w:t>Appendix 2: Porter’s Diamond Model Application: UK FinTech Summary</w:t>
            </w:r>
            <w:r>
              <w:rPr>
                <w:noProof/>
                <w:webHidden/>
              </w:rPr>
              <w:tab/>
            </w:r>
            <w:r>
              <w:rPr>
                <w:noProof/>
                <w:webHidden/>
              </w:rPr>
              <w:fldChar w:fldCharType="begin"/>
            </w:r>
            <w:r>
              <w:rPr>
                <w:noProof/>
                <w:webHidden/>
              </w:rPr>
              <w:instrText xml:space="preserve"> PAGEREF _Toc227532710 \h </w:instrText>
            </w:r>
            <w:r>
              <w:rPr>
                <w:noProof/>
                <w:webHidden/>
              </w:rPr>
            </w:r>
            <w:r>
              <w:rPr>
                <w:noProof/>
                <w:webHidden/>
              </w:rPr>
              <w:fldChar w:fldCharType="separate"/>
            </w:r>
            <w:r w:rsidR="003E271E">
              <w:rPr>
                <w:noProof/>
                <w:webHidden/>
              </w:rPr>
              <w:t>24</w:t>
            </w:r>
            <w:r>
              <w:rPr>
                <w:noProof/>
                <w:webHidden/>
              </w:rPr>
              <w:fldChar w:fldCharType="end"/>
            </w:r>
          </w:hyperlink>
        </w:p>
        <w:p w14:paraId="6E430EEF" w14:textId="7051BF00" w:rsidR="000B7B09" w:rsidRDefault="000B7B09">
          <w:pPr>
            <w:pStyle w:val="TOC2"/>
            <w:tabs>
              <w:tab w:val="right" w:leader="dot" w:pos="9016"/>
            </w:tabs>
            <w:rPr>
              <w:noProof/>
            </w:rPr>
          </w:pPr>
          <w:hyperlink w:anchor="_Toc227532711" w:history="1">
            <w:r w:rsidRPr="00A12526">
              <w:rPr>
                <w:rStyle w:val="Hyperlink"/>
                <w:rFonts w:ascii="Times New Roman" w:eastAsia="Times New Roman" w:hAnsi="Times New Roman" w:cs="Times New Roman"/>
                <w:noProof/>
              </w:rPr>
              <w:t>Appendix 3: Comparative Analysis of Leading Payment Service Providers (PSPs) in the UK</w:t>
            </w:r>
            <w:r>
              <w:rPr>
                <w:noProof/>
                <w:webHidden/>
              </w:rPr>
              <w:tab/>
            </w:r>
            <w:r>
              <w:rPr>
                <w:noProof/>
                <w:webHidden/>
              </w:rPr>
              <w:fldChar w:fldCharType="begin"/>
            </w:r>
            <w:r>
              <w:rPr>
                <w:noProof/>
                <w:webHidden/>
              </w:rPr>
              <w:instrText xml:space="preserve"> PAGEREF _Toc227532711 \h </w:instrText>
            </w:r>
            <w:r>
              <w:rPr>
                <w:noProof/>
                <w:webHidden/>
              </w:rPr>
            </w:r>
            <w:r>
              <w:rPr>
                <w:noProof/>
                <w:webHidden/>
              </w:rPr>
              <w:fldChar w:fldCharType="separate"/>
            </w:r>
            <w:r w:rsidR="003E271E">
              <w:rPr>
                <w:noProof/>
                <w:webHidden/>
              </w:rPr>
              <w:t>25</w:t>
            </w:r>
            <w:r>
              <w:rPr>
                <w:noProof/>
                <w:webHidden/>
              </w:rPr>
              <w:fldChar w:fldCharType="end"/>
            </w:r>
          </w:hyperlink>
        </w:p>
        <w:p w14:paraId="1DA0D1F9" w14:textId="67F6F3F3" w:rsidR="000B7B09" w:rsidRDefault="000B7B09">
          <w:pPr>
            <w:pStyle w:val="TOC2"/>
            <w:tabs>
              <w:tab w:val="right" w:leader="dot" w:pos="9016"/>
            </w:tabs>
            <w:rPr>
              <w:noProof/>
            </w:rPr>
          </w:pPr>
          <w:hyperlink w:anchor="_Toc227532712" w:history="1">
            <w:r w:rsidRPr="00A12526">
              <w:rPr>
                <w:rStyle w:val="Hyperlink"/>
                <w:rFonts w:ascii="Times New Roman" w:eastAsia="Times New Roman" w:hAnsi="Times New Roman" w:cs="Times New Roman"/>
                <w:noProof/>
              </w:rPr>
              <w:t>Appendix 4: Geographic Distribution of UK FinTech Innovation Clusters</w:t>
            </w:r>
            <w:r>
              <w:rPr>
                <w:noProof/>
                <w:webHidden/>
              </w:rPr>
              <w:tab/>
            </w:r>
            <w:r>
              <w:rPr>
                <w:noProof/>
                <w:webHidden/>
              </w:rPr>
              <w:fldChar w:fldCharType="begin"/>
            </w:r>
            <w:r>
              <w:rPr>
                <w:noProof/>
                <w:webHidden/>
              </w:rPr>
              <w:instrText xml:space="preserve"> PAGEREF _Toc227532712 \h </w:instrText>
            </w:r>
            <w:r>
              <w:rPr>
                <w:noProof/>
                <w:webHidden/>
              </w:rPr>
            </w:r>
            <w:r>
              <w:rPr>
                <w:noProof/>
                <w:webHidden/>
              </w:rPr>
              <w:fldChar w:fldCharType="separate"/>
            </w:r>
            <w:r w:rsidR="003E271E">
              <w:rPr>
                <w:noProof/>
                <w:webHidden/>
              </w:rPr>
              <w:t>25</w:t>
            </w:r>
            <w:r>
              <w:rPr>
                <w:noProof/>
                <w:webHidden/>
              </w:rPr>
              <w:fldChar w:fldCharType="end"/>
            </w:r>
          </w:hyperlink>
        </w:p>
        <w:p w14:paraId="5754E131" w14:textId="3DA40DB5" w:rsidR="00D02E93" w:rsidRDefault="00D02E93" w:rsidP="00D02E93">
          <w:pPr>
            <w:spacing w:line="360" w:lineRule="auto"/>
            <w:rPr>
              <w:rFonts w:ascii="Times New Roman" w:eastAsia="Times New Roman" w:hAnsi="Times New Roman" w:cs="Times New Roman"/>
              <w:sz w:val="24"/>
              <w:szCs w:val="24"/>
            </w:rPr>
          </w:pPr>
          <w:r>
            <w:fldChar w:fldCharType="end"/>
          </w:r>
        </w:p>
      </w:sdtContent>
    </w:sdt>
    <w:p w14:paraId="6E4FEDAA" w14:textId="77777777" w:rsidR="00D02E93" w:rsidRDefault="00D02E93" w:rsidP="00D02E93">
      <w:pPr>
        <w:spacing w:line="360" w:lineRule="auto"/>
        <w:rPr>
          <w:rFonts w:ascii="Times New Roman" w:eastAsia="Times New Roman" w:hAnsi="Times New Roman" w:cs="Times New Roman"/>
          <w:b/>
          <w:bCs/>
          <w:sz w:val="24"/>
          <w:szCs w:val="24"/>
        </w:rPr>
      </w:pPr>
    </w:p>
    <w:p w14:paraId="0B5D7CEF" w14:textId="77777777" w:rsidR="00D02E93" w:rsidRDefault="00D02E93" w:rsidP="00D02E93">
      <w:pPr>
        <w:spacing w:line="360" w:lineRule="auto"/>
        <w:rPr>
          <w:rFonts w:ascii="Times New Roman" w:eastAsia="Times New Roman" w:hAnsi="Times New Roman" w:cs="Times New Roman"/>
          <w:b/>
          <w:bCs/>
          <w:sz w:val="24"/>
          <w:szCs w:val="24"/>
        </w:rPr>
      </w:pPr>
    </w:p>
    <w:p w14:paraId="17E063CC" w14:textId="77777777" w:rsidR="00D02E93" w:rsidRDefault="00D02E93" w:rsidP="00D02E93">
      <w:pPr>
        <w:pStyle w:val="Heading1"/>
        <w:spacing w:line="360" w:lineRule="auto"/>
        <w:rPr>
          <w:rFonts w:ascii="Times New Roman" w:eastAsia="Times New Roman" w:hAnsi="Times New Roman" w:cs="Times New Roman"/>
        </w:rPr>
      </w:pPr>
      <w:bookmarkStart w:id="1" w:name="_Toc227532684"/>
      <w:r>
        <w:rPr>
          <w:rFonts w:ascii="Times New Roman" w:eastAsia="Times New Roman" w:hAnsi="Times New Roman" w:cs="Times New Roman"/>
        </w:rPr>
        <w:lastRenderedPageBreak/>
        <w:t>SECTION 1: INTERNATIONAL INDUSTRY AND BUSINESS REPORT</w:t>
      </w:r>
      <w:bookmarkEnd w:id="1"/>
    </w:p>
    <w:p w14:paraId="16615850" w14:textId="77777777" w:rsidR="00D02E93" w:rsidRDefault="00D02E93" w:rsidP="00D02E93">
      <w:pPr>
        <w:pStyle w:val="Heading1"/>
        <w:numPr>
          <w:ilvl w:val="0"/>
          <w:numId w:val="1"/>
        </w:numPr>
        <w:spacing w:line="360" w:lineRule="auto"/>
        <w:rPr>
          <w:rFonts w:ascii="Times New Roman" w:eastAsia="Times New Roman" w:hAnsi="Times New Roman" w:cs="Times New Roman"/>
        </w:rPr>
      </w:pPr>
      <w:bookmarkStart w:id="2" w:name="_Toc227532685"/>
      <w:r>
        <w:rPr>
          <w:rFonts w:ascii="Times New Roman" w:eastAsia="Times New Roman" w:hAnsi="Times New Roman" w:cs="Times New Roman"/>
        </w:rPr>
        <w:t>Introduction</w:t>
      </w:r>
      <w:bookmarkEnd w:id="2"/>
    </w:p>
    <w:p w14:paraId="2F85A851" w14:textId="77777777" w:rsidR="00D02E93" w:rsidRDefault="00D02E93" w:rsidP="00084C31">
      <w:pPr>
        <w:spacing w:line="360" w:lineRule="auto"/>
        <w:ind w:firstLine="4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FinTech has transformed conventional finance through the integration of innovative technology architecture and the provision of financial services (Arner, Barberis and Buckley, 2015) successfully redefining values management globally (Schueffel, 2016; Chemmanur et al., 2023). The report takes a critical approach to the existing state of the UK FinTech industry, which is one of the most influential global ecosystems (Varga, 2017) with a progressive regulation framework and a long history of finance introducing the interests of local innovators and multinational corporations (Zavolokina, Dolata and Schwabe, 2016). First, the report gives an overview of the industry on its sectoral coverage and domestic positioning. Subsequent, Porter's Diamond Model (Porter, 1990) is exerted to measure the UK international competitiveness. Then the analytical case studies Stripe Inc., a large US multinational tech firm, assessing some of the most important macroeconomic factors in terms of a PESTLE framework (Peng, 2014). Finally, the report draws together the strategic foreign direct investment (FDI) implications for the UK FinTech sector.</w:t>
      </w:r>
    </w:p>
    <w:p w14:paraId="3596E832" w14:textId="77777777" w:rsidR="00D02E93" w:rsidRDefault="00D02E93" w:rsidP="00D02E93">
      <w:pPr>
        <w:pStyle w:val="Heading1"/>
        <w:numPr>
          <w:ilvl w:val="0"/>
          <w:numId w:val="1"/>
        </w:numPr>
        <w:spacing w:line="360" w:lineRule="auto"/>
        <w:rPr>
          <w:rFonts w:ascii="Times New Roman" w:eastAsia="Times New Roman" w:hAnsi="Times New Roman" w:cs="Times New Roman"/>
        </w:rPr>
      </w:pPr>
      <w:bookmarkStart w:id="3" w:name="_Toc227532686"/>
      <w:r>
        <w:rPr>
          <w:rFonts w:ascii="Times New Roman" w:eastAsia="Times New Roman" w:hAnsi="Times New Roman" w:cs="Times New Roman"/>
        </w:rPr>
        <w:t>Industry and Country Overview</w:t>
      </w:r>
      <w:bookmarkEnd w:id="3"/>
    </w:p>
    <w:p w14:paraId="7956858D"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4" w:name="_Toc227532687"/>
      <w:r>
        <w:rPr>
          <w:rFonts w:ascii="Times New Roman" w:eastAsia="Times New Roman" w:hAnsi="Times New Roman" w:cs="Times New Roman"/>
        </w:rPr>
        <w:t>The UK FinTech Context, Size, and Scope</w:t>
      </w:r>
      <w:bookmarkEnd w:id="4"/>
    </w:p>
    <w:p w14:paraId="074E65B1" w14:textId="77777777" w:rsidR="00D02E93" w:rsidRDefault="00D02E93" w:rsidP="00817A5F">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Kingdom is internationally accepted as the unquestioned FinTech center of Europe and a major hub worldwide, with an extremely competitive position along with the United States and Singapore (Kalifa, 2021; City of London Corporation, 2020). The UK FinTech sector is extensive and highly diversified and includes sub-sectors like digital payments, neobanking (challenger banks), wealthtech, insurtech, alternative lending, and blockchain technology (Gomber et al., 2018; Deloitte, 2021). </w:t>
      </w:r>
    </w:p>
    <w:p w14:paraId="659FE754" w14:textId="77777777" w:rsidR="00D02E93" w:rsidRDefault="00D02E93" w:rsidP="00817A5F">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Economically, the sector is a mainstay of the modern industrial strategy of the UK (HM Government, 2025). Recent market analyses put the size of the UK FinTech market at around $11.9 billion in 2024 with forecasts pointing to a compound annual growth rate (CAGR) of more than 14% which can reach a vast $45.6 billion by the early 2030s (see Appendix 1 for </w:t>
      </w:r>
      <w:r>
        <w:rPr>
          <w:rFonts w:ascii="Times New Roman" w:eastAsia="Times New Roman" w:hAnsi="Times New Roman" w:cs="Times New Roman"/>
          <w:sz w:val="24"/>
          <w:szCs w:val="24"/>
        </w:rPr>
        <w:lastRenderedPageBreak/>
        <w:t>detailed growth projections) (IMARC Group, 2024; Mordor Intelligence, 2026; Fortune Business Insights, 2023). The industry adds revenue of over $11 billion in the UK economy and constitutes over 76,000 highly skilled employment in the country (EY, 2019; Innovate Finance, 2023). Most importantly, the FinTech adoption rate among the UK consumer population is exceptionally high, at 71% compared to the world average of 64 percent (Statista, 2023). Geographically, even though London continues to be the epicentre (comprising the majority of FinTech institutions by far Europe-wide), regional centres in Scotland, Wales, and Northern Ireland are becoming increasingly central to the national ecosystem (McKinsey &amp; Company, 2014; The Data City, 2024).</w:t>
      </w:r>
      <w:r>
        <w:t xml:space="preserve"> </w:t>
      </w:r>
      <w:r>
        <w:rPr>
          <w:rFonts w:ascii="Times New Roman" w:eastAsia="Times New Roman" w:hAnsi="Times New Roman" w:cs="Times New Roman"/>
          <w:sz w:val="24"/>
          <w:szCs w:val="24"/>
        </w:rPr>
        <w:t>The specific focus of these regional clusters is detailed in Appendix 4.</w:t>
      </w:r>
    </w:p>
    <w:p w14:paraId="427A6BEA"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Projected Growth of the UK FinTech Market (2024–2031)</w:t>
      </w:r>
    </w:p>
    <w:p w14:paraId="6D8AC726"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024F8738" wp14:editId="400327FD">
            <wp:extent cx="3610200" cy="240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10200" cy="2406800"/>
                    </a:xfrm>
                    <a:prstGeom prst="rect">
                      <a:avLst/>
                    </a:prstGeom>
                    <a:ln/>
                  </pic:spPr>
                </pic:pic>
              </a:graphicData>
            </a:graphic>
          </wp:inline>
        </w:drawing>
      </w:r>
    </w:p>
    <w:p w14:paraId="0006E02A" w14:textId="3AD0B1AB" w:rsidR="00D02E93" w:rsidRDefault="00D02E93" w:rsidP="00D40036">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structural depth of the UK FinTech market is strongly supported by the implementation of pioneering regulatory frameworks, most notably the implementation of Open Banking, through the implementation of the revised Payment Services Directive (PSD2). This requirement effectively loosened the data monopoly of established banks and gave third-party apps access to consumer data, which led to unmatched innovation in personal financial management and lending algorithms (Puschko et al., 2021). Moreover, the industry is quickly transitioning into the financial innovation becoming </w:t>
      </w:r>
      <w:r w:rsidR="00D40036">
        <w:rPr>
          <w:rFonts w:ascii="Times New Roman" w:eastAsia="Times New Roman" w:hAnsi="Times New Roman" w:cs="Times New Roman"/>
          <w:sz w:val="24"/>
          <w:szCs w:val="24"/>
        </w:rPr>
        <w:t>greener</w:t>
      </w:r>
      <w:r>
        <w:rPr>
          <w:rFonts w:ascii="Times New Roman" w:eastAsia="Times New Roman" w:hAnsi="Times New Roman" w:cs="Times New Roman"/>
          <w:sz w:val="24"/>
          <w:szCs w:val="24"/>
        </w:rPr>
        <w:t>, which corresponds to the smart objectives of the UK toward environmental, social, and governance (ESG), thus appealing to the specialized sustainable investment funds (World Bank, 2022).</w:t>
      </w:r>
    </w:p>
    <w:p w14:paraId="22D25957"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5" w:name="_Toc227532688"/>
      <w:r>
        <w:rPr>
          <w:rFonts w:ascii="Times New Roman" w:eastAsia="Times New Roman" w:hAnsi="Times New Roman" w:cs="Times New Roman"/>
        </w:rPr>
        <w:lastRenderedPageBreak/>
        <w:t>Major Domestic and Multinational Firms</w:t>
      </w:r>
      <w:bookmarkEnd w:id="5"/>
    </w:p>
    <w:p w14:paraId="7ABA2D47" w14:textId="77777777" w:rsidR="00D02E93" w:rsidRDefault="00D02E93" w:rsidP="00C43D3D">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FinTech industry has a very competitive market structure, which has a barbell pattern, with very scaled domestic champions at the top, and starting with a very large number of specialized niche startups on the long tail (KPMG, 2022).</w:t>
      </w:r>
    </w:p>
    <w:p w14:paraId="5367FFFE" w14:textId="77777777" w:rsidR="00D02E93" w:rsidRDefault="00D02E93" w:rsidP="00C43D3D">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Revolut:</w:t>
      </w:r>
      <w:r>
        <w:rPr>
          <w:rFonts w:ascii="Times New Roman" w:eastAsia="Times New Roman" w:hAnsi="Times New Roman" w:cs="Times New Roman"/>
          <w:sz w:val="24"/>
          <w:szCs w:val="24"/>
        </w:rPr>
        <w:t> Operating as a global financial "super app," Revolut is the UK's most valuable FinTech, which has had past valuations of $33 billion (FinTech Magazine, 2023). Strategically, Revolut gears itself on aggressive international expansion and extreme product diversification offering to its customers: currency exchange, cryptocurrency trading and B2B merchant service (Merchant Savvy, 2026). Securing progressive regulatory approvals has further cemented its domestic position to enable aggressive expansion via deposit funded margin expansion (FCA 2024).</w:t>
      </w:r>
    </w:p>
    <w:p w14:paraId="57D48F36" w14:textId="77777777" w:rsidR="00D02E93" w:rsidRDefault="00D02E93" w:rsidP="00C43D3D">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Monzo and Starling Bank:</w:t>
      </w:r>
      <w:r>
        <w:rPr>
          <w:rFonts w:ascii="Times New Roman" w:eastAsia="Times New Roman" w:hAnsi="Times New Roman" w:cs="Times New Roman"/>
          <w:sz w:val="24"/>
          <w:szCs w:val="24"/>
        </w:rPr>
        <w:t> These dominate the domestic US neobanking space. Monzo is an aggressive user-experience-oriented and community-driven banking firm concentrated on retail banking, in that context quickly building its user base in the country with viral marketing and customer-oriented design (Navigating the challenges of FinTech startups, 2024). Conversely, Starling Bank has significantly turned towards the very lucrative SME (Small and Medium-sized Enterprises) B2B market and Banking-as-a-Service (BaaS) infrastructure (Omega, 2024). Both Monzo and Starling are highly profitable and bet in favor of the business model of neobanking's long-term viability against legacy incumbents (Iman, 2020).</w:t>
      </w:r>
    </w:p>
    <w:p w14:paraId="1086DF97" w14:textId="77777777" w:rsidR="00D02E93" w:rsidRDefault="00D02E93" w:rsidP="00C43D3D">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critically assess the organizational positioning of these companies relative to one another, it is important to recognize the strategic retaliation by traditional financial incumbents. Legacy banks are no longer inactive; one example is multinational giants such as JPMorgan Chase entering the UK consumer market with Chase UK, with extremely competitive cashback and savings rates using massive capital reserves to arbitrage directly onto the margins of Monzo and Starling (Chemmanur et al., 2023). Moreover, strategic acquisitions are also happening in the industry, with the most recent example of JPMorgan acquiring the domestic WealthTech champion Nutmeg. This is one of the most crucial strategic transitions in which high-profile domestic FinTechs are being placed more as the target acquisitions of international MNEs seeking instantaneous technological incorporation and pre-existing digital clientele within the UK (Fatorachian, 2023).</w:t>
      </w:r>
    </w:p>
    <w:p w14:paraId="213C5696" w14:textId="77777777" w:rsidR="00D02E93" w:rsidRDefault="00D02E93" w:rsidP="00C43D3D">
      <w:pPr>
        <w:spacing w:line="360" w:lineRule="auto"/>
        <w:ind w:firstLine="4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Foreign multinationals are also fighting hard in the UK market. US giants such as Stripe, PayPal and Square (Block) have a strong hold on the B2B payment processing infrastructure, investing in immense global economies to capture UK market share (Hill and Hult, 2021; Statzon, 2025). Ultimately, while domestic companies do well at the consumer-facing application level and in the retail banking sector, foreign MNEs have a deep level of control over the underlying digital payment processing architecture (Gawer, 2014).</w:t>
      </w:r>
    </w:p>
    <w:p w14:paraId="22D26AD9" w14:textId="77777777" w:rsidR="00D02E93" w:rsidRDefault="00D02E93" w:rsidP="00D02E93">
      <w:pPr>
        <w:pStyle w:val="Heading1"/>
        <w:numPr>
          <w:ilvl w:val="0"/>
          <w:numId w:val="1"/>
        </w:numPr>
        <w:spacing w:line="360" w:lineRule="auto"/>
        <w:rPr>
          <w:rFonts w:ascii="Times New Roman" w:eastAsia="Times New Roman" w:hAnsi="Times New Roman" w:cs="Times New Roman"/>
        </w:rPr>
      </w:pPr>
      <w:bookmarkStart w:id="6" w:name="_Toc227532689"/>
      <w:r>
        <w:rPr>
          <w:rFonts w:ascii="Times New Roman" w:eastAsia="Times New Roman" w:hAnsi="Times New Roman" w:cs="Times New Roman"/>
        </w:rPr>
        <w:t>Porter’s Diamond Model of National Advantage</w:t>
      </w:r>
      <w:bookmarkEnd w:id="6"/>
    </w:p>
    <w:p w14:paraId="7D59BCB4" w14:textId="77777777" w:rsidR="00D02E93" w:rsidRDefault="00D02E93" w:rsidP="00C43D3D">
      <w:pPr>
        <w:spacing w:line="360" w:lineRule="auto"/>
        <w:ind w:firstLine="4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why the UK has built such an internationally competitive FinTech industry, an optimal analytical framework is offered by the Diamond Model presented by Michael Porter (1990; Grant 2016). The model assumes that there are four local determinants of national competitive advantage, and the factors of Government and Chance (Porter, 1998; Dunning and Lundan, 2008).</w:t>
      </w:r>
      <w:r>
        <w:t xml:space="preserve"> (</w:t>
      </w:r>
      <w:r>
        <w:rPr>
          <w:rFonts w:ascii="Times New Roman" w:eastAsia="Times New Roman" w:hAnsi="Times New Roman" w:cs="Times New Roman"/>
          <w:sz w:val="24"/>
          <w:szCs w:val="24"/>
        </w:rPr>
        <w:t>A synthesized summary of these determinants is provided in Appendix 2).</w:t>
      </w:r>
    </w:p>
    <w:p w14:paraId="76A9363B"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Porter’s Diamond Model of National Advantage applied to the UK FinTech Sector</w:t>
      </w:r>
    </w:p>
    <w:p w14:paraId="5492648D" w14:textId="77777777" w:rsidR="00D02E93" w:rsidRDefault="00D02E93" w:rsidP="00D02E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421FB0A" wp14:editId="36A88F37">
            <wp:extent cx="3400425" cy="22669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400425" cy="2266950"/>
                    </a:xfrm>
                    <a:prstGeom prst="rect">
                      <a:avLst/>
                    </a:prstGeom>
                    <a:ln/>
                  </pic:spPr>
                </pic:pic>
              </a:graphicData>
            </a:graphic>
          </wp:inline>
        </w:drawing>
      </w:r>
    </w:p>
    <w:p w14:paraId="0F285D74"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7" w:name="_Toc227532690"/>
      <w:r>
        <w:rPr>
          <w:rFonts w:ascii="Times New Roman" w:eastAsia="Times New Roman" w:hAnsi="Times New Roman" w:cs="Times New Roman"/>
        </w:rPr>
        <w:t>Factor Conditions</w:t>
      </w:r>
      <w:bookmarkEnd w:id="7"/>
    </w:p>
    <w:p w14:paraId="1A95D1A8" w14:textId="77777777" w:rsidR="00D02E93" w:rsidRDefault="00D02E93" w:rsidP="00831C33">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Factor conditions concern the location of the country in terms of factors of production to compete in a particular industry (WEF, 2016). The main strength of the UK is its rich and highly talented workforce (University of Western Ontario, 2016). Historically, London has a giant pool of old-fashioned financial professionals, which when combined with the STEM graduates of the world-class level produces a knowledge base unparalleled (Cassis, 2006; Kimber, 2023). In addition, the UK has a strong digital network and has a high-quality </w:t>
      </w:r>
      <w:r>
        <w:rPr>
          <w:rFonts w:ascii="Times New Roman" w:eastAsia="Times New Roman" w:hAnsi="Times New Roman" w:cs="Times New Roman"/>
          <w:sz w:val="24"/>
          <w:szCs w:val="24"/>
        </w:rPr>
        <w:lastRenderedPageBreak/>
        <w:t>ecosystem of venture capital that often claims more than 40%. of all venture funding in Europe in FinTech (Innovate Finance, 2023; Sarangi and Pradhan, 2021). Government-backed tax reductions like Enterprise Investment Scheme (EIS) and Seed Enterprise Investment Scheme (SEIS) support this inflow of capital structurally and actively de-risk early-stage angel investment and provide the flow of indigenous FinTech start-ups (HM Government, 2025).</w:t>
      </w:r>
    </w:p>
    <w:p w14:paraId="0098DB73"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8" w:name="_Toc227532691"/>
      <w:r>
        <w:rPr>
          <w:rFonts w:ascii="Times New Roman" w:eastAsia="Times New Roman" w:hAnsi="Times New Roman" w:cs="Times New Roman"/>
        </w:rPr>
        <w:t>Demand Conditions</w:t>
      </w:r>
      <w:bookmarkEnd w:id="8"/>
    </w:p>
    <w:p w14:paraId="03276DD9" w14:textId="77777777" w:rsidR="00D02E93" w:rsidRDefault="00D02E93" w:rsidP="00831C33">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Demand conditions at home determine the type and pattern of innovation (Porter, 1990). The UK has a very developed digitally native consumer base and has one of the highest e-commerce penetration rates in the world (Innovate Finance, 2021). The high level of domestic requirements towards a streamlined online process of checkouts, alternative lending, and digital wealth management makes the UK-based FinTechs innovate at a high pace, which allows producing products competitive on a global scale and can be exported without any problems (Lee and Shin, 2018; MARC Glocal, 2022). Along with the retail consumers, the UK has a very complex B2B demand environment. A large network of digitally transitioning SMEs requires complex, API-driven financial infrastructure, challenging emerging domestic FinTechs to build enterprise-level, scalable solutions that can act as robust proof-of-concepts before their eventual international deployments (Deloitte, 2021).</w:t>
      </w:r>
    </w:p>
    <w:p w14:paraId="1AADD19C"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9" w:name="_Toc227532692"/>
      <w:r>
        <w:rPr>
          <w:rFonts w:ascii="Times New Roman" w:eastAsia="Times New Roman" w:hAnsi="Times New Roman" w:cs="Times New Roman"/>
        </w:rPr>
        <w:t>Related and Supporting Industries</w:t>
      </w:r>
      <w:bookmarkEnd w:id="9"/>
    </w:p>
    <w:p w14:paraId="194F205B" w14:textId="77777777" w:rsidR="00D02E93" w:rsidRDefault="00D02E93" w:rsidP="00831C33">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industry must have suppliers who are competitive at the global level and other industries (Rugman and Collinson, 2012). The UK FinTech market is inseparably connected with the fact that London is one of the oldest world financial centres (Bholat, 2020). The high concentration of banks, insurance companies, legal services, and leading accounting firms worldwide offers FinTechs unprecedented opportunities in regard of access to B2B clients and niche legal advice (Fatorachian, 2023). Furthermore, the UK's flourishing cybersecurity and AI industries are important backing industries (Hussain, Jun and Radulescu, 2024). This agglomeration effect is physically achieved through specialized clusters of innovations such as Level39 in Canary Wharf, which serves as a collaboration hub where FinTech entrepreneurs meet institutional investors, regulatory consultants, and university researchers every day and exponentially accelerates the transfer of knowledge (City of London Corporation, 2020).</w:t>
      </w:r>
    </w:p>
    <w:p w14:paraId="0B99039D"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10" w:name="_Toc227532693"/>
      <w:r>
        <w:rPr>
          <w:rFonts w:ascii="Times New Roman" w:eastAsia="Times New Roman" w:hAnsi="Times New Roman" w:cs="Times New Roman"/>
        </w:rPr>
        <w:lastRenderedPageBreak/>
        <w:t>Firm Strategy, Structure, and Rivalry</w:t>
      </w:r>
      <w:bookmarkEnd w:id="10"/>
    </w:p>
    <w:p w14:paraId="082C50E1" w14:textId="77777777" w:rsidR="00D02E93" w:rsidRDefault="00D02E93" w:rsidP="00831C33">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fierce domestic rivalry that serves the competitive advantage (Porter, 1990). The FinTech market in the UK is hyper-competitive. Neobanks are involved in a constant feature war that compels them to reduce consumer charges and refine user interfaces (Gomber et al., 2018). This intense domestic pressure restricts complacency and makes sure that overall, UK FinTech firms operate with lean and sound agile methodologies that allow them to be formidable Players in the world market (Philippon, 2016). The prevailing strategy for firms is scaled up rapidly, as well as aggressive customer accumulation in an environment that often uses 'freemium' software models. To survive this cutthroat domestic rivalry, the UK FinTechs are under pressure to incessantly scale up their product ecosystems - from single service providers to complete financial super-apps - thus generating high switching costs for users and inoculating themselves to new entrants (Arner, Barberis and Buckley, 2015).</w:t>
      </w:r>
    </w:p>
    <w:p w14:paraId="2727715D"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11" w:name="_Toc227532694"/>
      <w:r>
        <w:rPr>
          <w:rFonts w:ascii="Times New Roman" w:eastAsia="Times New Roman" w:hAnsi="Times New Roman" w:cs="Times New Roman"/>
        </w:rPr>
        <w:t>The Role of Government and Chance</w:t>
      </w:r>
      <w:bookmarkEnd w:id="11"/>
    </w:p>
    <w:p w14:paraId="2F34BFA9" w14:textId="77777777" w:rsidR="00D02E93" w:rsidRDefault="00D02E93" w:rsidP="00831C33">
      <w:pPr>
        <w:spacing w:line="360" w:lineRule="auto"/>
        <w:ind w:firstLine="4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and regulatory bodies in the UK have been instrumental in this success. The FCA's Regulatory Sandbox - First by the US, FinTechs gain the chance to operationalize new products in a live setting with immediate relief from having to cope with all regulatory compliance (FCA, 2024; Zetzsche et al., 2017). Furthermore, the agility with which recommendations of the Kalifa Review have been implemented, for example, by setting up specialized tech visas to overcome current immigration obstacles because of Brexit, highlights a proactive state apparatus with a firm dedication to maintaining this national advantage (Kalifa, 2021). Regarding 'Chance', the global spread of the pandemic succeeded as a giant macroeconomic catalyst which drastically hastened the adoption of digital payments and structurally solidified the position of FinTech (World Bank, 2022).</w:t>
      </w:r>
    </w:p>
    <w:p w14:paraId="15A98170" w14:textId="77777777" w:rsidR="00D02E93" w:rsidRDefault="00D02E93" w:rsidP="00D02E93">
      <w:pPr>
        <w:pStyle w:val="Heading1"/>
        <w:numPr>
          <w:ilvl w:val="0"/>
          <w:numId w:val="1"/>
        </w:numPr>
        <w:spacing w:line="360" w:lineRule="auto"/>
        <w:rPr>
          <w:rFonts w:ascii="Times New Roman" w:eastAsia="Times New Roman" w:hAnsi="Times New Roman" w:cs="Times New Roman"/>
        </w:rPr>
      </w:pPr>
      <w:bookmarkStart w:id="12" w:name="_Toc227532695"/>
      <w:r>
        <w:rPr>
          <w:rFonts w:ascii="Times New Roman" w:eastAsia="Times New Roman" w:hAnsi="Times New Roman" w:cs="Times New Roman"/>
        </w:rPr>
        <w:t>Foreign MNC Analysis: Stripe in the UK Market</w:t>
      </w:r>
      <w:bookmarkEnd w:id="12"/>
    </w:p>
    <w:p w14:paraId="22D76903"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13" w:name="_Toc227532696"/>
      <w:r>
        <w:rPr>
          <w:rFonts w:ascii="Times New Roman" w:eastAsia="Times New Roman" w:hAnsi="Times New Roman" w:cs="Times New Roman"/>
        </w:rPr>
        <w:t>Introduction to Stripe</w:t>
      </w:r>
      <w:bookmarkEnd w:id="13"/>
    </w:p>
    <w:p w14:paraId="3CE46694" w14:textId="77777777" w:rsidR="00D02E93" w:rsidRDefault="00D02E93" w:rsidP="00831C33">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Stripe Inc. is a globally dominant, US-headquartered multinational technology company providing payment processing software and application programming interfaces (APIs) for e-commerce websites (Gawer, 2014; CanvasBusinessModel, 2025). Surpassing its gateway origins, Stripe provides "economic infrastructure for the internet," encompassing billing, corporate card issuing, fraud prevention, and Banking-as-a-Service (BaaS) (Chemmanur et al., </w:t>
      </w:r>
      <w:r>
        <w:rPr>
          <w:rFonts w:ascii="Times New Roman" w:eastAsia="Times New Roman" w:hAnsi="Times New Roman" w:cs="Times New Roman"/>
          <w:sz w:val="24"/>
          <w:szCs w:val="24"/>
        </w:rPr>
        <w:lastRenderedPageBreak/>
        <w:t>2023). As a foundational digital economy player with a massive valuation, the UK represents Stripe’s second-largest global market, supporting major unicorns like Deliveroo, ASOS, and Monzo (Innovate Finance, 2023). This internationalization strategy aligns with the Uppsala Model, focusing on markets with low "psychic distance" through shared linguistic, cultural, and legal similarities (Johanson and Vahlne, 1977).</w:t>
      </w:r>
    </w:p>
    <w:p w14:paraId="21400CBA" w14:textId="77777777" w:rsidR="00D02E93" w:rsidRDefault="00D02E93" w:rsidP="00831C33">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Resource-Based View (RBV) illustrates Stripe’s dominance via resources that are Valuable, Rare, Inimitable, and Non-substitutable (VRIN) (Barney, 1991). Specifically, its proprietary API architecture and developer-centric documentation constitute inimitable intangible resources. Traditional UK banks cannot replicate these advantages through capital expenditure alone, as they require a fundamental organizational shift from financial-first to "engineering-first" software development (Lee and Shin, 2018). To critically evaluate the multifaceted macro-environmental factors impacting Stripe’s ongoing UK success, a PESTLE analysis is utilized to assess host country attractiveness and risk exposure (Peng, 2014; PESTEL Analysis, 2025).</w:t>
      </w:r>
    </w:p>
    <w:p w14:paraId="31350C58"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14" w:name="_Toc227532697"/>
      <w:r>
        <w:rPr>
          <w:rFonts w:ascii="Times New Roman" w:eastAsia="Times New Roman" w:hAnsi="Times New Roman" w:cs="Times New Roman"/>
        </w:rPr>
        <w:t>PESTLE Analysis of the UK Market for Stripe</w:t>
      </w:r>
      <w:bookmarkEnd w:id="14"/>
    </w:p>
    <w:p w14:paraId="5B275E77" w14:textId="77777777" w:rsidR="00D02E93" w:rsidRDefault="00D02E93" w:rsidP="00D02E93">
      <w:pPr>
        <w:pStyle w:val="Heading3"/>
        <w:numPr>
          <w:ilvl w:val="2"/>
          <w:numId w:val="1"/>
        </w:numPr>
        <w:spacing w:line="360" w:lineRule="auto"/>
        <w:rPr>
          <w:rFonts w:ascii="Times New Roman" w:eastAsia="Times New Roman" w:hAnsi="Times New Roman" w:cs="Times New Roman"/>
          <w:sz w:val="24"/>
          <w:szCs w:val="24"/>
        </w:rPr>
      </w:pPr>
      <w:bookmarkStart w:id="15" w:name="_Toc227532698"/>
      <w:r>
        <w:rPr>
          <w:rFonts w:ascii="Times New Roman" w:eastAsia="Times New Roman" w:hAnsi="Times New Roman" w:cs="Times New Roman"/>
          <w:sz w:val="24"/>
          <w:szCs w:val="24"/>
        </w:rPr>
        <w:t>Political Factors</w:t>
      </w:r>
      <w:bookmarkEnd w:id="15"/>
    </w:p>
    <w:p w14:paraId="105FD48C" w14:textId="7719B807" w:rsidR="00D02E93" w:rsidRDefault="00D02E93" w:rsidP="00A3219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political environment is very topical and getting more complicated concerning cross-border operation of Stripe. With Brexit, the withdrawal </w:t>
      </w:r>
      <w:r w:rsidR="00A32198">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the European Union by UK broke the consistent nature of harmonisation of financial service directly removing financial passporting rights. This necessitated MNEs such as Stripe to legally and operationally reorganize their European units, allowing them to have two headquarters in Dublin and London to avoid any friction in relating to the EEA as well as the domestic market in UK (Buckley and Casson, 2009).</w:t>
      </w:r>
    </w:p>
    <w:p w14:paraId="4769C61E" w14:textId="77777777" w:rsidR="00D02E93" w:rsidRDefault="00D02E93" w:rsidP="00A3219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following Brexit, the British government has been fierce in positioning the country as a stand-alone independent economy with a technological future, instituting fast track tech visas to attract international talents as well as taking proactive steps to attract investments from Silicon Valley (Kalifa, 2021). Despite this pro-business rhetoric, Stripe must be constantly on the lookout for changes in geopolitical trade policies and localized taxation initiatives. As an example, a Digital Services Tax (DST) of 2% by the UK Government directly targets the income of US-based upper-tier technology MNEs providing search engines, social media, and marketplaces. While Stripe is predominantly a payment processor, the changing </w:t>
      </w:r>
      <w:r>
        <w:rPr>
          <w:rFonts w:ascii="Times New Roman" w:eastAsia="Times New Roman" w:hAnsi="Times New Roman" w:cs="Times New Roman"/>
          <w:sz w:val="24"/>
          <w:szCs w:val="24"/>
        </w:rPr>
        <w:lastRenderedPageBreak/>
        <w:t>definitions of digital value creation exposes the firm in a concerted way to political lobbying and even to margin suppression as transatlantic digital tax frameworks are constantly renegotiated (HM Government, 2025; Statzon, 2025).</w:t>
      </w:r>
    </w:p>
    <w:p w14:paraId="3FE23CC6" w14:textId="77777777" w:rsidR="00D02E93" w:rsidRDefault="00D02E93" w:rsidP="00D02E93">
      <w:pPr>
        <w:pStyle w:val="Heading3"/>
        <w:numPr>
          <w:ilvl w:val="2"/>
          <w:numId w:val="1"/>
        </w:numPr>
        <w:spacing w:line="360" w:lineRule="auto"/>
        <w:rPr>
          <w:rFonts w:ascii="Times New Roman" w:eastAsia="Times New Roman" w:hAnsi="Times New Roman" w:cs="Times New Roman"/>
          <w:sz w:val="24"/>
          <w:szCs w:val="24"/>
        </w:rPr>
      </w:pPr>
      <w:bookmarkStart w:id="16" w:name="_Toc227532699"/>
      <w:r>
        <w:rPr>
          <w:rFonts w:ascii="Times New Roman" w:eastAsia="Times New Roman" w:hAnsi="Times New Roman" w:cs="Times New Roman"/>
          <w:sz w:val="24"/>
          <w:szCs w:val="24"/>
        </w:rPr>
        <w:t>Economic Factors</w:t>
      </w:r>
      <w:bookmarkEnd w:id="16"/>
    </w:p>
    <w:p w14:paraId="65424388" w14:textId="77777777" w:rsidR="00D02E93" w:rsidRDefault="00D02E93" w:rsidP="00A3219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macroeconomic environment has an ambivalent story of huge opportunities against cyclical vulnerability in the UK. Periodic high inflation levels and cost of living pressures depress discretionary retail spending. Because Stripe is built on a transactional revenue model (imposing a percentage fee and a fixed rate on each transaction), any macroeconomic headwind that reduces aggregate consumer spending has a direct and immediate impact on Stripe top-line revenue (World Bank, 2022).</w:t>
      </w:r>
    </w:p>
    <w:p w14:paraId="3A259CD0" w14:textId="77777777" w:rsidR="00D02E93" w:rsidRDefault="00D02E93" w:rsidP="00A3219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Stripe is facing great pricing pressure and "hyper-competition" from the well-funded, UK-based B2B rivals such as Checkout.com and GoCardless amongst the formidable European giant, Adyen. Adyen, with an exceptionally well-integrated omnichannel system, often lowers enterprise rates of Stripe aggressively. (A comparative analysis of Stripe’s features against these rivals is available in Appendix 3) (Porter, 1998; KPMG, 2022). Consequently, Stripe is economically compelled to compete on technological superiority, reliability and ecosystem lock-in innovation leadership. By deeply integrating its software into a client's accounting, payroll and taxation systems, Stripe maximises the Customer Lifetime Value (CLV) as well as develops prohibitive economic switching costs to UK merchants to mitigate the threat of low-cost domestic alternatives (Arner, Barberis and Buckley, 2015).</w:t>
      </w:r>
    </w:p>
    <w:p w14:paraId="4FFD9A53" w14:textId="77777777" w:rsidR="00D02E93" w:rsidRDefault="00D02E93" w:rsidP="00D02E93">
      <w:pPr>
        <w:pStyle w:val="Heading3"/>
        <w:numPr>
          <w:ilvl w:val="2"/>
          <w:numId w:val="1"/>
        </w:numPr>
        <w:spacing w:line="360" w:lineRule="auto"/>
        <w:rPr>
          <w:rFonts w:ascii="Times New Roman" w:eastAsia="Times New Roman" w:hAnsi="Times New Roman" w:cs="Times New Roman"/>
          <w:sz w:val="24"/>
          <w:szCs w:val="24"/>
        </w:rPr>
      </w:pPr>
      <w:bookmarkStart w:id="17" w:name="_Toc227532700"/>
      <w:r>
        <w:rPr>
          <w:rFonts w:ascii="Times New Roman" w:eastAsia="Times New Roman" w:hAnsi="Times New Roman" w:cs="Times New Roman"/>
          <w:sz w:val="24"/>
          <w:szCs w:val="24"/>
        </w:rPr>
        <w:t>Social Factors</w:t>
      </w:r>
      <w:bookmarkEnd w:id="17"/>
    </w:p>
    <w:p w14:paraId="4F1635EC" w14:textId="77777777" w:rsidR="00D02E93" w:rsidRDefault="00D02E93" w:rsidP="00A3219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Sociocultural changes in consumer behaviour heavily favours Stripe's business model. UK shoppers have also given up on cash in favour of contactless payments and digital wallets (Hussain, Jun and Radulescu, 2024). There is a fierce social expectation for instant, frictionless and secure checkout experiences so friction at checkout regularly causes cart abandonment rates of over 70% in the UK retail arena (Statista, 2023). Stripe's developer-first architecture gives power to UK stakeholders near the merchant to create hyper customized user interfaces that are tailored to this need of modern consumers for aesthetic and operational seamlessness.</w:t>
      </w:r>
    </w:p>
    <w:p w14:paraId="4A7A6323" w14:textId="77777777" w:rsidR="00A32198" w:rsidRDefault="00A32198" w:rsidP="00A32198">
      <w:pPr>
        <w:spacing w:line="360" w:lineRule="auto"/>
        <w:ind w:firstLine="720"/>
        <w:jc w:val="both"/>
        <w:rPr>
          <w:rFonts w:ascii="Times New Roman" w:eastAsia="Times New Roman" w:hAnsi="Times New Roman" w:cs="Times New Roman"/>
          <w:sz w:val="24"/>
          <w:szCs w:val="24"/>
        </w:rPr>
      </w:pPr>
    </w:p>
    <w:p w14:paraId="52FAA62E" w14:textId="77777777" w:rsidR="00A32198" w:rsidRDefault="00A32198" w:rsidP="00A32198">
      <w:pPr>
        <w:spacing w:line="360" w:lineRule="auto"/>
        <w:ind w:firstLine="720"/>
        <w:jc w:val="both"/>
        <w:rPr>
          <w:rFonts w:ascii="Times New Roman" w:eastAsia="Times New Roman" w:hAnsi="Times New Roman" w:cs="Times New Roman"/>
          <w:sz w:val="24"/>
          <w:szCs w:val="24"/>
        </w:rPr>
      </w:pPr>
    </w:p>
    <w:p w14:paraId="221F7B6C"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Figure 3: The Shift in UK Consumer Payment Preferences, highlighting the dominance of digital checkout environments</w:t>
      </w:r>
    </w:p>
    <w:p w14:paraId="2CCEAC29"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7B8B0FFC" wp14:editId="20F1430A">
            <wp:extent cx="3875072" cy="258338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875072" cy="2583381"/>
                    </a:xfrm>
                    <a:prstGeom prst="rect">
                      <a:avLst/>
                    </a:prstGeom>
                    <a:ln/>
                  </pic:spPr>
                </pic:pic>
              </a:graphicData>
            </a:graphic>
          </wp:inline>
        </w:drawing>
      </w:r>
    </w:p>
    <w:p w14:paraId="0FAF7724" w14:textId="77777777" w:rsidR="00D02E93" w:rsidRDefault="00D02E93" w:rsidP="00D825A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social structures of employment in the UK have changed massively towards the "gig economy" and the "creator economy." Increasingly, the workforce in the UK is becoming freelancers, creators of digital content, or gig-workers on disparate platforms such as Deliveroo or Substack. This social paradigm shift has triggered enormous demand in complex multi-party payment routing infrastructure. Stripe capitalized on this through Stripe Connect; its specialized version that seamlessly manages KYC onboarding, payment splitting and rapid payouts to independent contractors; thus, embedding Stripe so deeply into the social fabric of modern UK employment (PESTEL Analysis, 2025).</w:t>
      </w:r>
    </w:p>
    <w:p w14:paraId="597A562D" w14:textId="77777777" w:rsidR="00D02E93" w:rsidRDefault="00D02E93" w:rsidP="00D02E93">
      <w:pPr>
        <w:pStyle w:val="Heading3"/>
        <w:numPr>
          <w:ilvl w:val="2"/>
          <w:numId w:val="1"/>
        </w:numPr>
        <w:spacing w:line="360" w:lineRule="auto"/>
        <w:rPr>
          <w:rFonts w:ascii="Times New Roman" w:eastAsia="Times New Roman" w:hAnsi="Times New Roman" w:cs="Times New Roman"/>
          <w:sz w:val="24"/>
          <w:szCs w:val="24"/>
        </w:rPr>
      </w:pPr>
      <w:bookmarkStart w:id="18" w:name="_Toc227532701"/>
      <w:r>
        <w:rPr>
          <w:rFonts w:ascii="Times New Roman" w:eastAsia="Times New Roman" w:hAnsi="Times New Roman" w:cs="Times New Roman"/>
          <w:sz w:val="24"/>
          <w:szCs w:val="24"/>
        </w:rPr>
        <w:t>Technological Factors</w:t>
      </w:r>
      <w:bookmarkEnd w:id="18"/>
    </w:p>
    <w:p w14:paraId="4548DBBB" w14:textId="77777777" w:rsidR="00D02E93" w:rsidRDefault="00D02E93" w:rsidP="00D825A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infrastructure is foundational of Stripe's competitive edge while the UK's position at the cutting edge of financial technology makes it an ideal testing ground for new iterations of their product (Tapscott and Tapscott, 2016). One of the significant technological disruptors in the UK is the compulsory introduction of Open Banking that enables Account-to-Account (A2A) payments. Initially, this proved to present a threat for Stripe since A2A payments don't pass through traditional Visa/Mastercard networks from which Stripe receives its core processing fees (Yermack, 2015). However, Stripe's dynamic adaptation by building the Open banking APIs directly into the checkout flow enabled UK merchants to experience A2A payments seamlessly while retaining for Stripe, a gateway fee (Puschko et al., 2021).</w:t>
      </w:r>
    </w:p>
    <w:p w14:paraId="1722778B" w14:textId="79E84AA1" w:rsidR="00D02E93" w:rsidRDefault="00D02E93" w:rsidP="00D825A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Stripe is </w:t>
      </w:r>
      <w:r w:rsidR="00D825AF">
        <w:rPr>
          <w:rFonts w:ascii="Times New Roman" w:eastAsia="Times New Roman" w:hAnsi="Times New Roman" w:cs="Times New Roman"/>
          <w:sz w:val="24"/>
          <w:szCs w:val="24"/>
        </w:rPr>
        <w:t>pushing</w:t>
      </w:r>
      <w:r>
        <w:rPr>
          <w:rFonts w:ascii="Times New Roman" w:eastAsia="Times New Roman" w:hAnsi="Times New Roman" w:cs="Times New Roman"/>
          <w:sz w:val="24"/>
          <w:szCs w:val="24"/>
        </w:rPr>
        <w:t xml:space="preserve"> into Banking-as-a-Service (BaaS) aggressively in the UK with its own Stripe Treasury and Stripe Issuing products. By partnering with established banks </w:t>
      </w:r>
      <w:r>
        <w:rPr>
          <w:rFonts w:ascii="Times New Roman" w:eastAsia="Times New Roman" w:hAnsi="Times New Roman" w:cs="Times New Roman"/>
          <w:sz w:val="24"/>
          <w:szCs w:val="24"/>
        </w:rPr>
        <w:lastRenderedPageBreak/>
        <w:t>in the UK (such as Barclays and Citibank UK), Stripe enables conventional e-commerce sellers to incorporate both financial services, such as offering interest-bearing accounts for vendors, or branded corporate credit cards that can be issued to the e-commerce channel's own vendors. This technological breakthrough inherently dissolves the boundaries between a classic software firm and an all-in-one neo-bank, enabling Stripe to win massive amounts of previously unreachable institutional capital (Chemmanur et al., 2023). Additionally, Stripe also has a machine learning infrastructure called Stripe Radar that uses neural networks trained with data from billions of transactions worldwide to algorithmically detect and block fraudulent activities in real-time. The ability to deploy globally trained AI to safeguard local UK merchants remains a clear technological advantage that much legacy banks are unable to replicate (Gawer, 2014; Bholat, 2020).</w:t>
      </w:r>
    </w:p>
    <w:p w14:paraId="2050C479" w14:textId="77777777" w:rsidR="00D02E93" w:rsidRDefault="00D02E93" w:rsidP="00D02E93">
      <w:pPr>
        <w:pStyle w:val="Heading3"/>
        <w:numPr>
          <w:ilvl w:val="2"/>
          <w:numId w:val="1"/>
        </w:numPr>
        <w:spacing w:line="360" w:lineRule="auto"/>
        <w:rPr>
          <w:rFonts w:ascii="Times New Roman" w:eastAsia="Times New Roman" w:hAnsi="Times New Roman" w:cs="Times New Roman"/>
          <w:sz w:val="24"/>
          <w:szCs w:val="24"/>
        </w:rPr>
      </w:pPr>
      <w:bookmarkStart w:id="19" w:name="_Toc227532702"/>
      <w:r>
        <w:rPr>
          <w:rFonts w:ascii="Times New Roman" w:eastAsia="Times New Roman" w:hAnsi="Times New Roman" w:cs="Times New Roman"/>
          <w:sz w:val="24"/>
          <w:szCs w:val="24"/>
        </w:rPr>
        <w:t>Legal Factors</w:t>
      </w:r>
      <w:bookmarkEnd w:id="19"/>
    </w:p>
    <w:p w14:paraId="558E198B" w14:textId="77777777" w:rsidR="00D02E93" w:rsidRDefault="00D02E93" w:rsidP="00D825A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legal environment both has a critical facilitating factor and strict operations constraint. Per the Institutional Theory prism, foreign MNEs such as Stripe obtain coercive isomorphic forces to explicitly adhere to the local regulatory structures to stay legitimate (DiMaggio and Powell, 1983). The Financial Conduct Authority (FCA) in the UK offers clear legal certainty to attract MNEs but compliance expenses are outrageously high (Zetzsche et al., 2017). Stripe must strictly comply with the UK General Data Protection Regulation (UK GDPR). As one of the data processors, any violation of UK consumer financial data may impose devastating administrative fines of up to 4% of global turnover, and the actual destruction of reputations (IBM, 2023).</w:t>
      </w:r>
    </w:p>
    <w:p w14:paraId="4776BD31" w14:textId="77777777" w:rsidR="00D02E93" w:rsidRDefault="00D02E93" w:rsidP="00D825A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there is the tightening of the regulatory environment. The UK Payment Systems Regulator (PSR) recently provided serious compulsory reimbursement provisions regarding Authorised Push Payment (APP) fraud and has placed a significantly greater legal and financial burden on payment service providers to pay victims of digital scams. For Stripe, this regulatory shift transformed advanced fraud detection from being a value-add software feature to becoming an absolute legal necessity (FCA, 2024). Additionally, Stripe needs to enable merchant compliance with Strong Customer Authentication (SCA) rules under PSD2, which is a legal mandate that requires for complex two-factor authentication integration to be added without too much consumer friction (Puschko et al., 2021). To preemptively absorb the legal cost of the Anti-Money Laundering (AML) and Know Your Customer (KYC) legislations, Stripe released Stripe Identity in the UK and successfully transformed a legal compliance nightmare into a very lucrative software bundle to its B2B customers.</w:t>
      </w:r>
    </w:p>
    <w:p w14:paraId="3144D685" w14:textId="77777777" w:rsidR="00D02E93" w:rsidRDefault="00D02E93" w:rsidP="00D02E93">
      <w:pPr>
        <w:pStyle w:val="Heading3"/>
        <w:numPr>
          <w:ilvl w:val="2"/>
          <w:numId w:val="1"/>
        </w:numPr>
        <w:spacing w:line="360" w:lineRule="auto"/>
        <w:rPr>
          <w:rFonts w:ascii="Times New Roman" w:eastAsia="Times New Roman" w:hAnsi="Times New Roman" w:cs="Times New Roman"/>
          <w:sz w:val="24"/>
          <w:szCs w:val="24"/>
        </w:rPr>
      </w:pPr>
      <w:bookmarkStart w:id="20" w:name="_Toc227532703"/>
      <w:r>
        <w:rPr>
          <w:rFonts w:ascii="Times New Roman" w:eastAsia="Times New Roman" w:hAnsi="Times New Roman" w:cs="Times New Roman"/>
          <w:sz w:val="24"/>
          <w:szCs w:val="24"/>
        </w:rPr>
        <w:lastRenderedPageBreak/>
        <w:t>Environmental Factors</w:t>
      </w:r>
      <w:bookmarkEnd w:id="20"/>
    </w:p>
    <w:p w14:paraId="38E67E5D" w14:textId="77777777" w:rsidR="00D02E93" w:rsidRDefault="00D02E93" w:rsidP="00D825A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conventionally considered to be peripheral to the software industries, the issue of environmental, social, and governance (ESG) factors is gaining relevance in the UK business environment. The UK government is legally bound to a net-zero economy by 2050, and the regulatory bodies are also introducing mandatory Sustainability Disclosure Requirements (SDR) for large corporations (HM Government, 2025). The large data centres that handle the Stripe global transaction volume have extreme carbon emissions under the scope 3 classification that put the company under environmental scrutiny.</w:t>
      </w:r>
    </w:p>
    <w:p w14:paraId="7D8A8BA6" w14:textId="77777777" w:rsidR="00D02E93" w:rsidRDefault="00D02E93" w:rsidP="00D825AF">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Stripe has been proactive about addressing this shift in our socio-environmental with Stripe Climate, an API-integrated product that enables UK businesses to spend a fraction of their revenues on innovative carbon removal technologies. Stripe, through its Frontier initiative, is an advance market commitment buyer of carbon capture, and offers essential R&amp;D capital to green tech startups (Al-Shari and Lokhande, 2023). In the UK market, where corporate sustainability has a critical role in B2B procurement decision making, having integrated environmental tools gives Stripe a unique values-based reputational edge over old-fashioned payment processors (Statzon, 2025).</w:t>
      </w:r>
    </w:p>
    <w:p w14:paraId="471C65A7" w14:textId="77777777" w:rsidR="00D02E93" w:rsidRDefault="00D02E93" w:rsidP="00D02E93">
      <w:pPr>
        <w:pStyle w:val="Heading2"/>
        <w:numPr>
          <w:ilvl w:val="1"/>
          <w:numId w:val="1"/>
        </w:numPr>
        <w:spacing w:line="360" w:lineRule="auto"/>
        <w:rPr>
          <w:rFonts w:ascii="Times New Roman" w:eastAsia="Times New Roman" w:hAnsi="Times New Roman" w:cs="Times New Roman"/>
        </w:rPr>
      </w:pPr>
      <w:bookmarkStart w:id="21" w:name="_Toc227532704"/>
      <w:r>
        <w:rPr>
          <w:rFonts w:ascii="Times New Roman" w:eastAsia="Times New Roman" w:hAnsi="Times New Roman" w:cs="Times New Roman"/>
        </w:rPr>
        <w:t>Evaluation of Overall Market Attractiveness for Stripe</w:t>
      </w:r>
      <w:bookmarkEnd w:id="21"/>
    </w:p>
    <w:p w14:paraId="2774855F" w14:textId="77777777" w:rsidR="00D02E93" w:rsidRDefault="00D02E93" w:rsidP="007A06EA">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Synthesizing, through the mirror of the PESTLE analysis and John Dunning's OLI (Ownership, Location, Internalization) Paradigm, the UK remains an incredibly attractive and strategically unmissable market for Stripe (Dunning and Lundan, 2008; CanvasBusinessModel, 2025). Stripe has strengths in its ownership; its high quality globally trained machine learning algorithms and API-centric developer-oriented APIs. The UK offers Location benefits that are unparalleled through its extensive e-commerce reach, intensely capitalized tech stack, and forward-thinking regulation schemes, such as the Sandbox operated by the FCA (Kalifa, 2021). Finally, Stripe uses the advantages of Internalization in that the firm has built an entirely owned subsidiary in the UK, instead of licensing the company's technology to local banks; it thus has full control of the user experience and data security (Rugman and Collinson, 2012).</w:t>
      </w:r>
    </w:p>
    <w:p w14:paraId="3C2D4EDA" w14:textId="77777777" w:rsidR="00D02E93" w:rsidRDefault="00D02E93" w:rsidP="007A06EA">
      <w:pPr>
        <w:spacing w:line="360" w:lineRule="auto"/>
        <w:ind w:firstLine="5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entry into any foreign market involves a "liability of foreignness", encompassing the fact that, compared to domestic firms, foreign MNEs often experience inherent disadvantages because of their lack of embeddedness in local business networks or unfamiliarity with more intricate forms of regulatory shifts (Zaheer, 1995). Stripe in the UK </w:t>
      </w:r>
      <w:r>
        <w:rPr>
          <w:rFonts w:ascii="Times New Roman" w:eastAsia="Times New Roman" w:hAnsi="Times New Roman" w:cs="Times New Roman"/>
          <w:sz w:val="24"/>
          <w:szCs w:val="24"/>
        </w:rPr>
        <w:lastRenderedPageBreak/>
        <w:t>has vigorously limited this liability by an approach of high local responsiveness. Rather than forcing an Americanised business model, Stripe hires an elite local legal and financial talent from London's traditional banking sector to deal with financial regulation, they often acquire local UK FinTech startups to help them quickly imbibe market specific knowledge.</w:t>
      </w:r>
    </w:p>
    <w:p w14:paraId="3136C3A8" w14:textId="77777777" w:rsidR="00D02E93" w:rsidRDefault="00D02E93" w:rsidP="007A06EA">
      <w:pPr>
        <w:spacing w:line="360" w:lineRule="auto"/>
        <w:ind w:firstLine="4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macro-environmental opportunities in this market are external adaptations to regulation after Brexit, a threat of margin squeeze deal due to aggressive domestic competition (i.e., Checkout.com, Adyen) and complex compliance under strict data-protection and APP-fraud regulations (Buckley and Casson, 2009). However, the structural benefits, the fully digitized society, and the lasting reputation of London as a world leader in innovation far exceed these macro-environmental dangers. The eventual success of Stripe in the UK will be based on alteration of a simple payment gateway into an embedded financial operating system. By providing a comprehensive product stack of billing, corporate taxation, BaaS treasury functions, and carbon offsetting handles Stripe creates massive operational switching costs. Ultimately, this strategic product ecosystem deeply and permanently embeds the MNE into the foundational infrastructure of UK businesses and assures its long-term profitability and competitive moat (Grant, 2016).</w:t>
      </w:r>
    </w:p>
    <w:p w14:paraId="1CFCE24B" w14:textId="77777777" w:rsidR="00D02E93" w:rsidRDefault="00D02E93" w:rsidP="00D02E93">
      <w:pPr>
        <w:pStyle w:val="Heading1"/>
        <w:numPr>
          <w:ilvl w:val="0"/>
          <w:numId w:val="1"/>
        </w:numPr>
        <w:spacing w:line="360" w:lineRule="auto"/>
        <w:rPr>
          <w:rFonts w:ascii="Times New Roman" w:eastAsia="Times New Roman" w:hAnsi="Times New Roman" w:cs="Times New Roman"/>
        </w:rPr>
      </w:pPr>
      <w:bookmarkStart w:id="22" w:name="_Toc227532705"/>
      <w:r>
        <w:rPr>
          <w:rFonts w:ascii="Times New Roman" w:eastAsia="Times New Roman" w:hAnsi="Times New Roman" w:cs="Times New Roman"/>
        </w:rPr>
        <w:t>Conclusion</w:t>
      </w:r>
      <w:bookmarkEnd w:id="22"/>
    </w:p>
    <w:p w14:paraId="2C821E0E" w14:textId="77777777" w:rsidR="00D02E93" w:rsidRDefault="00D02E93" w:rsidP="007A06EA">
      <w:pPr>
        <w:spacing w:line="360" w:lineRule="auto"/>
        <w:ind w:firstLine="4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FinTech business is a model of financial innovation in the modern world, which is propelled by a combination of strong pools of talent, constructive regulatory sandboxes, and very advanced consumer preferences (Arner, Barberis and Buckley, 2015). As illustrated by Porters Diamond Model, the UK has competition structural advantages which promote the emergence of highly prized domestic champions (Porter, 1990). At the same time, the UK is a very profitable target country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foreign multinationals. The impressive performance of Stripe in the UK underscores the importance of ensuring that the technological capabilities of an MNE are consistent with the macro-environmental factors of the host country (Peng, 2014). As the sector evolves, the interconnectedness between domestic regulators, indigenous startups and global MNEs would continue to define the global FinTech supremacy for the UK (Zavolokina, Dolata and Schwabe, 2016).</w:t>
      </w:r>
    </w:p>
    <w:p w14:paraId="16C7CB84" w14:textId="7407E16C" w:rsidR="00D02E93" w:rsidRDefault="00D02E93" w:rsidP="007A06EA">
      <w:pPr>
        <w:spacing w:line="360" w:lineRule="auto"/>
        <w:ind w:firstLine="4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Ultimately, the resilience of the UK ecosystem means that attribute shocks to macroeconomics and post </w:t>
      </w:r>
      <w:r w:rsidR="007A06EA">
        <w:rPr>
          <w:rFonts w:ascii="Times New Roman" w:eastAsia="Times New Roman" w:hAnsi="Times New Roman" w:cs="Times New Roman"/>
          <w:sz w:val="24"/>
          <w:szCs w:val="24"/>
        </w:rPr>
        <w:t>Brexit</w:t>
      </w:r>
      <w:r>
        <w:rPr>
          <w:rFonts w:ascii="Times New Roman" w:eastAsia="Times New Roman" w:hAnsi="Times New Roman" w:cs="Times New Roman"/>
          <w:sz w:val="24"/>
          <w:szCs w:val="24"/>
        </w:rPr>
        <w:t xml:space="preserve"> realignments, the structural movements towards digitized commerce are irreversible. In the case of MNEs such as Stripe it will be more important to pass </w:t>
      </w:r>
      <w:r>
        <w:rPr>
          <w:rFonts w:ascii="Times New Roman" w:eastAsia="Times New Roman" w:hAnsi="Times New Roman" w:cs="Times New Roman"/>
          <w:sz w:val="24"/>
          <w:szCs w:val="24"/>
        </w:rPr>
        <w:lastRenderedPageBreak/>
        <w:t>through the hurdle of evolving a basic payment gateway into a fully functional, AI-driven financial operating system to manage the lifecycle of the business. Along with the fact that the line dividing traditional finance and software is increasingly becoming blurred, the ability to balance the speed of technological change with the robustness of consumer-friendly protection is, so far, the rarest and strongest competitive advantage of the UK (Hill and Hult, 2021; Fatorachian, 2023).</w:t>
      </w:r>
    </w:p>
    <w:p w14:paraId="09D744EC" w14:textId="77777777" w:rsidR="00D02E93" w:rsidRDefault="00D02E93" w:rsidP="00D02E93">
      <w:pPr>
        <w:pStyle w:val="Heading1"/>
        <w:spacing w:line="360" w:lineRule="auto"/>
        <w:rPr>
          <w:rFonts w:ascii="Times New Roman" w:eastAsia="Times New Roman" w:hAnsi="Times New Roman" w:cs="Times New Roman"/>
        </w:rPr>
      </w:pPr>
      <w:bookmarkStart w:id="23" w:name="_Toc227532706"/>
      <w:r>
        <w:rPr>
          <w:rFonts w:ascii="Times New Roman" w:eastAsia="Times New Roman" w:hAnsi="Times New Roman" w:cs="Times New Roman"/>
        </w:rPr>
        <w:t>SECTION 2: REFLECTIVE ACCOUNT (GIBBS' REFLECTIVE CYCLE)</w:t>
      </w:r>
      <w:bookmarkEnd w:id="23"/>
    </w:p>
    <w:p w14:paraId="227BCD87" w14:textId="77777777" w:rsidR="00D02E93" w:rsidRDefault="00D02E93" w:rsidP="00D02E93">
      <w:pPr>
        <w:jc w:val="center"/>
        <w:rPr>
          <w:rFonts w:ascii="Times New Roman" w:eastAsia="Times New Roman" w:hAnsi="Times New Roman" w:cs="Times New Roman"/>
          <w:b/>
          <w:bCs/>
          <w:sz w:val="24"/>
          <w:szCs w:val="24"/>
        </w:rPr>
      </w:pPr>
    </w:p>
    <w:p w14:paraId="48CF7716" w14:textId="77777777" w:rsidR="00D02E93" w:rsidRDefault="00D02E93" w:rsidP="00D02E93">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The six stages of the Gibbs' Reflective Cycle utilized for this assessment</w:t>
      </w:r>
    </w:p>
    <w:p w14:paraId="5A1857C3" w14:textId="77777777" w:rsidR="00D02E93" w:rsidRDefault="00D02E93" w:rsidP="00D02E93">
      <w:pPr>
        <w:jc w:val="center"/>
      </w:pPr>
      <w:r>
        <w:rPr>
          <w:noProof/>
        </w:rPr>
        <w:drawing>
          <wp:inline distT="0" distB="0" distL="0" distR="0" wp14:anchorId="62A5A049" wp14:editId="0702FF91">
            <wp:extent cx="4016737" cy="2838774"/>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016737" cy="2838774"/>
                    </a:xfrm>
                    <a:prstGeom prst="rect">
                      <a:avLst/>
                    </a:prstGeom>
                    <a:ln/>
                  </pic:spPr>
                </pic:pic>
              </a:graphicData>
            </a:graphic>
          </wp:inline>
        </w:drawing>
      </w:r>
    </w:p>
    <w:p w14:paraId="72EBCCB2" w14:textId="77777777" w:rsidR="00D02E93" w:rsidRDefault="00D02E93" w:rsidP="00F313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32"/>
          <w:szCs w:val="32"/>
        </w:rPr>
        <w:t>Description</w:t>
      </w:r>
      <w:r>
        <w:rPr>
          <w:rFonts w:ascii="Times New Roman" w:eastAsia="Times New Roman" w:hAnsi="Times New Roman" w:cs="Times New Roman"/>
          <w:sz w:val="24"/>
          <w:szCs w:val="24"/>
        </w:rPr>
        <w:br/>
        <w:t xml:space="preserve">For this assessment I was required to research, analyse and prepare a comprehensive report about the international business environment for a specific country-industry pair. I selected the UK FinTech industry and Stripe as the foreign multinational enterprise. This was initiated through rigorous secondary research by finding academic journals, industry reports in the Kalifa Review, the FCA and market data on more than 60 sources to have a strong evidence base. The report is well-organized, beginning with the macroeconomic overview, which I used to implement supporting the Diamond Model by Porter to analyze the competitiveness of the nation and conclude with the PESTLE analysis of the Stripes operations in the UK. A </w:t>
      </w:r>
      <w:r>
        <w:rPr>
          <w:rFonts w:ascii="Times New Roman" w:eastAsia="Times New Roman" w:hAnsi="Times New Roman" w:cs="Times New Roman"/>
          <w:sz w:val="24"/>
          <w:szCs w:val="24"/>
        </w:rPr>
        <w:lastRenderedPageBreak/>
        <w:t>considerable part of the process was to manually synthesize such high-level theories with the granular and fast-moving data of the digital economy such that the transition between the theoretical frameworks and empirical data was seamless and harmonious, keeping to the rigorous length requirement of 5,000 words (Gibbs, 1988).</w:t>
      </w:r>
    </w:p>
    <w:p w14:paraId="5B18C857" w14:textId="24412F9C" w:rsidR="00D02E93" w:rsidRDefault="00D02E93" w:rsidP="00F313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32"/>
          <w:szCs w:val="32"/>
        </w:rPr>
        <w:t>Feelings</w:t>
      </w:r>
      <w:r>
        <w:rPr>
          <w:rFonts w:ascii="Times New Roman" w:eastAsia="Times New Roman" w:hAnsi="Times New Roman" w:cs="Times New Roman"/>
          <w:sz w:val="24"/>
          <w:szCs w:val="24"/>
        </w:rPr>
        <w:br/>
        <w:t xml:space="preserve">Initially, I was very overwhelmed by the hulk of data available regarding the UK FinTech sector. Because the industry evolves at such a rapid pace, however, I was nervous about using outdated literature, so I was forced to cross-reference </w:t>
      </w:r>
      <w:r w:rsidR="007A5A44">
        <w:rPr>
          <w:rFonts w:ascii="Times New Roman" w:eastAsia="Times New Roman" w:hAnsi="Times New Roman" w:cs="Times New Roman"/>
          <w:sz w:val="24"/>
          <w:szCs w:val="24"/>
        </w:rPr>
        <w:t xml:space="preserve">specific </w:t>
      </w:r>
      <w:r>
        <w:rPr>
          <w:rFonts w:ascii="Times New Roman" w:eastAsia="Times New Roman" w:hAnsi="Times New Roman" w:cs="Times New Roman"/>
          <w:sz w:val="24"/>
          <w:szCs w:val="24"/>
        </w:rPr>
        <w:t xml:space="preserve">literature on international business with highly contemporary industry reports from 2024 and 2025. This information overload slowed me down at first and I felt fatigued intellectually. However, when writing the section on Porter's Diamond, I had a great sense of intellectual satisfaction slipping in that I started seeing the real-world application of the abstract macro-economic concepts - such as "factor conditions" - to real world phenomena, such as London's STEM talent clustering. Conversely, during the PESTLE analysis I sometimes felt frustrated by the overlapping nature of the categories in terms of whether Open Banking should be considered a </w:t>
      </w:r>
      <w:r w:rsidR="006E72C9">
        <w:rPr>
          <w:rFonts w:ascii="Times New Roman" w:eastAsia="Times New Roman" w:hAnsi="Times New Roman" w:cs="Times New Roman"/>
          <w:sz w:val="24"/>
          <w:szCs w:val="24"/>
        </w:rPr>
        <w:t>technological</w:t>
      </w:r>
      <w:r>
        <w:rPr>
          <w:rFonts w:ascii="Times New Roman" w:eastAsia="Times New Roman" w:hAnsi="Times New Roman" w:cs="Times New Roman"/>
          <w:sz w:val="24"/>
          <w:szCs w:val="24"/>
        </w:rPr>
        <w:t xml:space="preserve"> enabler or a legal mandate. This forced me to accept the ambiguity involved in Level 7 research.</w:t>
      </w:r>
    </w:p>
    <w:p w14:paraId="60CA9F39" w14:textId="77777777" w:rsidR="00D02E93" w:rsidRDefault="00D02E93" w:rsidP="004B45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32"/>
          <w:szCs w:val="32"/>
        </w:rPr>
        <w:t>Evaluation</w:t>
      </w:r>
      <w:r>
        <w:rPr>
          <w:rFonts w:ascii="Times New Roman" w:eastAsia="Times New Roman" w:hAnsi="Times New Roman" w:cs="Times New Roman"/>
          <w:sz w:val="24"/>
          <w:szCs w:val="24"/>
        </w:rPr>
        <w:br/>
        <w:t>Looking back, the most successful part of my approach was the initial time invested to gather good quality, credible data. The use of official government reports and peer-reviewed journals as an academic base enabled me to ground my arguments in reality and have a solid foundation to do my critical analysis. Using the module learning outcomes, I was able to assess how an increasingly large MNE could relate to the UK and the complexities of its regulatory and economic environment. Conversely, a less successful aspect was my initial time management in respect of structuring of the PESTLE analysis. I first collected too much descriptive information about the products of Stripe instead of critically assessing the influence of the macro-environment on the products. This resulted in an initial draft that was too long and not sufficiently analytical and required significant "pruning" to regain an academic focus on international business strategy rather than corporate marketing.</w:t>
      </w:r>
    </w:p>
    <w:p w14:paraId="584B43F1" w14:textId="77777777" w:rsidR="00D02E93" w:rsidRDefault="00D02E93" w:rsidP="004B45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32"/>
          <w:szCs w:val="32"/>
        </w:rPr>
        <w:t>Analysis</w:t>
      </w:r>
      <w:r>
        <w:rPr>
          <w:rFonts w:ascii="Times New Roman" w:eastAsia="Times New Roman" w:hAnsi="Times New Roman" w:cs="Times New Roman"/>
          <w:sz w:val="24"/>
          <w:szCs w:val="24"/>
        </w:rPr>
        <w:br/>
        <w:t xml:space="preserve">The experience of writing this report was a strong reinforcement of my knowledge of international business strategy. I learned that a nation's competitive advantage is much more </w:t>
      </w:r>
      <w:r>
        <w:rPr>
          <w:rFonts w:ascii="Times New Roman" w:eastAsia="Times New Roman" w:hAnsi="Times New Roman" w:cs="Times New Roman"/>
          <w:sz w:val="24"/>
          <w:szCs w:val="24"/>
        </w:rPr>
        <w:lastRenderedPageBreak/>
        <w:t>likely an accident than an accidental byproduct synthesizes a unique ecosystem consisting of policy, talent, and rivalry. Using the Porters Diamond Model has made me realize that the FinTech dominance the UK has is not the technological aspect but also the longstanding tradition of the Fintech of London being a facilitating industry. Furthermore, by analyzing Stripe's business using Institutional Theory and "Liability of Foreignness" (Zaheer, 1995) I learned something about the nuanced strategies of entry of modern digital MNEs. I learned that PESTLE is not a fixed list but an extremely dynamic web; a political event such as Brexit instantaneously sends a ripple through legal complications of data and changes to consumer expenditure. This understanding changed my perception of seeing these structures as different compartments to viewing them as a unified mechanism of market forces.</w:t>
      </w:r>
    </w:p>
    <w:p w14:paraId="5A7A6684"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The iterative research and synthesis process employed to achieve Level 7 critical depth.</w:t>
      </w:r>
    </w:p>
    <w:p w14:paraId="24BBBA5C"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1913187F" wp14:editId="0C9F8A2B">
            <wp:extent cx="3458618" cy="231443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458618" cy="2314430"/>
                    </a:xfrm>
                    <a:prstGeom prst="rect">
                      <a:avLst/>
                    </a:prstGeom>
                    <a:ln/>
                  </pic:spPr>
                </pic:pic>
              </a:graphicData>
            </a:graphic>
          </wp:inline>
        </w:drawing>
      </w:r>
    </w:p>
    <w:p w14:paraId="50E91E2F" w14:textId="77777777" w:rsidR="00D02E93" w:rsidRDefault="00D02E93" w:rsidP="003E3C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32"/>
          <w:szCs w:val="32"/>
        </w:rPr>
        <w:t>Conclusion</w:t>
      </w:r>
      <w:r>
        <w:rPr>
          <w:rFonts w:ascii="Times New Roman" w:eastAsia="Times New Roman" w:hAnsi="Times New Roman" w:cs="Times New Roman"/>
          <w:sz w:val="24"/>
          <w:szCs w:val="24"/>
        </w:rPr>
        <w:br/>
        <w:t>In conclusion, this assessment was a very valuable academic exercise that filled the gap between the theoretical international business concepts to the contemporary global economy. My critical assessment abilities were cultivated not only by describing the UK FinTech market, but also by asking why it is promising and what particular institutional risks foreign companies’ risk in their operations in this market. I now have a better understanding that even in a seemingly 'borderless' digital world, national institutions and local regulations are the key determiners of an MNE's success. If I were to do this task again, I would dedicate less of my time to broadly reading news articles, categorically unstructured, at the onset and immediately seek out core academic papers and official institutional reports to form the spine of my research, helping to streamline the synthesis process, avoiding early-stage cognitive bias.</w:t>
      </w:r>
    </w:p>
    <w:p w14:paraId="1A37C4D9" w14:textId="5E65751A"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32"/>
          <w:szCs w:val="32"/>
        </w:rPr>
        <w:lastRenderedPageBreak/>
        <w:t>Action Plan</w:t>
      </w:r>
      <w:r>
        <w:rPr>
          <w:rFonts w:ascii="Times New Roman" w:eastAsia="Times New Roman" w:hAnsi="Times New Roman" w:cs="Times New Roman"/>
          <w:sz w:val="24"/>
          <w:szCs w:val="24"/>
        </w:rPr>
        <w:br/>
        <w:t xml:space="preserve">In future, I will adopt various action plans following this reflective cycle. First, I will narrow down my academic research technique by establishing stringent guidelines on the credibility of a source by avoiding general business media and focusing on peer-reviewed journals to make my future strategic recommendation plans on confirmed data. Second, I will perform the tendency to employ strategic frameworks like the Porters Five Forces and the CAGE distance framework to business news I read daily and make theoretical application a subconscious habit in my career life. Finally, I will also pursue additional learning on international digital trade and regulatory compliance, in the form of AI and data </w:t>
      </w:r>
      <w:r w:rsidR="00681D03">
        <w:rPr>
          <w:rFonts w:ascii="Times New Roman" w:eastAsia="Times New Roman" w:hAnsi="Times New Roman" w:cs="Times New Roman"/>
          <w:sz w:val="24"/>
          <w:szCs w:val="24"/>
        </w:rPr>
        <w:t>sovereignty</w:t>
      </w:r>
      <w:r>
        <w:rPr>
          <w:rFonts w:ascii="Times New Roman" w:eastAsia="Times New Roman" w:hAnsi="Times New Roman" w:cs="Times New Roman"/>
          <w:sz w:val="24"/>
          <w:szCs w:val="24"/>
        </w:rPr>
        <w:t>, because all globalized corporation managers will have to deal with challenges of crossing these digital borders. To close this gap of knowledge that has been identified, I will enroll in a specialized digital law workshop next semester.</w:t>
      </w:r>
    </w:p>
    <w:p w14:paraId="68876F27"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6: Targeted competency areas for future professional development within the global digital economy</w:t>
      </w:r>
    </w:p>
    <w:p w14:paraId="2EC01F75" w14:textId="77777777" w:rsidR="00D02E93" w:rsidRDefault="00D02E93" w:rsidP="00D02E93">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5F8458C7" wp14:editId="4A418EDD">
            <wp:extent cx="3742148" cy="2387247"/>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742148" cy="2387247"/>
                    </a:xfrm>
                    <a:prstGeom prst="rect">
                      <a:avLst/>
                    </a:prstGeom>
                    <a:ln/>
                  </pic:spPr>
                </pic:pic>
              </a:graphicData>
            </a:graphic>
          </wp:inline>
        </w:drawing>
      </w:r>
    </w:p>
    <w:p w14:paraId="5881A5D9" w14:textId="77777777" w:rsidR="00E21B03" w:rsidRDefault="00E21B03" w:rsidP="00D02E93">
      <w:pPr>
        <w:spacing w:line="360" w:lineRule="auto"/>
        <w:jc w:val="center"/>
        <w:rPr>
          <w:rFonts w:ascii="Times New Roman" w:eastAsia="Times New Roman" w:hAnsi="Times New Roman" w:cs="Times New Roman"/>
          <w:b/>
          <w:bCs/>
          <w:sz w:val="24"/>
          <w:szCs w:val="24"/>
        </w:rPr>
      </w:pPr>
    </w:p>
    <w:p w14:paraId="06314B29" w14:textId="77777777" w:rsidR="00E21B03" w:rsidRDefault="00E21B03" w:rsidP="00D02E93">
      <w:pPr>
        <w:spacing w:line="360" w:lineRule="auto"/>
        <w:jc w:val="center"/>
        <w:rPr>
          <w:rFonts w:ascii="Times New Roman" w:eastAsia="Times New Roman" w:hAnsi="Times New Roman" w:cs="Times New Roman"/>
          <w:b/>
          <w:bCs/>
          <w:sz w:val="24"/>
          <w:szCs w:val="24"/>
        </w:rPr>
      </w:pPr>
    </w:p>
    <w:p w14:paraId="73053574" w14:textId="77777777" w:rsidR="00E21B03" w:rsidRDefault="00E21B03" w:rsidP="00D02E93">
      <w:pPr>
        <w:spacing w:line="360" w:lineRule="auto"/>
        <w:jc w:val="center"/>
        <w:rPr>
          <w:rFonts w:ascii="Times New Roman" w:eastAsia="Times New Roman" w:hAnsi="Times New Roman" w:cs="Times New Roman"/>
          <w:b/>
          <w:bCs/>
          <w:sz w:val="24"/>
          <w:szCs w:val="24"/>
        </w:rPr>
      </w:pPr>
    </w:p>
    <w:p w14:paraId="28D794FA" w14:textId="77777777" w:rsidR="00E21B03" w:rsidRDefault="00E21B03" w:rsidP="00D02E93">
      <w:pPr>
        <w:spacing w:line="360" w:lineRule="auto"/>
        <w:jc w:val="center"/>
        <w:rPr>
          <w:rFonts w:ascii="Times New Roman" w:eastAsia="Times New Roman" w:hAnsi="Times New Roman" w:cs="Times New Roman"/>
          <w:b/>
          <w:bCs/>
          <w:sz w:val="24"/>
          <w:szCs w:val="24"/>
        </w:rPr>
      </w:pPr>
    </w:p>
    <w:p w14:paraId="1B83A1C0" w14:textId="77777777" w:rsidR="00D02E93" w:rsidRDefault="00D02E93" w:rsidP="00D02E93">
      <w:pPr>
        <w:pStyle w:val="Heading1"/>
        <w:numPr>
          <w:ilvl w:val="0"/>
          <w:numId w:val="1"/>
        </w:numPr>
        <w:spacing w:line="360" w:lineRule="auto"/>
        <w:rPr>
          <w:rFonts w:ascii="Times New Roman" w:eastAsia="Times New Roman" w:hAnsi="Times New Roman" w:cs="Times New Roman"/>
        </w:rPr>
      </w:pPr>
      <w:bookmarkStart w:id="24" w:name="_Toc227532707"/>
      <w:r>
        <w:rPr>
          <w:rFonts w:ascii="Times New Roman" w:eastAsia="Times New Roman" w:hAnsi="Times New Roman" w:cs="Times New Roman"/>
        </w:rPr>
        <w:lastRenderedPageBreak/>
        <w:t>Reference List</w:t>
      </w:r>
      <w:bookmarkEnd w:id="24"/>
    </w:p>
    <w:p w14:paraId="23E0F8DA"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Al-Shari, A. and Lokhande, M. (2023) 'Risks of technology adoption in banking and FinTech sustainability', </w:t>
      </w:r>
      <w:r>
        <w:rPr>
          <w:rFonts w:ascii="Times New Roman" w:eastAsia="Times New Roman" w:hAnsi="Times New Roman" w:cs="Times New Roman"/>
          <w:i/>
          <w:iCs/>
          <w:sz w:val="24"/>
          <w:szCs w:val="24"/>
        </w:rPr>
        <w:t>Journal of Financial Technology</w:t>
      </w:r>
      <w:r>
        <w:rPr>
          <w:rFonts w:ascii="Times New Roman" w:eastAsia="Times New Roman" w:hAnsi="Times New Roman" w:cs="Times New Roman"/>
          <w:sz w:val="24"/>
          <w:szCs w:val="24"/>
        </w:rPr>
        <w:t>, 12(3), pp. 45-62.</w:t>
      </w:r>
    </w:p>
    <w:p w14:paraId="08B77C3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Arner, D.W., Barberis, J. and Buckley, R.P. (2015) 'The evolution of FinTech: A new post-crisis paradigm', </w:t>
      </w:r>
      <w:r>
        <w:rPr>
          <w:rFonts w:ascii="Times New Roman" w:eastAsia="Times New Roman" w:hAnsi="Times New Roman" w:cs="Times New Roman"/>
          <w:i/>
          <w:iCs/>
          <w:sz w:val="24"/>
          <w:szCs w:val="24"/>
        </w:rPr>
        <w:t>Georgetown Journal of International Law</w:t>
      </w:r>
      <w:r>
        <w:rPr>
          <w:rFonts w:ascii="Times New Roman" w:eastAsia="Times New Roman" w:hAnsi="Times New Roman" w:cs="Times New Roman"/>
          <w:sz w:val="24"/>
          <w:szCs w:val="24"/>
        </w:rPr>
        <w:t>, 47(4), pp. 1271-1319.</w:t>
      </w:r>
    </w:p>
    <w:p w14:paraId="02252C97"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Bholat, D. (2020) 'Big data and central banks', </w:t>
      </w:r>
      <w:r>
        <w:rPr>
          <w:rFonts w:ascii="Times New Roman" w:eastAsia="Times New Roman" w:hAnsi="Times New Roman" w:cs="Times New Roman"/>
          <w:i/>
          <w:iCs/>
          <w:sz w:val="24"/>
          <w:szCs w:val="24"/>
        </w:rPr>
        <w:t>Bank of England Quarterly Bulletin</w:t>
      </w:r>
      <w:r>
        <w:rPr>
          <w:rFonts w:ascii="Times New Roman" w:eastAsia="Times New Roman" w:hAnsi="Times New Roman" w:cs="Times New Roman"/>
          <w:sz w:val="24"/>
          <w:szCs w:val="24"/>
        </w:rPr>
        <w:t>, 55(1), pp. 86-93.</w:t>
      </w:r>
    </w:p>
    <w:p w14:paraId="672C51D4"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Buckley, P.J. and Casson, M. (2009) 'The internalisation theory of the multinational enterprise: A review of the progress of a research agenda after 30 years', </w:t>
      </w:r>
      <w:r>
        <w:rPr>
          <w:rFonts w:ascii="Times New Roman" w:eastAsia="Times New Roman" w:hAnsi="Times New Roman" w:cs="Times New Roman"/>
          <w:i/>
          <w:iCs/>
          <w:sz w:val="24"/>
          <w:szCs w:val="24"/>
        </w:rPr>
        <w:t>Journal of International Business Studies</w:t>
      </w:r>
      <w:r>
        <w:rPr>
          <w:rFonts w:ascii="Times New Roman" w:eastAsia="Times New Roman" w:hAnsi="Times New Roman" w:cs="Times New Roman"/>
          <w:sz w:val="24"/>
          <w:szCs w:val="24"/>
        </w:rPr>
        <w:t>, 40(9), pp. 1563-1580.</w:t>
      </w:r>
    </w:p>
    <w:p w14:paraId="2A4C1BF8" w14:textId="2A82B4A5"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CanvasBusinessModel (2025) </w:t>
      </w:r>
      <w:r>
        <w:rPr>
          <w:rFonts w:ascii="Times New Roman" w:eastAsia="Times New Roman" w:hAnsi="Times New Roman" w:cs="Times New Roman"/>
          <w:i/>
          <w:iCs/>
          <w:sz w:val="24"/>
          <w:szCs w:val="24"/>
        </w:rPr>
        <w:t>PESTLE Analysis of Stripe: Political, Economic, Social, Technological, Legal, and Environmental Factors</w:t>
      </w:r>
      <w:r>
        <w:rPr>
          <w:rFonts w:ascii="Times New Roman" w:eastAsia="Times New Roman" w:hAnsi="Times New Roman" w:cs="Times New Roman"/>
          <w:sz w:val="24"/>
          <w:szCs w:val="24"/>
        </w:rPr>
        <w:t>. Available at: </w:t>
      </w:r>
      <w:hyperlink r:id="rId12">
        <w:r>
          <w:rPr>
            <w:rFonts w:ascii="Times New Roman" w:eastAsia="Times New Roman" w:hAnsi="Times New Roman" w:cs="Times New Roman"/>
            <w:color w:val="467886"/>
            <w:sz w:val="24"/>
            <w:szCs w:val="24"/>
            <w:u w:val="single"/>
          </w:rPr>
          <w:t>https://www.canvasbusinessmodel.com/</w:t>
        </w:r>
      </w:hyperlink>
      <w:r>
        <w:rPr>
          <w:rFonts w:ascii="Times New Roman" w:eastAsia="Times New Roman" w:hAnsi="Times New Roman" w:cs="Times New Roman"/>
          <w:sz w:val="24"/>
          <w:szCs w:val="24"/>
        </w:rPr>
        <w:t xml:space="preserve"> (Accessed: </w:t>
      </w:r>
      <w:r w:rsidR="002F5251">
        <w:rPr>
          <w:rFonts w:ascii="Times New Roman" w:eastAsia="Times New Roman" w:hAnsi="Times New Roman" w:cs="Times New Roman"/>
          <w:sz w:val="24"/>
          <w:szCs w:val="24"/>
        </w:rPr>
        <w:t>2</w:t>
      </w:r>
      <w:r>
        <w:rPr>
          <w:rFonts w:ascii="Times New Roman" w:eastAsia="Times New Roman" w:hAnsi="Times New Roman" w:cs="Times New Roman"/>
          <w:sz w:val="24"/>
          <w:szCs w:val="24"/>
        </w:rPr>
        <w:t>8 March 2026).</w:t>
      </w:r>
    </w:p>
    <w:p w14:paraId="44D9BD6E"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Cassis, Y. (2006) </w:t>
      </w:r>
      <w:r>
        <w:rPr>
          <w:rFonts w:ascii="Times New Roman" w:eastAsia="Times New Roman" w:hAnsi="Times New Roman" w:cs="Times New Roman"/>
          <w:i/>
          <w:iCs/>
          <w:sz w:val="24"/>
          <w:szCs w:val="24"/>
        </w:rPr>
        <w:t>Capitals of Capital: A History of International Financial Centres, 1780-2005</w:t>
      </w:r>
      <w:r>
        <w:rPr>
          <w:rFonts w:ascii="Times New Roman" w:eastAsia="Times New Roman" w:hAnsi="Times New Roman" w:cs="Times New Roman"/>
          <w:sz w:val="24"/>
          <w:szCs w:val="24"/>
        </w:rPr>
        <w:t>. Cambridge: Cambridge University Press.</w:t>
      </w:r>
    </w:p>
    <w:p w14:paraId="7044F19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Chemmanur, T.J., et al. (2023) 'The rise of FinTech: Intertwining technology and financial services', </w:t>
      </w:r>
      <w:r>
        <w:rPr>
          <w:rFonts w:ascii="Times New Roman" w:eastAsia="Times New Roman" w:hAnsi="Times New Roman" w:cs="Times New Roman"/>
          <w:i/>
          <w:iCs/>
          <w:sz w:val="24"/>
          <w:szCs w:val="24"/>
        </w:rPr>
        <w:t>Journal of Corporate Finance</w:t>
      </w:r>
      <w:r>
        <w:rPr>
          <w:rFonts w:ascii="Times New Roman" w:eastAsia="Times New Roman" w:hAnsi="Times New Roman" w:cs="Times New Roman"/>
          <w:sz w:val="24"/>
          <w:szCs w:val="24"/>
        </w:rPr>
        <w:t>, 72, 102145.</w:t>
      </w:r>
    </w:p>
    <w:p w14:paraId="1FF5E6E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City of London Corporation (2020) </w:t>
      </w:r>
      <w:r>
        <w:rPr>
          <w:rFonts w:ascii="Times New Roman" w:eastAsia="Times New Roman" w:hAnsi="Times New Roman" w:cs="Times New Roman"/>
          <w:i/>
          <w:iCs/>
          <w:sz w:val="24"/>
          <w:szCs w:val="24"/>
        </w:rPr>
        <w:t>UK FinTech: Moving mountains and moving mainstream</w:t>
      </w:r>
      <w:r>
        <w:rPr>
          <w:rFonts w:ascii="Times New Roman" w:eastAsia="Times New Roman" w:hAnsi="Times New Roman" w:cs="Times New Roman"/>
          <w:sz w:val="24"/>
          <w:szCs w:val="24"/>
        </w:rPr>
        <w:t>. London: City of London.</w:t>
      </w:r>
    </w:p>
    <w:p w14:paraId="37A8283A"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Deloitte (2021) </w:t>
      </w:r>
      <w:r>
        <w:rPr>
          <w:rFonts w:ascii="Times New Roman" w:eastAsia="Times New Roman" w:hAnsi="Times New Roman" w:cs="Times New Roman"/>
          <w:i/>
          <w:iCs/>
          <w:sz w:val="24"/>
          <w:szCs w:val="24"/>
        </w:rPr>
        <w:t>UK FinTech Landscape: Wealthtech and Payments</w:t>
      </w:r>
      <w:r>
        <w:rPr>
          <w:rFonts w:ascii="Times New Roman" w:eastAsia="Times New Roman" w:hAnsi="Times New Roman" w:cs="Times New Roman"/>
          <w:sz w:val="24"/>
          <w:szCs w:val="24"/>
        </w:rPr>
        <w:t>. London: Deloitte LLP.</w:t>
      </w:r>
    </w:p>
    <w:p w14:paraId="491BF9A9"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Dunning, J.H. and Lundan, S.M. (2008) </w:t>
      </w:r>
      <w:r>
        <w:rPr>
          <w:rFonts w:ascii="Times New Roman" w:eastAsia="Times New Roman" w:hAnsi="Times New Roman" w:cs="Times New Roman"/>
          <w:i/>
          <w:iCs/>
          <w:sz w:val="24"/>
          <w:szCs w:val="24"/>
        </w:rPr>
        <w:t>Multinational Enterprises and the Global Economy</w:t>
      </w:r>
      <w:r>
        <w:rPr>
          <w:rFonts w:ascii="Times New Roman" w:eastAsia="Times New Roman" w:hAnsi="Times New Roman" w:cs="Times New Roman"/>
          <w:sz w:val="24"/>
          <w:szCs w:val="24"/>
        </w:rPr>
        <w:t>. 2nd edn. Cheltenham: Edward Elgar Publishing.</w:t>
      </w:r>
    </w:p>
    <w:p w14:paraId="514591E6"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EY (Ernst &amp; Young) (2019) </w:t>
      </w:r>
      <w:r>
        <w:rPr>
          <w:rFonts w:ascii="Times New Roman" w:eastAsia="Times New Roman" w:hAnsi="Times New Roman" w:cs="Times New Roman"/>
          <w:i/>
          <w:iCs/>
          <w:sz w:val="24"/>
          <w:szCs w:val="24"/>
        </w:rPr>
        <w:t>UK FinTech Census 2019</w:t>
      </w:r>
      <w:r>
        <w:rPr>
          <w:rFonts w:ascii="Times New Roman" w:eastAsia="Times New Roman" w:hAnsi="Times New Roman" w:cs="Times New Roman"/>
          <w:sz w:val="24"/>
          <w:szCs w:val="24"/>
        </w:rPr>
        <w:t>. London: EY Global.</w:t>
      </w:r>
    </w:p>
    <w:p w14:paraId="74FB05A9"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Fatorachian, H. (2023) 'Industry 5.0 and the global FinTech supply chain', </w:t>
      </w:r>
      <w:r>
        <w:rPr>
          <w:rFonts w:ascii="Times New Roman" w:eastAsia="Times New Roman" w:hAnsi="Times New Roman" w:cs="Times New Roman"/>
          <w:i/>
          <w:iCs/>
          <w:sz w:val="24"/>
          <w:szCs w:val="24"/>
        </w:rPr>
        <w:t>International Journal of Production Economics</w:t>
      </w:r>
      <w:r>
        <w:rPr>
          <w:rFonts w:ascii="Times New Roman" w:eastAsia="Times New Roman" w:hAnsi="Times New Roman" w:cs="Times New Roman"/>
          <w:sz w:val="24"/>
          <w:szCs w:val="24"/>
        </w:rPr>
        <w:t>, 255, 108654.</w:t>
      </w:r>
    </w:p>
    <w:p w14:paraId="5D150DD1"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Conduct Authority (FCA) (2024) </w:t>
      </w:r>
      <w:r>
        <w:rPr>
          <w:rFonts w:ascii="Times New Roman" w:eastAsia="Times New Roman" w:hAnsi="Times New Roman" w:cs="Times New Roman"/>
          <w:i/>
          <w:iCs/>
          <w:sz w:val="24"/>
          <w:szCs w:val="24"/>
        </w:rPr>
        <w:t>The growth gap: a literature review of regulation and growth</w:t>
      </w:r>
      <w:r>
        <w:rPr>
          <w:rFonts w:ascii="Times New Roman" w:eastAsia="Times New Roman" w:hAnsi="Times New Roman" w:cs="Times New Roman"/>
          <w:sz w:val="24"/>
          <w:szCs w:val="24"/>
        </w:rPr>
        <w:t>. Research Note. London: FCA.</w:t>
      </w:r>
    </w:p>
    <w:p w14:paraId="0BBFFAA6" w14:textId="357A3899"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FinTech Magazine (2023) </w:t>
      </w:r>
      <w:r>
        <w:rPr>
          <w:rFonts w:ascii="Times New Roman" w:eastAsia="Times New Roman" w:hAnsi="Times New Roman" w:cs="Times New Roman"/>
          <w:i/>
          <w:iCs/>
          <w:sz w:val="24"/>
          <w:szCs w:val="24"/>
        </w:rPr>
        <w:t>Top 10 UK fintechs by market capitalisation</w:t>
      </w:r>
      <w:r>
        <w:rPr>
          <w:rFonts w:ascii="Times New Roman" w:eastAsia="Times New Roman" w:hAnsi="Times New Roman" w:cs="Times New Roman"/>
          <w:sz w:val="24"/>
          <w:szCs w:val="24"/>
        </w:rPr>
        <w:t>. Available at: </w:t>
      </w:r>
      <w:hyperlink r:id="rId13">
        <w:r>
          <w:rPr>
            <w:rFonts w:ascii="Times New Roman" w:eastAsia="Times New Roman" w:hAnsi="Times New Roman" w:cs="Times New Roman"/>
            <w:color w:val="467886"/>
            <w:sz w:val="24"/>
            <w:szCs w:val="24"/>
            <w:u w:val="single"/>
          </w:rPr>
          <w:t>https://fintechmagazine.com/</w:t>
        </w:r>
      </w:hyperlink>
      <w:r>
        <w:rPr>
          <w:rFonts w:ascii="Times New Roman" w:eastAsia="Times New Roman" w:hAnsi="Times New Roman" w:cs="Times New Roman"/>
          <w:sz w:val="24"/>
          <w:szCs w:val="24"/>
        </w:rPr>
        <w:t> (Accessed: 1</w:t>
      </w:r>
      <w:r w:rsidR="002F5251">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March 2026).</w:t>
      </w:r>
    </w:p>
    <w:p w14:paraId="5EFF5F1C" w14:textId="0E67984F"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Fortune Business Insights (2023) </w:t>
      </w:r>
      <w:r>
        <w:rPr>
          <w:rFonts w:ascii="Times New Roman" w:eastAsia="Times New Roman" w:hAnsi="Times New Roman" w:cs="Times New Roman"/>
          <w:i/>
          <w:iCs/>
          <w:sz w:val="24"/>
          <w:szCs w:val="24"/>
        </w:rPr>
        <w:t>FinTech Market Size, Share &amp; COVID-19 Impact Analysis</w:t>
      </w:r>
      <w:r>
        <w:rPr>
          <w:rFonts w:ascii="Times New Roman" w:eastAsia="Times New Roman" w:hAnsi="Times New Roman" w:cs="Times New Roman"/>
          <w:sz w:val="24"/>
          <w:szCs w:val="24"/>
        </w:rPr>
        <w:t>. Available at: </w:t>
      </w:r>
      <w:hyperlink r:id="rId14">
        <w:r>
          <w:rPr>
            <w:rFonts w:ascii="Times New Roman" w:eastAsia="Times New Roman" w:hAnsi="Times New Roman" w:cs="Times New Roman"/>
            <w:color w:val="467886"/>
            <w:sz w:val="24"/>
            <w:szCs w:val="24"/>
            <w:u w:val="single"/>
          </w:rPr>
          <w:t>https://www.fortunebusinessinsights.com/</w:t>
        </w:r>
      </w:hyperlink>
      <w:r>
        <w:rPr>
          <w:rFonts w:ascii="Times New Roman" w:eastAsia="Times New Roman" w:hAnsi="Times New Roman" w:cs="Times New Roman"/>
          <w:sz w:val="24"/>
          <w:szCs w:val="24"/>
        </w:rPr>
        <w:t xml:space="preserve"> (Accessed: </w:t>
      </w:r>
      <w:r w:rsidR="002F5251">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March 2026).</w:t>
      </w:r>
    </w:p>
    <w:p w14:paraId="05F0A6D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Gawer, A. (2014) 'Bridging differing perspectives on technological platforms: Toward an integrative framework', </w:t>
      </w:r>
      <w:r>
        <w:rPr>
          <w:rFonts w:ascii="Times New Roman" w:eastAsia="Times New Roman" w:hAnsi="Times New Roman" w:cs="Times New Roman"/>
          <w:i/>
          <w:iCs/>
          <w:sz w:val="24"/>
          <w:szCs w:val="24"/>
        </w:rPr>
        <w:t>Research Policy</w:t>
      </w:r>
      <w:r>
        <w:rPr>
          <w:rFonts w:ascii="Times New Roman" w:eastAsia="Times New Roman" w:hAnsi="Times New Roman" w:cs="Times New Roman"/>
          <w:sz w:val="24"/>
          <w:szCs w:val="24"/>
        </w:rPr>
        <w:t>, 43(7), pp. 1239-1249.</w:t>
      </w:r>
    </w:p>
    <w:p w14:paraId="7C3D4EA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Gibbs, G. (1988) </w:t>
      </w:r>
      <w:r>
        <w:rPr>
          <w:rFonts w:ascii="Times New Roman" w:eastAsia="Times New Roman" w:hAnsi="Times New Roman" w:cs="Times New Roman"/>
          <w:i/>
          <w:iCs/>
          <w:sz w:val="24"/>
          <w:szCs w:val="24"/>
        </w:rPr>
        <w:t>Learning by Doing: A guide to teaching and learning methods</w:t>
      </w:r>
      <w:r>
        <w:rPr>
          <w:rFonts w:ascii="Times New Roman" w:eastAsia="Times New Roman" w:hAnsi="Times New Roman" w:cs="Times New Roman"/>
          <w:sz w:val="24"/>
          <w:szCs w:val="24"/>
        </w:rPr>
        <w:t>. Oxford: Further Education Unit.</w:t>
      </w:r>
    </w:p>
    <w:p w14:paraId="56FE9676"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Gomber, P., Kauffman, R.J., Parker, C. and Weber, B.W. (2018) 'On the FinTech revolution: Interpreting the forces of innovation, disruption, and transformation in financial services', </w:t>
      </w:r>
      <w:r>
        <w:rPr>
          <w:rFonts w:ascii="Times New Roman" w:eastAsia="Times New Roman" w:hAnsi="Times New Roman" w:cs="Times New Roman"/>
          <w:i/>
          <w:iCs/>
          <w:sz w:val="24"/>
          <w:szCs w:val="24"/>
        </w:rPr>
        <w:t>Journal of Management Information Systems</w:t>
      </w:r>
      <w:r>
        <w:rPr>
          <w:rFonts w:ascii="Times New Roman" w:eastAsia="Times New Roman" w:hAnsi="Times New Roman" w:cs="Times New Roman"/>
          <w:sz w:val="24"/>
          <w:szCs w:val="24"/>
        </w:rPr>
        <w:t>, 35(1), pp. 220-265.</w:t>
      </w:r>
    </w:p>
    <w:p w14:paraId="7FDEFF36"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Grant, R.M. (2016) </w:t>
      </w:r>
      <w:r>
        <w:rPr>
          <w:rFonts w:ascii="Times New Roman" w:eastAsia="Times New Roman" w:hAnsi="Times New Roman" w:cs="Times New Roman"/>
          <w:i/>
          <w:iCs/>
          <w:sz w:val="24"/>
          <w:szCs w:val="24"/>
        </w:rPr>
        <w:t>Contemporary Strategy Analysis: Text and Cases Edition</w:t>
      </w:r>
      <w:r>
        <w:rPr>
          <w:rFonts w:ascii="Times New Roman" w:eastAsia="Times New Roman" w:hAnsi="Times New Roman" w:cs="Times New Roman"/>
          <w:sz w:val="24"/>
          <w:szCs w:val="24"/>
        </w:rPr>
        <w:t>. 9th edn. Chichester: John Wiley &amp; Sons.</w:t>
      </w:r>
    </w:p>
    <w:p w14:paraId="28F1AC5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Hill, C.W.L., Hult, G.T.M. (2021) </w:t>
      </w:r>
      <w:r>
        <w:rPr>
          <w:rFonts w:ascii="Times New Roman" w:eastAsia="Times New Roman" w:hAnsi="Times New Roman" w:cs="Times New Roman"/>
          <w:i/>
          <w:iCs/>
          <w:sz w:val="24"/>
          <w:szCs w:val="24"/>
        </w:rPr>
        <w:t>International Business: Competing in the Global Marketplace</w:t>
      </w:r>
      <w:r>
        <w:rPr>
          <w:rFonts w:ascii="Times New Roman" w:eastAsia="Times New Roman" w:hAnsi="Times New Roman" w:cs="Times New Roman"/>
          <w:sz w:val="24"/>
          <w:szCs w:val="24"/>
        </w:rPr>
        <w:t>. 13th edn. New York: McGraw-Hill Education.</w:t>
      </w:r>
    </w:p>
    <w:p w14:paraId="5A6E151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HM Government (2025) </w:t>
      </w:r>
      <w:r>
        <w:rPr>
          <w:rFonts w:ascii="Times New Roman" w:eastAsia="Times New Roman" w:hAnsi="Times New Roman" w:cs="Times New Roman"/>
          <w:i/>
          <w:iCs/>
          <w:sz w:val="24"/>
          <w:szCs w:val="24"/>
        </w:rPr>
        <w:t>Financial Services Growth and Competitiveness Strategy</w:t>
      </w:r>
      <w:r>
        <w:rPr>
          <w:rFonts w:ascii="Times New Roman" w:eastAsia="Times New Roman" w:hAnsi="Times New Roman" w:cs="Times New Roman"/>
          <w:sz w:val="24"/>
          <w:szCs w:val="24"/>
        </w:rPr>
        <w:t>. London: HM Treasury.</w:t>
      </w:r>
    </w:p>
    <w:p w14:paraId="4C2B3099"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Hussain, H., Jun, W. and Radulescu, M. (2024) 'Innovation Performance in the Digital Divide Context: Nexus of Digital Infrastructure, Digital Innovation, and E-knowledge', </w:t>
      </w:r>
      <w:r>
        <w:rPr>
          <w:rFonts w:ascii="Times New Roman" w:eastAsia="Times New Roman" w:hAnsi="Times New Roman" w:cs="Times New Roman"/>
          <w:i/>
          <w:iCs/>
          <w:sz w:val="24"/>
          <w:szCs w:val="24"/>
        </w:rPr>
        <w:t>Journal of the Knowledge Economy</w:t>
      </w:r>
      <w:r>
        <w:rPr>
          <w:rFonts w:ascii="Times New Roman" w:eastAsia="Times New Roman" w:hAnsi="Times New Roman" w:cs="Times New Roman"/>
          <w:sz w:val="24"/>
          <w:szCs w:val="24"/>
        </w:rPr>
        <w:t>, 15, pp. 1-25.</w:t>
      </w:r>
    </w:p>
    <w:p w14:paraId="2FF44E5A" w14:textId="3EF5552B"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IBM (2023) </w:t>
      </w:r>
      <w:r>
        <w:rPr>
          <w:rFonts w:ascii="Times New Roman" w:eastAsia="Times New Roman" w:hAnsi="Times New Roman" w:cs="Times New Roman"/>
          <w:i/>
          <w:iCs/>
          <w:sz w:val="24"/>
          <w:szCs w:val="24"/>
        </w:rPr>
        <w:t>Cost of a data breach report 2023</w:t>
      </w:r>
      <w:r>
        <w:rPr>
          <w:rFonts w:ascii="Times New Roman" w:eastAsia="Times New Roman" w:hAnsi="Times New Roman" w:cs="Times New Roman"/>
          <w:sz w:val="24"/>
          <w:szCs w:val="24"/>
        </w:rPr>
        <w:t>. Available at: </w:t>
      </w:r>
      <w:hyperlink r:id="rId15">
        <w:r>
          <w:rPr>
            <w:rFonts w:ascii="Times New Roman" w:eastAsia="Times New Roman" w:hAnsi="Times New Roman" w:cs="Times New Roman"/>
            <w:color w:val="467886"/>
            <w:sz w:val="24"/>
            <w:szCs w:val="24"/>
            <w:u w:val="single"/>
          </w:rPr>
          <w:t>https://www.ibm.com/reports/data-breach</w:t>
        </w:r>
      </w:hyperlink>
      <w:r>
        <w:rPr>
          <w:rFonts w:ascii="Times New Roman" w:eastAsia="Times New Roman" w:hAnsi="Times New Roman" w:cs="Times New Roman"/>
          <w:sz w:val="24"/>
          <w:szCs w:val="24"/>
        </w:rPr>
        <w:t xml:space="preserve"> (Accessed: </w:t>
      </w:r>
      <w:r w:rsidR="007A357D">
        <w:rPr>
          <w:rFonts w:ascii="Times New Roman" w:eastAsia="Times New Roman" w:hAnsi="Times New Roman" w:cs="Times New Roman"/>
          <w:sz w:val="24"/>
          <w:szCs w:val="24"/>
        </w:rPr>
        <w:t>28</w:t>
      </w:r>
      <w:r>
        <w:rPr>
          <w:rFonts w:ascii="Times New Roman" w:eastAsia="Times New Roman" w:hAnsi="Times New Roman" w:cs="Times New Roman"/>
          <w:sz w:val="24"/>
          <w:szCs w:val="24"/>
        </w:rPr>
        <w:t xml:space="preserve"> March 2026).</w:t>
      </w:r>
    </w:p>
    <w:p w14:paraId="4A6E9455" w14:textId="110D46FF"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IMARC Group (2024) </w:t>
      </w:r>
      <w:r>
        <w:rPr>
          <w:rFonts w:ascii="Times New Roman" w:eastAsia="Times New Roman" w:hAnsi="Times New Roman" w:cs="Times New Roman"/>
          <w:i/>
          <w:iCs/>
          <w:sz w:val="24"/>
          <w:szCs w:val="24"/>
        </w:rPr>
        <w:t>UK Fintech Market: Size, Growth Trends and Forecast 2033</w:t>
      </w:r>
      <w:r>
        <w:rPr>
          <w:rFonts w:ascii="Times New Roman" w:eastAsia="Times New Roman" w:hAnsi="Times New Roman" w:cs="Times New Roman"/>
          <w:sz w:val="24"/>
          <w:szCs w:val="24"/>
        </w:rPr>
        <w:t>. Available at: </w:t>
      </w:r>
      <w:hyperlink r:id="rId16">
        <w:r>
          <w:rPr>
            <w:rFonts w:ascii="Times New Roman" w:eastAsia="Times New Roman" w:hAnsi="Times New Roman" w:cs="Times New Roman"/>
            <w:color w:val="467886"/>
            <w:sz w:val="24"/>
            <w:szCs w:val="24"/>
            <w:u w:val="single"/>
          </w:rPr>
          <w:t>https://www.imarcgroup.com/</w:t>
        </w:r>
      </w:hyperlink>
      <w:r>
        <w:rPr>
          <w:rFonts w:ascii="Times New Roman" w:eastAsia="Times New Roman" w:hAnsi="Times New Roman" w:cs="Times New Roman"/>
          <w:sz w:val="24"/>
          <w:szCs w:val="24"/>
        </w:rPr>
        <w:t xml:space="preserve"> (Accessed: </w:t>
      </w:r>
      <w:r w:rsidR="007A357D">
        <w:rPr>
          <w:rFonts w:ascii="Times New Roman" w:eastAsia="Times New Roman" w:hAnsi="Times New Roman" w:cs="Times New Roman"/>
          <w:sz w:val="24"/>
          <w:szCs w:val="24"/>
        </w:rPr>
        <w:t xml:space="preserve">12 April </w:t>
      </w:r>
      <w:r>
        <w:rPr>
          <w:rFonts w:ascii="Times New Roman" w:eastAsia="Times New Roman" w:hAnsi="Times New Roman" w:cs="Times New Roman"/>
          <w:sz w:val="24"/>
          <w:szCs w:val="24"/>
        </w:rPr>
        <w:t>2026).</w:t>
      </w:r>
    </w:p>
    <w:p w14:paraId="0F3D5F3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Iman, N. (2020) 'The rise and rise of financial technology: The good, the bad, and the verdict', </w:t>
      </w:r>
      <w:r>
        <w:rPr>
          <w:rFonts w:ascii="Times New Roman" w:eastAsia="Times New Roman" w:hAnsi="Times New Roman" w:cs="Times New Roman"/>
          <w:i/>
          <w:iCs/>
          <w:sz w:val="24"/>
          <w:szCs w:val="24"/>
        </w:rPr>
        <w:t>Cogent Business &amp; Management</w:t>
      </w:r>
      <w:r>
        <w:rPr>
          <w:rFonts w:ascii="Times New Roman" w:eastAsia="Times New Roman" w:hAnsi="Times New Roman" w:cs="Times New Roman"/>
          <w:sz w:val="24"/>
          <w:szCs w:val="24"/>
        </w:rPr>
        <w:t>, 7(1), 1725309.</w:t>
      </w:r>
    </w:p>
    <w:p w14:paraId="407A8EC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Innovate Finance (2021) </w:t>
      </w:r>
      <w:r>
        <w:rPr>
          <w:rFonts w:ascii="Times New Roman" w:eastAsia="Times New Roman" w:hAnsi="Times New Roman" w:cs="Times New Roman"/>
          <w:i/>
          <w:iCs/>
          <w:sz w:val="24"/>
          <w:szCs w:val="24"/>
        </w:rPr>
        <w:t>UK FinTech Shines Bright Amid the Covid Gloom</w:t>
      </w:r>
      <w:r>
        <w:rPr>
          <w:rFonts w:ascii="Times New Roman" w:eastAsia="Times New Roman" w:hAnsi="Times New Roman" w:cs="Times New Roman"/>
          <w:sz w:val="24"/>
          <w:szCs w:val="24"/>
        </w:rPr>
        <w:t>. London: Innovate Finance.</w:t>
      </w:r>
    </w:p>
    <w:p w14:paraId="38C370C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Innovate Finance (2023) </w:t>
      </w:r>
      <w:r>
        <w:rPr>
          <w:rFonts w:ascii="Times New Roman" w:eastAsia="Times New Roman" w:hAnsi="Times New Roman" w:cs="Times New Roman"/>
          <w:i/>
          <w:iCs/>
          <w:sz w:val="24"/>
          <w:szCs w:val="24"/>
        </w:rPr>
        <w:t>UK FinTech Investment Landscape 2022</w:t>
      </w:r>
      <w:r>
        <w:rPr>
          <w:rFonts w:ascii="Times New Roman" w:eastAsia="Times New Roman" w:hAnsi="Times New Roman" w:cs="Times New Roman"/>
          <w:sz w:val="24"/>
          <w:szCs w:val="24"/>
        </w:rPr>
        <w:t>. London: Innovate Finance.</w:t>
      </w:r>
    </w:p>
    <w:p w14:paraId="3CCA8D5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Johanson, J. and Vahlne, J.E. (1977) 'The internationalization process of the firm—a model of knowledge development and increasing foreign market commitments', </w:t>
      </w:r>
      <w:r>
        <w:rPr>
          <w:rFonts w:ascii="Times New Roman" w:eastAsia="Times New Roman" w:hAnsi="Times New Roman" w:cs="Times New Roman"/>
          <w:i/>
          <w:iCs/>
          <w:sz w:val="24"/>
          <w:szCs w:val="24"/>
        </w:rPr>
        <w:t>Journal of International Business Studies</w:t>
      </w:r>
      <w:r>
        <w:rPr>
          <w:rFonts w:ascii="Times New Roman" w:eastAsia="Times New Roman" w:hAnsi="Times New Roman" w:cs="Times New Roman"/>
          <w:sz w:val="24"/>
          <w:szCs w:val="24"/>
        </w:rPr>
        <w:t>, 8(1), pp. 23-32.</w:t>
      </w:r>
    </w:p>
    <w:p w14:paraId="419DE10E"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Kalifa, R. (2021) </w:t>
      </w:r>
      <w:r>
        <w:rPr>
          <w:rFonts w:ascii="Times New Roman" w:eastAsia="Times New Roman" w:hAnsi="Times New Roman" w:cs="Times New Roman"/>
          <w:i/>
          <w:iCs/>
          <w:sz w:val="24"/>
          <w:szCs w:val="24"/>
        </w:rPr>
        <w:t>The Kalifa Review of UK FinTech</w:t>
      </w:r>
      <w:r>
        <w:rPr>
          <w:rFonts w:ascii="Times New Roman" w:eastAsia="Times New Roman" w:hAnsi="Times New Roman" w:cs="Times New Roman"/>
          <w:sz w:val="24"/>
          <w:szCs w:val="24"/>
        </w:rPr>
        <w:t>. London: HM Treasury.</w:t>
      </w:r>
    </w:p>
    <w:p w14:paraId="60CFBFB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Kimber, L. (2023) 'Gender disparity and diversity in the UK FinTech sector', </w:t>
      </w:r>
      <w:r>
        <w:rPr>
          <w:rFonts w:ascii="Times New Roman" w:eastAsia="Times New Roman" w:hAnsi="Times New Roman" w:cs="Times New Roman"/>
          <w:i/>
          <w:iCs/>
          <w:sz w:val="24"/>
          <w:szCs w:val="24"/>
        </w:rPr>
        <w:t>Journal of Financial Inclusion</w:t>
      </w:r>
      <w:r>
        <w:rPr>
          <w:rFonts w:ascii="Times New Roman" w:eastAsia="Times New Roman" w:hAnsi="Times New Roman" w:cs="Times New Roman"/>
          <w:sz w:val="24"/>
          <w:szCs w:val="24"/>
        </w:rPr>
        <w:t>, 8(2), pp. 112-128.</w:t>
      </w:r>
    </w:p>
    <w:p w14:paraId="1CFB6D7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KPMG (2022) </w:t>
      </w:r>
      <w:r>
        <w:rPr>
          <w:rFonts w:ascii="Times New Roman" w:eastAsia="Times New Roman" w:hAnsi="Times New Roman" w:cs="Times New Roman"/>
          <w:i/>
          <w:iCs/>
          <w:sz w:val="24"/>
          <w:szCs w:val="24"/>
        </w:rPr>
        <w:t>Pulse of Fintech H2 2021: Global analysis of investment in fintech</w:t>
      </w:r>
      <w:r>
        <w:rPr>
          <w:rFonts w:ascii="Times New Roman" w:eastAsia="Times New Roman" w:hAnsi="Times New Roman" w:cs="Times New Roman"/>
          <w:sz w:val="24"/>
          <w:szCs w:val="24"/>
        </w:rPr>
        <w:t>. London: KPMG International.</w:t>
      </w:r>
    </w:p>
    <w:p w14:paraId="74A3EDE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Lee, I. and Shin, Y.J. (2018) 'Fintech: Ecosystem, business models, investment decisions, and challenges', </w:t>
      </w:r>
      <w:r>
        <w:rPr>
          <w:rFonts w:ascii="Times New Roman" w:eastAsia="Times New Roman" w:hAnsi="Times New Roman" w:cs="Times New Roman"/>
          <w:i/>
          <w:iCs/>
          <w:sz w:val="24"/>
          <w:szCs w:val="24"/>
        </w:rPr>
        <w:t>Business Horizons</w:t>
      </w:r>
      <w:r>
        <w:rPr>
          <w:rFonts w:ascii="Times New Roman" w:eastAsia="Times New Roman" w:hAnsi="Times New Roman" w:cs="Times New Roman"/>
          <w:sz w:val="24"/>
          <w:szCs w:val="24"/>
        </w:rPr>
        <w:t>, 61(1), pp. 35-46.</w:t>
      </w:r>
    </w:p>
    <w:p w14:paraId="4FE9EE03" w14:textId="06D3C020"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MARC Glocal (2022) </w:t>
      </w:r>
      <w:r>
        <w:rPr>
          <w:rFonts w:ascii="Times New Roman" w:eastAsia="Times New Roman" w:hAnsi="Times New Roman" w:cs="Times New Roman"/>
          <w:i/>
          <w:iCs/>
          <w:sz w:val="24"/>
          <w:szCs w:val="24"/>
        </w:rPr>
        <w:t>The UK Fintech Industry: Market Size and Growth</w:t>
      </w:r>
      <w:r>
        <w:rPr>
          <w:rFonts w:ascii="Times New Roman" w:eastAsia="Times New Roman" w:hAnsi="Times New Roman" w:cs="Times New Roman"/>
          <w:sz w:val="24"/>
          <w:szCs w:val="24"/>
        </w:rPr>
        <w:t>. Available at: </w:t>
      </w:r>
      <w:hyperlink r:id="rId17">
        <w:r>
          <w:rPr>
            <w:rFonts w:ascii="Times New Roman" w:eastAsia="Times New Roman" w:hAnsi="Times New Roman" w:cs="Times New Roman"/>
            <w:color w:val="467886"/>
            <w:sz w:val="24"/>
            <w:szCs w:val="24"/>
            <w:u w:val="single"/>
          </w:rPr>
          <w:t>https://marcglocal.com/</w:t>
        </w:r>
      </w:hyperlink>
      <w:r>
        <w:rPr>
          <w:rFonts w:ascii="Times New Roman" w:eastAsia="Times New Roman" w:hAnsi="Times New Roman" w:cs="Times New Roman"/>
          <w:sz w:val="24"/>
          <w:szCs w:val="24"/>
        </w:rPr>
        <w:t xml:space="preserve"> (Accessed: </w:t>
      </w:r>
      <w:r w:rsidR="00894E49">
        <w:rPr>
          <w:rFonts w:ascii="Times New Roman" w:eastAsia="Times New Roman" w:hAnsi="Times New Roman" w:cs="Times New Roman"/>
          <w:sz w:val="24"/>
          <w:szCs w:val="24"/>
        </w:rPr>
        <w:t>28</w:t>
      </w:r>
      <w:r>
        <w:rPr>
          <w:rFonts w:ascii="Times New Roman" w:eastAsia="Times New Roman" w:hAnsi="Times New Roman" w:cs="Times New Roman"/>
          <w:sz w:val="24"/>
          <w:szCs w:val="24"/>
        </w:rPr>
        <w:t xml:space="preserve"> March 2026).</w:t>
      </w:r>
    </w:p>
    <w:p w14:paraId="5C5CCD1E"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McKinsey &amp; Company (2014) </w:t>
      </w:r>
      <w:r>
        <w:rPr>
          <w:rFonts w:ascii="Times New Roman" w:eastAsia="Times New Roman" w:hAnsi="Times New Roman" w:cs="Times New Roman"/>
          <w:i/>
          <w:iCs/>
          <w:sz w:val="24"/>
          <w:szCs w:val="24"/>
        </w:rPr>
        <w:t>The Economic Impact of UK Tech Clusters</w:t>
      </w:r>
      <w:r>
        <w:rPr>
          <w:rFonts w:ascii="Times New Roman" w:eastAsia="Times New Roman" w:hAnsi="Times New Roman" w:cs="Times New Roman"/>
          <w:sz w:val="24"/>
          <w:szCs w:val="24"/>
        </w:rPr>
        <w:t>. London: McKinsey.</w:t>
      </w:r>
    </w:p>
    <w:p w14:paraId="6F35E48B" w14:textId="00253198"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Merchant Savvy (2026) </w:t>
      </w:r>
      <w:r>
        <w:rPr>
          <w:rFonts w:ascii="Times New Roman" w:eastAsia="Times New Roman" w:hAnsi="Times New Roman" w:cs="Times New Roman"/>
          <w:i/>
          <w:iCs/>
          <w:sz w:val="24"/>
          <w:szCs w:val="24"/>
        </w:rPr>
        <w:t>Global Fintech Statistics, Data &amp; Charts - 2026</w:t>
      </w:r>
      <w:r>
        <w:rPr>
          <w:rFonts w:ascii="Times New Roman" w:eastAsia="Times New Roman" w:hAnsi="Times New Roman" w:cs="Times New Roman"/>
          <w:sz w:val="24"/>
          <w:szCs w:val="24"/>
        </w:rPr>
        <w:t>. Available at: </w:t>
      </w:r>
      <w:hyperlink r:id="rId18">
        <w:r>
          <w:rPr>
            <w:rFonts w:ascii="Times New Roman" w:eastAsia="Times New Roman" w:hAnsi="Times New Roman" w:cs="Times New Roman"/>
            <w:color w:val="467886"/>
            <w:sz w:val="24"/>
            <w:szCs w:val="24"/>
            <w:u w:val="single"/>
          </w:rPr>
          <w:t>https://www.merchantsavvy.co.uk/</w:t>
        </w:r>
      </w:hyperlink>
      <w:r>
        <w:rPr>
          <w:rFonts w:ascii="Times New Roman" w:eastAsia="Times New Roman" w:hAnsi="Times New Roman" w:cs="Times New Roman"/>
          <w:sz w:val="24"/>
          <w:szCs w:val="24"/>
        </w:rPr>
        <w:t xml:space="preserve"> (Accessed: </w:t>
      </w:r>
      <w:r w:rsidR="00894E49">
        <w:rPr>
          <w:rFonts w:ascii="Times New Roman" w:eastAsia="Times New Roman" w:hAnsi="Times New Roman" w:cs="Times New Roman"/>
          <w:sz w:val="24"/>
          <w:szCs w:val="24"/>
        </w:rPr>
        <w:t>12 April</w:t>
      </w:r>
      <w:r>
        <w:rPr>
          <w:rFonts w:ascii="Times New Roman" w:eastAsia="Times New Roman" w:hAnsi="Times New Roman" w:cs="Times New Roman"/>
          <w:sz w:val="24"/>
          <w:szCs w:val="24"/>
        </w:rPr>
        <w:t xml:space="preserve"> 2026).</w:t>
      </w:r>
    </w:p>
    <w:p w14:paraId="018D90E0" w14:textId="5C2E2D58"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Mordor Intelligence (2026) </w:t>
      </w:r>
      <w:r>
        <w:rPr>
          <w:rFonts w:ascii="Times New Roman" w:eastAsia="Times New Roman" w:hAnsi="Times New Roman" w:cs="Times New Roman"/>
          <w:i/>
          <w:iCs/>
          <w:sz w:val="24"/>
          <w:szCs w:val="24"/>
        </w:rPr>
        <w:t>United Kingdom Fintech Market Size, Analysis, Share &amp; Research Report 2031</w:t>
      </w:r>
      <w:r>
        <w:rPr>
          <w:rFonts w:ascii="Times New Roman" w:eastAsia="Times New Roman" w:hAnsi="Times New Roman" w:cs="Times New Roman"/>
          <w:sz w:val="24"/>
          <w:szCs w:val="24"/>
        </w:rPr>
        <w:t>. Available at: </w:t>
      </w:r>
      <w:hyperlink r:id="rId19">
        <w:r>
          <w:rPr>
            <w:rFonts w:ascii="Times New Roman" w:eastAsia="Times New Roman" w:hAnsi="Times New Roman" w:cs="Times New Roman"/>
            <w:color w:val="467886"/>
            <w:sz w:val="24"/>
            <w:szCs w:val="24"/>
            <w:u w:val="single"/>
          </w:rPr>
          <w:t>https://www.mordorintelligence.com/</w:t>
        </w:r>
      </w:hyperlink>
      <w:r>
        <w:rPr>
          <w:rFonts w:ascii="Times New Roman" w:eastAsia="Times New Roman" w:hAnsi="Times New Roman" w:cs="Times New Roman"/>
          <w:sz w:val="24"/>
          <w:szCs w:val="24"/>
        </w:rPr>
        <w:t> (Accessed: 1</w:t>
      </w:r>
      <w:r w:rsidR="00894E49">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March 2026).</w:t>
      </w:r>
    </w:p>
    <w:p w14:paraId="2EFB95E7"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Navigating the challenges of FinTech startups in the B2C market (2024) </w:t>
      </w:r>
      <w:r>
        <w:rPr>
          <w:rFonts w:ascii="Times New Roman" w:eastAsia="Times New Roman" w:hAnsi="Times New Roman" w:cs="Times New Roman"/>
          <w:i/>
          <w:iCs/>
          <w:sz w:val="24"/>
          <w:szCs w:val="24"/>
        </w:rPr>
        <w:t>Cogent Business &amp; Management</w:t>
      </w:r>
      <w:r>
        <w:rPr>
          <w:rFonts w:ascii="Times New Roman" w:eastAsia="Times New Roman" w:hAnsi="Times New Roman" w:cs="Times New Roman"/>
          <w:sz w:val="24"/>
          <w:szCs w:val="24"/>
        </w:rPr>
        <w:t>, 11(1). Available at: </w:t>
      </w:r>
      <w:hyperlink r:id="rId20">
        <w:r>
          <w:rPr>
            <w:rFonts w:ascii="Times New Roman" w:eastAsia="Times New Roman" w:hAnsi="Times New Roman" w:cs="Times New Roman"/>
            <w:color w:val="467886"/>
            <w:sz w:val="24"/>
            <w:szCs w:val="24"/>
            <w:u w:val="single"/>
          </w:rPr>
          <w:t>https://www.tandfonline.com/</w:t>
        </w:r>
      </w:hyperlink>
      <w:r>
        <w:rPr>
          <w:rFonts w:ascii="Times New Roman" w:eastAsia="Times New Roman" w:hAnsi="Times New Roman" w:cs="Times New Roman"/>
          <w:sz w:val="24"/>
          <w:szCs w:val="24"/>
        </w:rPr>
        <w:t> (Accessed: 18 March 2026).</w:t>
      </w:r>
    </w:p>
    <w:p w14:paraId="04B27F10" w14:textId="0799F980"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Omega (2024) </w:t>
      </w:r>
      <w:r>
        <w:rPr>
          <w:rFonts w:ascii="Times New Roman" w:eastAsia="Times New Roman" w:hAnsi="Times New Roman" w:cs="Times New Roman"/>
          <w:i/>
          <w:iCs/>
          <w:sz w:val="24"/>
          <w:szCs w:val="24"/>
        </w:rPr>
        <w:t>UK Fintech Industry: Interesting Statistics You Should Know</w:t>
      </w:r>
      <w:r>
        <w:rPr>
          <w:rFonts w:ascii="Times New Roman" w:eastAsia="Times New Roman" w:hAnsi="Times New Roman" w:cs="Times New Roman"/>
          <w:sz w:val="24"/>
          <w:szCs w:val="24"/>
        </w:rPr>
        <w:t>. Available at: </w:t>
      </w:r>
      <w:hyperlink r:id="rId21">
        <w:r>
          <w:rPr>
            <w:rFonts w:ascii="Times New Roman" w:eastAsia="Times New Roman" w:hAnsi="Times New Roman" w:cs="Times New Roman"/>
            <w:color w:val="467886"/>
            <w:sz w:val="24"/>
            <w:szCs w:val="24"/>
            <w:u w:val="single"/>
          </w:rPr>
          <w:t>https://omg.one/</w:t>
        </w:r>
      </w:hyperlink>
      <w:r>
        <w:rPr>
          <w:rFonts w:ascii="Times New Roman" w:eastAsia="Times New Roman" w:hAnsi="Times New Roman" w:cs="Times New Roman"/>
          <w:sz w:val="24"/>
          <w:szCs w:val="24"/>
        </w:rPr>
        <w:t xml:space="preserve"> (Accessed: </w:t>
      </w:r>
      <w:r w:rsidR="00894E49">
        <w:rPr>
          <w:rFonts w:ascii="Times New Roman" w:eastAsia="Times New Roman" w:hAnsi="Times New Roman" w:cs="Times New Roman"/>
          <w:sz w:val="24"/>
          <w:szCs w:val="24"/>
        </w:rPr>
        <w:t>24</w:t>
      </w:r>
      <w:r>
        <w:rPr>
          <w:rFonts w:ascii="Times New Roman" w:eastAsia="Times New Roman" w:hAnsi="Times New Roman" w:cs="Times New Roman"/>
          <w:sz w:val="24"/>
          <w:szCs w:val="24"/>
        </w:rPr>
        <w:t xml:space="preserve"> March 2026).</w:t>
      </w:r>
    </w:p>
    <w:p w14:paraId="4EC1340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Peng, M.W. (2014) </w:t>
      </w:r>
      <w:r>
        <w:rPr>
          <w:rFonts w:ascii="Times New Roman" w:eastAsia="Times New Roman" w:hAnsi="Times New Roman" w:cs="Times New Roman"/>
          <w:i/>
          <w:iCs/>
          <w:sz w:val="24"/>
          <w:szCs w:val="24"/>
        </w:rPr>
        <w:t>Global Strategy</w:t>
      </w:r>
      <w:r>
        <w:rPr>
          <w:rFonts w:ascii="Times New Roman" w:eastAsia="Times New Roman" w:hAnsi="Times New Roman" w:cs="Times New Roman"/>
          <w:sz w:val="24"/>
          <w:szCs w:val="24"/>
        </w:rPr>
        <w:t xml:space="preserve">. 3rd </w:t>
      </w:r>
      <w:proofErr w:type="gramStart"/>
      <w:r>
        <w:rPr>
          <w:rFonts w:ascii="Times New Roman" w:eastAsia="Times New Roman" w:hAnsi="Times New Roman" w:cs="Times New Roman"/>
          <w:sz w:val="24"/>
          <w:szCs w:val="24"/>
        </w:rPr>
        <w:t>edn</w:t>
      </w:r>
      <w:proofErr w:type="gramEnd"/>
      <w:r>
        <w:rPr>
          <w:rFonts w:ascii="Times New Roman" w:eastAsia="Times New Roman" w:hAnsi="Times New Roman" w:cs="Times New Roman"/>
          <w:sz w:val="24"/>
          <w:szCs w:val="24"/>
        </w:rPr>
        <w:t>. Cincinnati: South-Western Cengage Learning.</w:t>
      </w:r>
    </w:p>
    <w:p w14:paraId="64F512D8" w14:textId="4316AE1F"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PESTEL Analysis (2025) </w:t>
      </w:r>
      <w:r>
        <w:rPr>
          <w:rFonts w:ascii="Times New Roman" w:eastAsia="Times New Roman" w:hAnsi="Times New Roman" w:cs="Times New Roman"/>
          <w:i/>
          <w:iCs/>
          <w:sz w:val="24"/>
          <w:szCs w:val="24"/>
        </w:rPr>
        <w:t>What is Competitive Landscape of Stripe Company?</w:t>
      </w:r>
      <w:r>
        <w:rPr>
          <w:rFonts w:ascii="Times New Roman" w:eastAsia="Times New Roman" w:hAnsi="Times New Roman" w:cs="Times New Roman"/>
          <w:sz w:val="24"/>
          <w:szCs w:val="24"/>
        </w:rPr>
        <w:t> Available at: </w:t>
      </w:r>
      <w:hyperlink r:id="rId22">
        <w:r>
          <w:rPr>
            <w:rFonts w:ascii="Times New Roman" w:eastAsia="Times New Roman" w:hAnsi="Times New Roman" w:cs="Times New Roman"/>
            <w:color w:val="467886"/>
            <w:sz w:val="24"/>
            <w:szCs w:val="24"/>
            <w:u w:val="single"/>
          </w:rPr>
          <w:t>https://pestel-analysis.com/</w:t>
        </w:r>
      </w:hyperlink>
      <w:r>
        <w:rPr>
          <w:rFonts w:ascii="Times New Roman" w:eastAsia="Times New Roman" w:hAnsi="Times New Roman" w:cs="Times New Roman"/>
          <w:sz w:val="24"/>
          <w:szCs w:val="24"/>
        </w:rPr>
        <w:t xml:space="preserve"> (Accessed: </w:t>
      </w:r>
      <w:r w:rsidR="00894E49">
        <w:rPr>
          <w:rFonts w:ascii="Times New Roman" w:eastAsia="Times New Roman" w:hAnsi="Times New Roman" w:cs="Times New Roman"/>
          <w:sz w:val="24"/>
          <w:szCs w:val="24"/>
        </w:rPr>
        <w:t>12 April</w:t>
      </w:r>
      <w:r>
        <w:rPr>
          <w:rFonts w:ascii="Times New Roman" w:eastAsia="Times New Roman" w:hAnsi="Times New Roman" w:cs="Times New Roman"/>
          <w:sz w:val="24"/>
          <w:szCs w:val="24"/>
        </w:rPr>
        <w:t xml:space="preserve"> 2026).</w:t>
      </w:r>
    </w:p>
    <w:p w14:paraId="28E0D005" w14:textId="29273C66"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PESTEL Analysis (2025) </w:t>
      </w:r>
      <w:r>
        <w:rPr>
          <w:rFonts w:ascii="Times New Roman" w:eastAsia="Times New Roman" w:hAnsi="Times New Roman" w:cs="Times New Roman"/>
          <w:i/>
          <w:iCs/>
          <w:sz w:val="24"/>
          <w:szCs w:val="24"/>
        </w:rPr>
        <w:t>Stripe Marketing Mix - PESTEL Analysis</w:t>
      </w:r>
      <w:r>
        <w:rPr>
          <w:rFonts w:ascii="Times New Roman" w:eastAsia="Times New Roman" w:hAnsi="Times New Roman" w:cs="Times New Roman"/>
          <w:sz w:val="24"/>
          <w:szCs w:val="24"/>
        </w:rPr>
        <w:t>. Available at: </w:t>
      </w:r>
      <w:hyperlink r:id="rId23">
        <w:r>
          <w:rPr>
            <w:rFonts w:ascii="Times New Roman" w:eastAsia="Times New Roman" w:hAnsi="Times New Roman" w:cs="Times New Roman"/>
            <w:color w:val="467886"/>
            <w:sz w:val="24"/>
            <w:szCs w:val="24"/>
            <w:u w:val="single"/>
          </w:rPr>
          <w:t>https://pestel-analysis.com/</w:t>
        </w:r>
      </w:hyperlink>
      <w:r>
        <w:rPr>
          <w:rFonts w:ascii="Times New Roman" w:eastAsia="Times New Roman" w:hAnsi="Times New Roman" w:cs="Times New Roman"/>
          <w:sz w:val="24"/>
          <w:szCs w:val="24"/>
        </w:rPr>
        <w:t> (Accessed: 1</w:t>
      </w:r>
      <w:r w:rsidR="00894E49">
        <w:rPr>
          <w:rFonts w:ascii="Times New Roman" w:eastAsia="Times New Roman" w:hAnsi="Times New Roman" w:cs="Times New Roman"/>
          <w:sz w:val="24"/>
          <w:szCs w:val="24"/>
        </w:rPr>
        <w:t>4 April</w:t>
      </w:r>
      <w:r>
        <w:rPr>
          <w:rFonts w:ascii="Times New Roman" w:eastAsia="Times New Roman" w:hAnsi="Times New Roman" w:cs="Times New Roman"/>
          <w:sz w:val="24"/>
          <w:szCs w:val="24"/>
        </w:rPr>
        <w:t xml:space="preserve"> 2026).</w:t>
      </w:r>
    </w:p>
    <w:p w14:paraId="53992AB4"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Philippon, T. (2016) 'The Fintech Opportunity', </w:t>
      </w:r>
      <w:r>
        <w:rPr>
          <w:rFonts w:ascii="Times New Roman" w:eastAsia="Times New Roman" w:hAnsi="Times New Roman" w:cs="Times New Roman"/>
          <w:i/>
          <w:iCs/>
          <w:sz w:val="24"/>
          <w:szCs w:val="24"/>
        </w:rPr>
        <w:t>National Bureau of Economic Research</w:t>
      </w:r>
      <w:r>
        <w:rPr>
          <w:rFonts w:ascii="Times New Roman" w:eastAsia="Times New Roman" w:hAnsi="Times New Roman" w:cs="Times New Roman"/>
          <w:sz w:val="24"/>
          <w:szCs w:val="24"/>
        </w:rPr>
        <w:t>, Working Paper No. 22476.</w:t>
      </w:r>
    </w:p>
    <w:p w14:paraId="360821E5"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Porter, M.E. (1990) </w:t>
      </w:r>
      <w:r>
        <w:rPr>
          <w:rFonts w:ascii="Times New Roman" w:eastAsia="Times New Roman" w:hAnsi="Times New Roman" w:cs="Times New Roman"/>
          <w:i/>
          <w:iCs/>
          <w:sz w:val="24"/>
          <w:szCs w:val="24"/>
        </w:rPr>
        <w:t>The Competitive Advantage of Nations</w:t>
      </w:r>
      <w:r>
        <w:rPr>
          <w:rFonts w:ascii="Times New Roman" w:eastAsia="Times New Roman" w:hAnsi="Times New Roman" w:cs="Times New Roman"/>
          <w:sz w:val="24"/>
          <w:szCs w:val="24"/>
        </w:rPr>
        <w:t>. New York: Free Press.</w:t>
      </w:r>
    </w:p>
    <w:p w14:paraId="7109143F"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Porter, M.E. (1998) 'Clusters and the new economics of competition', </w:t>
      </w:r>
      <w:r>
        <w:rPr>
          <w:rFonts w:ascii="Times New Roman" w:eastAsia="Times New Roman" w:hAnsi="Times New Roman" w:cs="Times New Roman"/>
          <w:i/>
          <w:iCs/>
          <w:sz w:val="24"/>
          <w:szCs w:val="24"/>
        </w:rPr>
        <w:t>Harvard Business Review</w:t>
      </w:r>
      <w:r>
        <w:rPr>
          <w:rFonts w:ascii="Times New Roman" w:eastAsia="Times New Roman" w:hAnsi="Times New Roman" w:cs="Times New Roman"/>
          <w:sz w:val="24"/>
          <w:szCs w:val="24"/>
        </w:rPr>
        <w:t>, 76(6), pp. 77-90.</w:t>
      </w:r>
    </w:p>
    <w:p w14:paraId="045AAEB9" w14:textId="5CD3937F"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Porter's Five Forces (2025) </w:t>
      </w:r>
      <w:r>
        <w:rPr>
          <w:rFonts w:ascii="Times New Roman" w:eastAsia="Times New Roman" w:hAnsi="Times New Roman" w:cs="Times New Roman"/>
          <w:i/>
          <w:iCs/>
          <w:sz w:val="24"/>
          <w:szCs w:val="24"/>
        </w:rPr>
        <w:t>What is Customer Demographics and Target Market of Stripe Company?</w:t>
      </w:r>
      <w:r>
        <w:rPr>
          <w:rFonts w:ascii="Times New Roman" w:eastAsia="Times New Roman" w:hAnsi="Times New Roman" w:cs="Times New Roman"/>
          <w:sz w:val="24"/>
          <w:szCs w:val="24"/>
        </w:rPr>
        <w:t> Available at: </w:t>
      </w:r>
      <w:hyperlink r:id="rId24">
        <w:r>
          <w:rPr>
            <w:rFonts w:ascii="Times New Roman" w:eastAsia="Times New Roman" w:hAnsi="Times New Roman" w:cs="Times New Roman"/>
            <w:color w:val="467886"/>
            <w:sz w:val="24"/>
            <w:szCs w:val="24"/>
            <w:u w:val="single"/>
          </w:rPr>
          <w:t>https://portersfiveforce.com/</w:t>
        </w:r>
      </w:hyperlink>
      <w:r>
        <w:rPr>
          <w:rFonts w:ascii="Times New Roman" w:eastAsia="Times New Roman" w:hAnsi="Times New Roman" w:cs="Times New Roman"/>
          <w:sz w:val="24"/>
          <w:szCs w:val="24"/>
        </w:rPr>
        <w:t> (Accessed: 1</w:t>
      </w:r>
      <w:r w:rsidR="001203BD">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001203BD">
        <w:rPr>
          <w:rFonts w:ascii="Times New Roman" w:eastAsia="Times New Roman" w:hAnsi="Times New Roman" w:cs="Times New Roman"/>
          <w:sz w:val="24"/>
          <w:szCs w:val="24"/>
        </w:rPr>
        <w:t>April</w:t>
      </w:r>
      <w:r>
        <w:rPr>
          <w:rFonts w:ascii="Times New Roman" w:eastAsia="Times New Roman" w:hAnsi="Times New Roman" w:cs="Times New Roman"/>
          <w:sz w:val="24"/>
          <w:szCs w:val="24"/>
        </w:rPr>
        <w:t xml:space="preserve"> 2026).</w:t>
      </w:r>
    </w:p>
    <w:p w14:paraId="25EDB02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Puschko, V., et al. (2021) 'The impact of PSD2 and Open Banking on the European payment landscape', </w:t>
      </w:r>
      <w:r>
        <w:rPr>
          <w:rFonts w:ascii="Times New Roman" w:eastAsia="Times New Roman" w:hAnsi="Times New Roman" w:cs="Times New Roman"/>
          <w:i/>
          <w:iCs/>
          <w:sz w:val="24"/>
          <w:szCs w:val="24"/>
        </w:rPr>
        <w:t>Journal of Payment Strategy &amp; Systems</w:t>
      </w:r>
      <w:r>
        <w:rPr>
          <w:rFonts w:ascii="Times New Roman" w:eastAsia="Times New Roman" w:hAnsi="Times New Roman" w:cs="Times New Roman"/>
          <w:sz w:val="24"/>
          <w:szCs w:val="24"/>
        </w:rPr>
        <w:t>, 15(3), pp. 250-264.</w:t>
      </w:r>
    </w:p>
    <w:p w14:paraId="2A8C4DF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Rugman, A.M. and Collinson, S. (2012) </w:t>
      </w:r>
      <w:r>
        <w:rPr>
          <w:rFonts w:ascii="Times New Roman" w:eastAsia="Times New Roman" w:hAnsi="Times New Roman" w:cs="Times New Roman"/>
          <w:i/>
          <w:iCs/>
          <w:sz w:val="24"/>
          <w:szCs w:val="24"/>
        </w:rPr>
        <w:t>International Business</w:t>
      </w:r>
      <w:r>
        <w:rPr>
          <w:rFonts w:ascii="Times New Roman" w:eastAsia="Times New Roman" w:hAnsi="Times New Roman" w:cs="Times New Roman"/>
          <w:sz w:val="24"/>
          <w:szCs w:val="24"/>
        </w:rPr>
        <w:t>. 6th edn. Harlow: Pearson Education.</w:t>
      </w:r>
    </w:p>
    <w:p w14:paraId="6397EF9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Sarangi, A.K. and Pradhan, R.P. (2021) 'ICT infrastructure and economic growth: A critical assessment and some policy implications', </w:t>
      </w:r>
      <w:r>
        <w:rPr>
          <w:rFonts w:ascii="Times New Roman" w:eastAsia="Times New Roman" w:hAnsi="Times New Roman" w:cs="Times New Roman"/>
          <w:i/>
          <w:iCs/>
          <w:sz w:val="24"/>
          <w:szCs w:val="24"/>
        </w:rPr>
        <w:t>Journal of Economic Structures</w:t>
      </w:r>
      <w:r>
        <w:rPr>
          <w:rFonts w:ascii="Times New Roman" w:eastAsia="Times New Roman" w:hAnsi="Times New Roman" w:cs="Times New Roman"/>
          <w:sz w:val="24"/>
          <w:szCs w:val="24"/>
        </w:rPr>
        <w:t>, 10(1), pp. 1-22.</w:t>
      </w:r>
    </w:p>
    <w:p w14:paraId="56CF8584"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Schueffel, P. (2016) 'Taming the Beast: A Scientific Definition of Fintech', </w:t>
      </w:r>
      <w:r>
        <w:rPr>
          <w:rFonts w:ascii="Times New Roman" w:eastAsia="Times New Roman" w:hAnsi="Times New Roman" w:cs="Times New Roman"/>
          <w:i/>
          <w:iCs/>
          <w:sz w:val="24"/>
          <w:szCs w:val="24"/>
        </w:rPr>
        <w:t>Journal of Innovation Management</w:t>
      </w:r>
      <w:r>
        <w:rPr>
          <w:rFonts w:ascii="Times New Roman" w:eastAsia="Times New Roman" w:hAnsi="Times New Roman" w:cs="Times New Roman"/>
          <w:sz w:val="24"/>
          <w:szCs w:val="24"/>
        </w:rPr>
        <w:t>, 4(4), pp. 32-54.</w:t>
      </w:r>
    </w:p>
    <w:p w14:paraId="7241F6F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(2023) </w:t>
      </w:r>
      <w:r>
        <w:rPr>
          <w:rFonts w:ascii="Times New Roman" w:eastAsia="Times New Roman" w:hAnsi="Times New Roman" w:cs="Times New Roman"/>
          <w:i/>
          <w:iCs/>
          <w:sz w:val="24"/>
          <w:szCs w:val="24"/>
        </w:rPr>
        <w:t>Annual revenue of the Fintech sector in the United Kingdom by main sectors</w:t>
      </w:r>
      <w:r>
        <w:rPr>
          <w:rFonts w:ascii="Times New Roman" w:eastAsia="Times New Roman" w:hAnsi="Times New Roman" w:cs="Times New Roman"/>
          <w:sz w:val="24"/>
          <w:szCs w:val="24"/>
        </w:rPr>
        <w:t>. London: Statista.</w:t>
      </w:r>
    </w:p>
    <w:p w14:paraId="67AD202C" w14:textId="780E1FBC"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Statzon (2025) </w:t>
      </w:r>
      <w:r>
        <w:rPr>
          <w:rFonts w:ascii="Times New Roman" w:eastAsia="Times New Roman" w:hAnsi="Times New Roman" w:cs="Times New Roman"/>
          <w:i/>
          <w:iCs/>
          <w:sz w:val="24"/>
          <w:szCs w:val="24"/>
        </w:rPr>
        <w:t>Stripe Inc. - Strategic SWOT and PESTLE Insights</w:t>
      </w:r>
      <w:r>
        <w:rPr>
          <w:rFonts w:ascii="Times New Roman" w:eastAsia="Times New Roman" w:hAnsi="Times New Roman" w:cs="Times New Roman"/>
          <w:sz w:val="24"/>
          <w:szCs w:val="24"/>
        </w:rPr>
        <w:t>. Available at: </w:t>
      </w:r>
      <w:hyperlink r:id="rId25">
        <w:r>
          <w:rPr>
            <w:rFonts w:ascii="Times New Roman" w:eastAsia="Times New Roman" w:hAnsi="Times New Roman" w:cs="Times New Roman"/>
            <w:color w:val="467886"/>
            <w:sz w:val="24"/>
            <w:szCs w:val="24"/>
            <w:u w:val="single"/>
          </w:rPr>
          <w:t>https://statzon.com/</w:t>
        </w:r>
      </w:hyperlink>
      <w:r>
        <w:rPr>
          <w:rFonts w:ascii="Times New Roman" w:eastAsia="Times New Roman" w:hAnsi="Times New Roman" w:cs="Times New Roman"/>
          <w:sz w:val="24"/>
          <w:szCs w:val="24"/>
        </w:rPr>
        <w:t xml:space="preserve"> (Accessed: </w:t>
      </w:r>
      <w:r w:rsidR="001203BD">
        <w:rPr>
          <w:rFonts w:ascii="Times New Roman" w:eastAsia="Times New Roman" w:hAnsi="Times New Roman" w:cs="Times New Roman"/>
          <w:sz w:val="24"/>
          <w:szCs w:val="24"/>
        </w:rPr>
        <w:t>2</w:t>
      </w:r>
      <w:r>
        <w:rPr>
          <w:rFonts w:ascii="Times New Roman" w:eastAsia="Times New Roman" w:hAnsi="Times New Roman" w:cs="Times New Roman"/>
          <w:sz w:val="24"/>
          <w:szCs w:val="24"/>
        </w:rPr>
        <w:t>8 March 2026).</w:t>
      </w:r>
    </w:p>
    <w:p w14:paraId="77B83749"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Tapscott, D. and Tapscott, A. (2016) </w:t>
      </w:r>
      <w:r>
        <w:rPr>
          <w:rFonts w:ascii="Times New Roman" w:eastAsia="Times New Roman" w:hAnsi="Times New Roman" w:cs="Times New Roman"/>
          <w:i/>
          <w:iCs/>
          <w:sz w:val="24"/>
          <w:szCs w:val="24"/>
        </w:rPr>
        <w:t>Blockchain Revolution: How the Technology Behind Bitcoin Is Changing Money, Business, and the World</w:t>
      </w:r>
      <w:r>
        <w:rPr>
          <w:rFonts w:ascii="Times New Roman" w:eastAsia="Times New Roman" w:hAnsi="Times New Roman" w:cs="Times New Roman"/>
          <w:sz w:val="24"/>
          <w:szCs w:val="24"/>
        </w:rPr>
        <w:t>. New York: Portfolio/Penguin.</w:t>
      </w:r>
    </w:p>
    <w:p w14:paraId="712DDCA9" w14:textId="63A81513"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City (2024) </w:t>
      </w:r>
      <w:r>
        <w:rPr>
          <w:rFonts w:ascii="Times New Roman" w:eastAsia="Times New Roman" w:hAnsi="Times New Roman" w:cs="Times New Roman"/>
          <w:i/>
          <w:iCs/>
          <w:sz w:val="24"/>
          <w:szCs w:val="24"/>
        </w:rPr>
        <w:t>UK FinTech Industry - Insight</w:t>
      </w:r>
      <w:r>
        <w:rPr>
          <w:rFonts w:ascii="Times New Roman" w:eastAsia="Times New Roman" w:hAnsi="Times New Roman" w:cs="Times New Roman"/>
          <w:sz w:val="24"/>
          <w:szCs w:val="24"/>
        </w:rPr>
        <w:t>. Available at: </w:t>
      </w:r>
      <w:hyperlink r:id="rId26">
        <w:r>
          <w:rPr>
            <w:rFonts w:ascii="Times New Roman" w:eastAsia="Times New Roman" w:hAnsi="Times New Roman" w:cs="Times New Roman"/>
            <w:color w:val="467886"/>
            <w:sz w:val="24"/>
            <w:szCs w:val="24"/>
            <w:u w:val="single"/>
          </w:rPr>
          <w:t>https://thedatacity.com/</w:t>
        </w:r>
      </w:hyperlink>
      <w:r>
        <w:rPr>
          <w:rFonts w:ascii="Times New Roman" w:eastAsia="Times New Roman" w:hAnsi="Times New Roman" w:cs="Times New Roman"/>
          <w:sz w:val="24"/>
          <w:szCs w:val="24"/>
        </w:rPr>
        <w:t> (Accessed: 1</w:t>
      </w:r>
      <w:r w:rsidR="001203BD">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March 2026).</w:t>
      </w:r>
    </w:p>
    <w:p w14:paraId="07772407"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Western Ontario (2016) </w:t>
      </w:r>
      <w:r>
        <w:rPr>
          <w:rFonts w:ascii="Times New Roman" w:eastAsia="Times New Roman" w:hAnsi="Times New Roman" w:cs="Times New Roman"/>
          <w:i/>
          <w:iCs/>
          <w:sz w:val="24"/>
          <w:szCs w:val="24"/>
        </w:rPr>
        <w:t>The UK's FinTech Cluster: Microeconomics of Competitiveness</w:t>
      </w:r>
      <w:r>
        <w:rPr>
          <w:rFonts w:ascii="Times New Roman" w:eastAsia="Times New Roman" w:hAnsi="Times New Roman" w:cs="Times New Roman"/>
          <w:sz w:val="24"/>
          <w:szCs w:val="24"/>
        </w:rPr>
        <w:t>. Ivey Business School.</w:t>
      </w:r>
    </w:p>
    <w:p w14:paraId="00ADD1ED"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Varga, D. (2017) 'Fintech, the new era of financial services', </w:t>
      </w:r>
      <w:proofErr w:type="spellStart"/>
      <w:r>
        <w:rPr>
          <w:rFonts w:ascii="Times New Roman" w:eastAsia="Times New Roman" w:hAnsi="Times New Roman" w:cs="Times New Roman"/>
          <w:i/>
          <w:iCs/>
          <w:sz w:val="24"/>
          <w:szCs w:val="24"/>
        </w:rPr>
        <w:t>Vezetéstudomány</w:t>
      </w:r>
      <w:proofErr w:type="spellEnd"/>
      <w:r>
        <w:rPr>
          <w:rFonts w:ascii="Times New Roman" w:eastAsia="Times New Roman" w:hAnsi="Times New Roman" w:cs="Times New Roman"/>
          <w:i/>
          <w:iCs/>
          <w:sz w:val="24"/>
          <w:szCs w:val="24"/>
        </w:rPr>
        <w:t xml:space="preserve"> - Budapest Management Review</w:t>
      </w:r>
      <w:r>
        <w:rPr>
          <w:rFonts w:ascii="Times New Roman" w:eastAsia="Times New Roman" w:hAnsi="Times New Roman" w:cs="Times New Roman"/>
          <w:sz w:val="24"/>
          <w:szCs w:val="24"/>
        </w:rPr>
        <w:t>, 48(11), pp. 22-32.</w:t>
      </w:r>
    </w:p>
    <w:p w14:paraId="275B191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WEF (World Economic Forum) (2016) </w:t>
      </w:r>
      <w:r>
        <w:rPr>
          <w:rFonts w:ascii="Times New Roman" w:eastAsia="Times New Roman" w:hAnsi="Times New Roman" w:cs="Times New Roman"/>
          <w:i/>
          <w:iCs/>
          <w:sz w:val="24"/>
          <w:szCs w:val="24"/>
        </w:rPr>
        <w:t>The Global Competitiveness Report 2016-2017</w:t>
      </w:r>
      <w:r>
        <w:rPr>
          <w:rFonts w:ascii="Times New Roman" w:eastAsia="Times New Roman" w:hAnsi="Times New Roman" w:cs="Times New Roman"/>
          <w:sz w:val="24"/>
          <w:szCs w:val="24"/>
        </w:rPr>
        <w:t>. Geneva: World Economic Forum.</w:t>
      </w:r>
    </w:p>
    <w:p w14:paraId="6CDF20DC"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World Bank (2022) </w:t>
      </w:r>
      <w:r>
        <w:rPr>
          <w:rFonts w:ascii="Times New Roman" w:eastAsia="Times New Roman" w:hAnsi="Times New Roman" w:cs="Times New Roman"/>
          <w:i/>
          <w:iCs/>
          <w:sz w:val="24"/>
          <w:szCs w:val="24"/>
        </w:rPr>
        <w:t>Fintech and the Future of Finance: Market and Policy Implications</w:t>
      </w:r>
      <w:r>
        <w:rPr>
          <w:rFonts w:ascii="Times New Roman" w:eastAsia="Times New Roman" w:hAnsi="Times New Roman" w:cs="Times New Roman"/>
          <w:sz w:val="24"/>
          <w:szCs w:val="24"/>
        </w:rPr>
        <w:t>. Washington, DC: World Bank Group.</w:t>
      </w:r>
    </w:p>
    <w:p w14:paraId="46FC8D86"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Yermack, D. (2015) 'Is Bitcoin a Real Currency? An Economic Appraisal', in Chuen, D.L.K. (ed.) </w:t>
      </w:r>
      <w:r>
        <w:rPr>
          <w:rFonts w:ascii="Times New Roman" w:eastAsia="Times New Roman" w:hAnsi="Times New Roman" w:cs="Times New Roman"/>
          <w:i/>
          <w:iCs/>
          <w:sz w:val="24"/>
          <w:szCs w:val="24"/>
        </w:rPr>
        <w:t>Handbook of Digital Currency</w:t>
      </w:r>
      <w:r>
        <w:rPr>
          <w:rFonts w:ascii="Times New Roman" w:eastAsia="Times New Roman" w:hAnsi="Times New Roman" w:cs="Times New Roman"/>
          <w:sz w:val="24"/>
          <w:szCs w:val="24"/>
        </w:rPr>
        <w:t>. Amsterdam: Elsevier, pp. 31-43.</w:t>
      </w:r>
    </w:p>
    <w:p w14:paraId="61CE17A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Zavolokina, L., Dolata, M. and Schwabe, G. (2016) 'FinTech: What's in a Name?', </w:t>
      </w:r>
      <w:r>
        <w:rPr>
          <w:rFonts w:ascii="Times New Roman" w:eastAsia="Times New Roman" w:hAnsi="Times New Roman" w:cs="Times New Roman"/>
          <w:i/>
          <w:iCs/>
          <w:sz w:val="24"/>
          <w:szCs w:val="24"/>
        </w:rPr>
        <w:t>Proceedings of the 37th International Conference on Information Systems (ICIS 2016)</w:t>
      </w:r>
      <w:r>
        <w:rPr>
          <w:rFonts w:ascii="Times New Roman" w:eastAsia="Times New Roman" w:hAnsi="Times New Roman" w:cs="Times New Roman"/>
          <w:sz w:val="24"/>
          <w:szCs w:val="24"/>
        </w:rPr>
        <w:t>, Dublin.</w:t>
      </w:r>
    </w:p>
    <w:p w14:paraId="3A6D8668"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Zetzsche, D.A., Buckley, R.P., Arner, D.W. and Barberis, J.N. (2017) 'From FinTech to TechFin: The Regulatory Challenges of Data-Driven Finance', </w:t>
      </w:r>
      <w:r>
        <w:rPr>
          <w:rFonts w:ascii="Times New Roman" w:eastAsia="Times New Roman" w:hAnsi="Times New Roman" w:cs="Times New Roman"/>
          <w:i/>
          <w:iCs/>
          <w:sz w:val="24"/>
          <w:szCs w:val="24"/>
        </w:rPr>
        <w:t>New York University Journal of Law &amp; Business</w:t>
      </w:r>
      <w:r>
        <w:rPr>
          <w:rFonts w:ascii="Times New Roman" w:eastAsia="Times New Roman" w:hAnsi="Times New Roman" w:cs="Times New Roman"/>
          <w:sz w:val="24"/>
          <w:szCs w:val="24"/>
        </w:rPr>
        <w:t>, 14(1), pp. 71-126.</w:t>
      </w:r>
    </w:p>
    <w:p w14:paraId="16CA147B" w14:textId="77777777" w:rsidR="00D02E93" w:rsidRDefault="00D02E93" w:rsidP="00D02E93">
      <w:pPr>
        <w:rPr>
          <w:rFonts w:ascii="Times New Roman" w:eastAsia="Times New Roman" w:hAnsi="Times New Roman" w:cs="Times New Roman"/>
          <w:sz w:val="24"/>
          <w:szCs w:val="24"/>
        </w:rPr>
      </w:pPr>
      <w:r>
        <w:br w:type="page"/>
      </w:r>
    </w:p>
    <w:p w14:paraId="61807E36" w14:textId="77777777" w:rsidR="00D02E93" w:rsidRDefault="00D02E93" w:rsidP="00D02E93">
      <w:pPr>
        <w:pStyle w:val="Heading1"/>
        <w:numPr>
          <w:ilvl w:val="0"/>
          <w:numId w:val="1"/>
        </w:numPr>
        <w:rPr>
          <w:rFonts w:ascii="Times New Roman" w:eastAsia="Times New Roman" w:hAnsi="Times New Roman" w:cs="Times New Roman"/>
        </w:rPr>
      </w:pPr>
      <w:bookmarkStart w:id="25" w:name="_Toc227532708"/>
      <w:r>
        <w:rPr>
          <w:rFonts w:ascii="Times New Roman" w:eastAsia="Times New Roman" w:hAnsi="Times New Roman" w:cs="Times New Roman"/>
        </w:rPr>
        <w:lastRenderedPageBreak/>
        <w:t>APPENDICES</w:t>
      </w:r>
      <w:bookmarkEnd w:id="25"/>
    </w:p>
    <w:p w14:paraId="1976BB0E" w14:textId="77777777" w:rsidR="00D02E93" w:rsidRPr="00F97F50" w:rsidRDefault="00D02E93" w:rsidP="00D02E93">
      <w:pPr>
        <w:pStyle w:val="Heading2"/>
        <w:rPr>
          <w:rFonts w:ascii="Times New Roman" w:eastAsia="Times New Roman" w:hAnsi="Times New Roman" w:cs="Times New Roman"/>
          <w:sz w:val="30"/>
          <w:szCs w:val="30"/>
        </w:rPr>
      </w:pPr>
      <w:bookmarkStart w:id="26" w:name="_Toc227532709"/>
      <w:r w:rsidRPr="00F97F50">
        <w:rPr>
          <w:rFonts w:ascii="Times New Roman" w:eastAsia="Times New Roman" w:hAnsi="Times New Roman" w:cs="Times New Roman"/>
          <w:sz w:val="30"/>
          <w:szCs w:val="30"/>
        </w:rPr>
        <w:t>Appendix 1: The UK FinTech Market Growth Projection (2024–2031)</w:t>
      </w:r>
      <w:bookmarkEnd w:id="26"/>
    </w:p>
    <w:p w14:paraId="7AF2CEF7" w14:textId="77777777" w:rsidR="00D02E93" w:rsidRPr="00F97F50" w:rsidRDefault="00D02E93" w:rsidP="00D02E93">
      <w:pPr>
        <w:spacing w:line="360" w:lineRule="auto"/>
        <w:rPr>
          <w:rFonts w:ascii="Times New Roman" w:eastAsia="Times New Roman" w:hAnsi="Times New Roman" w:cs="Times New Roman"/>
          <w:sz w:val="20"/>
          <w:szCs w:val="20"/>
        </w:rPr>
      </w:pPr>
      <w:r w:rsidRPr="00F97F50">
        <w:rPr>
          <w:rFonts w:ascii="Times New Roman" w:eastAsia="Times New Roman" w:hAnsi="Times New Roman" w:cs="Times New Roman"/>
          <w:i/>
          <w:iCs/>
          <w:sz w:val="20"/>
          <w:szCs w:val="20"/>
        </w:rPr>
        <w:t>This table supports the data provided in Section 2.1 regarding the economic trajectory of the sector.</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
        <w:gridCol w:w="3452"/>
        <w:gridCol w:w="4841"/>
      </w:tblGrid>
      <w:tr w:rsidR="00D02E93" w14:paraId="06F6ADBA" w14:textId="77777777" w:rsidTr="00C022A7">
        <w:tc>
          <w:tcPr>
            <w:tcW w:w="723" w:type="dxa"/>
          </w:tcPr>
          <w:p w14:paraId="4FFAD37D"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Year</w:t>
            </w:r>
          </w:p>
        </w:tc>
        <w:tc>
          <w:tcPr>
            <w:tcW w:w="3452" w:type="dxa"/>
          </w:tcPr>
          <w:p w14:paraId="649042B1"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Estimated Market Value (USD Billion)</w:t>
            </w:r>
          </w:p>
        </w:tc>
        <w:tc>
          <w:tcPr>
            <w:tcW w:w="4841" w:type="dxa"/>
          </w:tcPr>
          <w:p w14:paraId="0D5B69CE"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Growth Driver</w:t>
            </w:r>
          </w:p>
        </w:tc>
      </w:tr>
      <w:tr w:rsidR="00D02E93" w14:paraId="551577C7" w14:textId="77777777" w:rsidTr="00C022A7">
        <w:tc>
          <w:tcPr>
            <w:tcW w:w="723" w:type="dxa"/>
          </w:tcPr>
          <w:p w14:paraId="40735A4A"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2024</w:t>
            </w:r>
          </w:p>
        </w:tc>
        <w:tc>
          <w:tcPr>
            <w:tcW w:w="3452" w:type="dxa"/>
          </w:tcPr>
          <w:p w14:paraId="245B98AF"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$11.9 Billion</w:t>
            </w:r>
          </w:p>
        </w:tc>
        <w:tc>
          <w:tcPr>
            <w:tcW w:w="4841" w:type="dxa"/>
          </w:tcPr>
          <w:p w14:paraId="68FD3635"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Open Banking maturity and Neobank profitability.</w:t>
            </w:r>
          </w:p>
        </w:tc>
      </w:tr>
      <w:tr w:rsidR="00D02E93" w14:paraId="363CA79E" w14:textId="77777777" w:rsidTr="00C022A7">
        <w:tc>
          <w:tcPr>
            <w:tcW w:w="723" w:type="dxa"/>
          </w:tcPr>
          <w:p w14:paraId="33A0F60B"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2026</w:t>
            </w:r>
          </w:p>
        </w:tc>
        <w:tc>
          <w:tcPr>
            <w:tcW w:w="3452" w:type="dxa"/>
          </w:tcPr>
          <w:p w14:paraId="410BDB4A"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$18.2 Billion</w:t>
            </w:r>
          </w:p>
        </w:tc>
        <w:tc>
          <w:tcPr>
            <w:tcW w:w="4841" w:type="dxa"/>
          </w:tcPr>
          <w:p w14:paraId="7EE870CF"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of Gen-AI in WealthTech and Fraud detection.</w:t>
            </w:r>
          </w:p>
        </w:tc>
      </w:tr>
      <w:tr w:rsidR="00D02E93" w14:paraId="1CF25D19" w14:textId="77777777" w:rsidTr="00C022A7">
        <w:tc>
          <w:tcPr>
            <w:tcW w:w="723" w:type="dxa"/>
          </w:tcPr>
          <w:p w14:paraId="4FF719F6"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2028</w:t>
            </w:r>
          </w:p>
        </w:tc>
        <w:tc>
          <w:tcPr>
            <w:tcW w:w="3452" w:type="dxa"/>
          </w:tcPr>
          <w:p w14:paraId="55ABC9BC"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$29.5 Billion</w:t>
            </w:r>
          </w:p>
        </w:tc>
        <w:tc>
          <w:tcPr>
            <w:tcW w:w="4841" w:type="dxa"/>
          </w:tcPr>
          <w:p w14:paraId="3A670332"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of "Green FinTech" and ESG-linked lending.</w:t>
            </w:r>
          </w:p>
        </w:tc>
      </w:tr>
      <w:tr w:rsidR="00D02E93" w14:paraId="15614467" w14:textId="77777777" w:rsidTr="00C022A7">
        <w:tc>
          <w:tcPr>
            <w:tcW w:w="723" w:type="dxa"/>
          </w:tcPr>
          <w:p w14:paraId="18EA49F2"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2031</w:t>
            </w:r>
          </w:p>
        </w:tc>
        <w:tc>
          <w:tcPr>
            <w:tcW w:w="3452" w:type="dxa"/>
          </w:tcPr>
          <w:p w14:paraId="6F2395CA"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$45.6 Billion (Projected)</w:t>
            </w:r>
          </w:p>
        </w:tc>
        <w:tc>
          <w:tcPr>
            <w:tcW w:w="4841" w:type="dxa"/>
          </w:tcPr>
          <w:p w14:paraId="43364E29"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Full transition to Central Bank Digital Currencies (CBDCs).</w:t>
            </w:r>
          </w:p>
        </w:tc>
      </w:tr>
    </w:tbl>
    <w:p w14:paraId="4F89DE29" w14:textId="77777777" w:rsidR="00D02E93" w:rsidRDefault="00D02E93" w:rsidP="00D02E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w:t>
      </w:r>
      <w:r>
        <w:rPr>
          <w:rFonts w:ascii="Times New Roman" w:eastAsia="Times New Roman" w:hAnsi="Times New Roman" w:cs="Times New Roman"/>
          <w:sz w:val="24"/>
          <w:szCs w:val="24"/>
        </w:rPr>
        <w:t> Synthesized from </w:t>
      </w:r>
      <w:r>
        <w:rPr>
          <w:rFonts w:ascii="Times New Roman" w:eastAsia="Times New Roman" w:hAnsi="Times New Roman" w:cs="Times New Roman"/>
          <w:i/>
          <w:iCs/>
          <w:sz w:val="24"/>
          <w:szCs w:val="24"/>
        </w:rPr>
        <w:t>Mordor Intelligence (2026)</w:t>
      </w:r>
      <w:r>
        <w:rPr>
          <w:rFonts w:ascii="Times New Roman" w:eastAsia="Times New Roman" w:hAnsi="Times New Roman" w:cs="Times New Roman"/>
          <w:sz w:val="24"/>
          <w:szCs w:val="24"/>
        </w:rPr>
        <w:t> and </w:t>
      </w:r>
      <w:r>
        <w:rPr>
          <w:rFonts w:ascii="Times New Roman" w:eastAsia="Times New Roman" w:hAnsi="Times New Roman" w:cs="Times New Roman"/>
          <w:i/>
          <w:iCs/>
          <w:sz w:val="24"/>
          <w:szCs w:val="24"/>
        </w:rPr>
        <w:t>IMARC Group (2024)</w:t>
      </w:r>
      <w:r>
        <w:rPr>
          <w:rFonts w:ascii="Times New Roman" w:eastAsia="Times New Roman" w:hAnsi="Times New Roman" w:cs="Times New Roman"/>
          <w:sz w:val="24"/>
          <w:szCs w:val="24"/>
        </w:rPr>
        <w:t>.</w:t>
      </w:r>
    </w:p>
    <w:p w14:paraId="771CB451" w14:textId="77777777" w:rsidR="00D02E93" w:rsidRPr="00F97F50" w:rsidRDefault="00D02E93" w:rsidP="00D02E93">
      <w:pPr>
        <w:pStyle w:val="Heading2"/>
        <w:rPr>
          <w:rFonts w:ascii="Times New Roman" w:eastAsia="Times New Roman" w:hAnsi="Times New Roman" w:cs="Times New Roman"/>
          <w:sz w:val="30"/>
          <w:szCs w:val="30"/>
        </w:rPr>
      </w:pPr>
      <w:bookmarkStart w:id="27" w:name="_Toc227532710"/>
      <w:r w:rsidRPr="00F97F50">
        <w:rPr>
          <w:rFonts w:ascii="Times New Roman" w:eastAsia="Times New Roman" w:hAnsi="Times New Roman" w:cs="Times New Roman"/>
          <w:sz w:val="30"/>
          <w:szCs w:val="30"/>
        </w:rPr>
        <w:t>Appendix 2: Porter’s Diamond Model Application: UK FinTech Summary</w:t>
      </w:r>
      <w:bookmarkEnd w:id="27"/>
    </w:p>
    <w:p w14:paraId="233E771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matrix summarizes the competitive advantages analyzed in Section 3.</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7"/>
        <w:gridCol w:w="6319"/>
      </w:tblGrid>
      <w:tr w:rsidR="00D02E93" w14:paraId="39BA40B7" w14:textId="77777777" w:rsidTr="00C022A7">
        <w:tc>
          <w:tcPr>
            <w:tcW w:w="2697" w:type="dxa"/>
          </w:tcPr>
          <w:p w14:paraId="2E6AB9E4"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Diamond Pillar</w:t>
            </w:r>
          </w:p>
        </w:tc>
        <w:tc>
          <w:tcPr>
            <w:tcW w:w="6319" w:type="dxa"/>
          </w:tcPr>
          <w:p w14:paraId="4F6A3D30"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Key UK FinTech Determinants</w:t>
            </w:r>
          </w:p>
        </w:tc>
      </w:tr>
      <w:tr w:rsidR="00D02E93" w14:paraId="7DA8BAA5" w14:textId="77777777" w:rsidTr="00C022A7">
        <w:tc>
          <w:tcPr>
            <w:tcW w:w="2697" w:type="dxa"/>
          </w:tcPr>
          <w:p w14:paraId="395183FF"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Factor Conditions</w:t>
            </w:r>
          </w:p>
        </w:tc>
        <w:tc>
          <w:tcPr>
            <w:tcW w:w="6319" w:type="dxa"/>
          </w:tcPr>
          <w:p w14:paraId="0741AD79"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concentration of STEM talent; 4 of Top 10 Global Universities; High VC capital availability.</w:t>
            </w:r>
          </w:p>
        </w:tc>
      </w:tr>
      <w:tr w:rsidR="00D02E93" w14:paraId="25D64CB1" w14:textId="77777777" w:rsidTr="00C022A7">
        <w:tc>
          <w:tcPr>
            <w:tcW w:w="2697" w:type="dxa"/>
          </w:tcPr>
          <w:p w14:paraId="4D0D34EA"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Demand Conditions</w:t>
            </w:r>
          </w:p>
        </w:tc>
        <w:tc>
          <w:tcPr>
            <w:tcW w:w="6319" w:type="dxa"/>
          </w:tcPr>
          <w:p w14:paraId="0EB3E148"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71% FinTech adoption rate; Sophisticated SME demand for API-integrated banking.</w:t>
            </w:r>
          </w:p>
        </w:tc>
      </w:tr>
      <w:tr w:rsidR="00D02E93" w14:paraId="778871A1" w14:textId="77777777" w:rsidTr="00C022A7">
        <w:tc>
          <w:tcPr>
            <w:tcW w:w="2697" w:type="dxa"/>
          </w:tcPr>
          <w:p w14:paraId="2948EB5C"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Related &amp; Supporting Industries</w:t>
            </w:r>
          </w:p>
        </w:tc>
        <w:tc>
          <w:tcPr>
            <w:tcW w:w="6319" w:type="dxa"/>
          </w:tcPr>
          <w:p w14:paraId="6D79DFB7"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London "Square Mile" legacy; World-class Cybersecurity firms; Magic Circle law firms.</w:t>
            </w:r>
          </w:p>
        </w:tc>
      </w:tr>
      <w:tr w:rsidR="00D02E93" w14:paraId="485E910D" w14:textId="77777777" w:rsidTr="00C022A7">
        <w:tc>
          <w:tcPr>
            <w:tcW w:w="2697" w:type="dxa"/>
          </w:tcPr>
          <w:p w14:paraId="487C1AF5"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Firm Strategy &amp; Rivalry</w:t>
            </w:r>
          </w:p>
        </w:tc>
        <w:tc>
          <w:tcPr>
            <w:tcW w:w="6319" w:type="dxa"/>
          </w:tcPr>
          <w:p w14:paraId="5C231161"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"Feature Wars" between Revolut/Monzo; FCA Regulatory Sandbox facilitating lean innovation.</w:t>
            </w:r>
          </w:p>
        </w:tc>
      </w:tr>
      <w:tr w:rsidR="00D02E93" w14:paraId="7BF1BEC6" w14:textId="77777777" w:rsidTr="00C022A7">
        <w:tc>
          <w:tcPr>
            <w:tcW w:w="2697" w:type="dxa"/>
          </w:tcPr>
          <w:p w14:paraId="6EEF7F41"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Government &amp; Chance</w:t>
            </w:r>
          </w:p>
        </w:tc>
        <w:tc>
          <w:tcPr>
            <w:tcW w:w="6319" w:type="dxa"/>
          </w:tcPr>
          <w:p w14:paraId="74F1D127"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Kalifa Review (Policy); COVID-19 (Chance event accelerating digital shift).</w:t>
            </w:r>
          </w:p>
        </w:tc>
      </w:tr>
    </w:tbl>
    <w:p w14:paraId="5A0F2108" w14:textId="77777777" w:rsidR="00D02E93" w:rsidRDefault="00D02E93" w:rsidP="00D02E93">
      <w:pPr>
        <w:pStyle w:val="Heading2"/>
        <w:rPr>
          <w:rFonts w:ascii="Times New Roman" w:eastAsia="Times New Roman" w:hAnsi="Times New Roman" w:cs="Times New Roman"/>
        </w:rPr>
      </w:pPr>
      <w:bookmarkStart w:id="28" w:name="_Toc227532711"/>
      <w:r>
        <w:rPr>
          <w:rFonts w:ascii="Times New Roman" w:eastAsia="Times New Roman" w:hAnsi="Times New Roman" w:cs="Times New Roman"/>
        </w:rPr>
        <w:lastRenderedPageBreak/>
        <w:t>Appendix 3: Comparative Analysis of Leading Payment Service Providers (PSPs) in the UK</w:t>
      </w:r>
      <w:bookmarkEnd w:id="28"/>
    </w:p>
    <w:p w14:paraId="11730660"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table supports the analysis of Stripe’s competitive positioning in Section 4.2.2.</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5"/>
        <w:gridCol w:w="2412"/>
        <w:gridCol w:w="2219"/>
        <w:gridCol w:w="2490"/>
      </w:tblGrid>
      <w:tr w:rsidR="00D02E93" w14:paraId="64DC7C30" w14:textId="77777777" w:rsidTr="00C022A7">
        <w:tc>
          <w:tcPr>
            <w:tcW w:w="1895" w:type="dxa"/>
          </w:tcPr>
          <w:p w14:paraId="04C85BE2"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Feature</w:t>
            </w:r>
          </w:p>
        </w:tc>
        <w:tc>
          <w:tcPr>
            <w:tcW w:w="2412" w:type="dxa"/>
          </w:tcPr>
          <w:p w14:paraId="157999C3"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Stripe Inc. (MNC)</w:t>
            </w:r>
          </w:p>
        </w:tc>
        <w:tc>
          <w:tcPr>
            <w:tcW w:w="2219" w:type="dxa"/>
          </w:tcPr>
          <w:p w14:paraId="750C8B34"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Adyen (MNC/EU)</w:t>
            </w:r>
          </w:p>
        </w:tc>
        <w:tc>
          <w:tcPr>
            <w:tcW w:w="2490" w:type="dxa"/>
          </w:tcPr>
          <w:p w14:paraId="7D454106" w14:textId="77777777" w:rsidR="00D02E93" w:rsidRDefault="00D02E93" w:rsidP="00C022A7">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Checkout.com (Domestic)</w:t>
            </w:r>
          </w:p>
        </w:tc>
      </w:tr>
      <w:tr w:rsidR="00D02E93" w14:paraId="196E22DE" w14:textId="77777777" w:rsidTr="00C022A7">
        <w:tc>
          <w:tcPr>
            <w:tcW w:w="1895" w:type="dxa"/>
          </w:tcPr>
          <w:p w14:paraId="799524C3"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Primary Strength</w:t>
            </w:r>
          </w:p>
        </w:tc>
        <w:tc>
          <w:tcPr>
            <w:tcW w:w="2412" w:type="dxa"/>
          </w:tcPr>
          <w:p w14:paraId="69B0392F"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Developer-centric APIs/BaaS</w:t>
            </w:r>
          </w:p>
        </w:tc>
        <w:tc>
          <w:tcPr>
            <w:tcW w:w="2219" w:type="dxa"/>
          </w:tcPr>
          <w:p w14:paraId="288EB317"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Omnichannel unified commerce</w:t>
            </w:r>
          </w:p>
        </w:tc>
        <w:tc>
          <w:tcPr>
            <w:tcW w:w="2490" w:type="dxa"/>
          </w:tcPr>
          <w:p w14:paraId="05794C3B"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High-volume enterprise scale</w:t>
            </w:r>
          </w:p>
        </w:tc>
      </w:tr>
      <w:tr w:rsidR="00D02E93" w14:paraId="22BAB982" w14:textId="77777777" w:rsidTr="00C022A7">
        <w:tc>
          <w:tcPr>
            <w:tcW w:w="1895" w:type="dxa"/>
          </w:tcPr>
          <w:p w14:paraId="313C514D"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UK Market Focus</w:t>
            </w:r>
          </w:p>
        </w:tc>
        <w:tc>
          <w:tcPr>
            <w:tcW w:w="2412" w:type="dxa"/>
          </w:tcPr>
          <w:p w14:paraId="7207C8B7"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Tech-first SMEs &amp; Unicorns</w:t>
            </w:r>
          </w:p>
        </w:tc>
        <w:tc>
          <w:tcPr>
            <w:tcW w:w="2219" w:type="dxa"/>
          </w:tcPr>
          <w:p w14:paraId="2FAC1B34"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Large Enterprise Retailers</w:t>
            </w:r>
          </w:p>
        </w:tc>
        <w:tc>
          <w:tcPr>
            <w:tcW w:w="2490" w:type="dxa"/>
          </w:tcPr>
          <w:p w14:paraId="789C6424"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E-commerce</w:t>
            </w:r>
          </w:p>
        </w:tc>
      </w:tr>
      <w:tr w:rsidR="00D02E93" w14:paraId="1E3BA7E7" w14:textId="77777777" w:rsidTr="00C022A7">
        <w:tc>
          <w:tcPr>
            <w:tcW w:w="1895" w:type="dxa"/>
          </w:tcPr>
          <w:p w14:paraId="706B7096"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Competitive Moat</w:t>
            </w:r>
          </w:p>
        </w:tc>
        <w:tc>
          <w:tcPr>
            <w:tcW w:w="2412" w:type="dxa"/>
          </w:tcPr>
          <w:p w14:paraId="64CB2BD1"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Extensive Documentation (VRIN)</w:t>
            </w:r>
          </w:p>
        </w:tc>
        <w:tc>
          <w:tcPr>
            <w:tcW w:w="2219" w:type="dxa"/>
          </w:tcPr>
          <w:p w14:paraId="615CDE8B"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Direct acquiring in 50+ markets</w:t>
            </w:r>
          </w:p>
        </w:tc>
        <w:tc>
          <w:tcPr>
            <w:tcW w:w="2490" w:type="dxa"/>
          </w:tcPr>
          <w:p w14:paraId="42D270BC"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Deep local modularity</w:t>
            </w:r>
          </w:p>
        </w:tc>
      </w:tr>
      <w:tr w:rsidR="00D02E93" w14:paraId="15900914" w14:textId="77777777" w:rsidTr="00C022A7">
        <w:tc>
          <w:tcPr>
            <w:tcW w:w="1895" w:type="dxa"/>
          </w:tcPr>
          <w:p w14:paraId="71A506F5"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Strategic Weakness</w:t>
            </w:r>
          </w:p>
        </w:tc>
        <w:tc>
          <w:tcPr>
            <w:tcW w:w="2412" w:type="dxa"/>
          </w:tcPr>
          <w:p w14:paraId="6308CE20"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Higher standard transactional fees</w:t>
            </w:r>
          </w:p>
        </w:tc>
        <w:tc>
          <w:tcPr>
            <w:tcW w:w="2219" w:type="dxa"/>
          </w:tcPr>
          <w:p w14:paraId="63D89BD5"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barrier for entry for SMEs</w:t>
            </w:r>
          </w:p>
        </w:tc>
        <w:tc>
          <w:tcPr>
            <w:tcW w:w="2490" w:type="dxa"/>
          </w:tcPr>
          <w:p w14:paraId="07DF1E0A" w14:textId="77777777" w:rsidR="00D02E93" w:rsidRDefault="00D02E93" w:rsidP="00C022A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Exposure to crypto-market volatility</w:t>
            </w:r>
          </w:p>
        </w:tc>
      </w:tr>
    </w:tbl>
    <w:p w14:paraId="51B8F485" w14:textId="77777777" w:rsidR="00D02E93" w:rsidRDefault="00D02E93" w:rsidP="00D02E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w:t>
      </w:r>
      <w:r>
        <w:rPr>
          <w:rFonts w:ascii="Times New Roman" w:eastAsia="Times New Roman" w:hAnsi="Times New Roman" w:cs="Times New Roman"/>
          <w:sz w:val="24"/>
          <w:szCs w:val="24"/>
        </w:rPr>
        <w:t> Adapted from </w:t>
      </w:r>
      <w:r>
        <w:rPr>
          <w:rFonts w:ascii="Times New Roman" w:eastAsia="Times New Roman" w:hAnsi="Times New Roman" w:cs="Times New Roman"/>
          <w:i/>
          <w:iCs/>
          <w:sz w:val="24"/>
          <w:szCs w:val="24"/>
        </w:rPr>
        <w:t>KPMG (2022)</w:t>
      </w:r>
      <w:r>
        <w:rPr>
          <w:rFonts w:ascii="Times New Roman" w:eastAsia="Times New Roman" w:hAnsi="Times New Roman" w:cs="Times New Roman"/>
          <w:sz w:val="24"/>
          <w:szCs w:val="24"/>
        </w:rPr>
        <w:t> and </w:t>
      </w:r>
      <w:r>
        <w:rPr>
          <w:rFonts w:ascii="Times New Roman" w:eastAsia="Times New Roman" w:hAnsi="Times New Roman" w:cs="Times New Roman"/>
          <w:i/>
          <w:iCs/>
          <w:sz w:val="24"/>
          <w:szCs w:val="24"/>
        </w:rPr>
        <w:t>PESTEL Analysis (2025)</w:t>
      </w:r>
      <w:r>
        <w:rPr>
          <w:rFonts w:ascii="Times New Roman" w:eastAsia="Times New Roman" w:hAnsi="Times New Roman" w:cs="Times New Roman"/>
          <w:sz w:val="24"/>
          <w:szCs w:val="24"/>
        </w:rPr>
        <w:t>.</w:t>
      </w:r>
    </w:p>
    <w:p w14:paraId="3F896B42" w14:textId="77777777" w:rsidR="00D02E93" w:rsidRDefault="00D02E93" w:rsidP="00D02E93">
      <w:pPr>
        <w:pStyle w:val="Heading2"/>
        <w:rPr>
          <w:rFonts w:ascii="Times New Roman" w:eastAsia="Times New Roman" w:hAnsi="Times New Roman" w:cs="Times New Roman"/>
        </w:rPr>
      </w:pPr>
      <w:bookmarkStart w:id="29" w:name="_Toc227532712"/>
      <w:r>
        <w:rPr>
          <w:rFonts w:ascii="Times New Roman" w:eastAsia="Times New Roman" w:hAnsi="Times New Roman" w:cs="Times New Roman"/>
        </w:rPr>
        <w:t>Appendix 4: Geographic Distribution of UK FinTech Innovation Clusters</w:t>
      </w:r>
      <w:bookmarkEnd w:id="29"/>
    </w:p>
    <w:p w14:paraId="15E48DC2" w14:textId="77777777" w:rsidR="00D02E93" w:rsidRDefault="00D02E93" w:rsidP="00D02E93">
      <w:pPr>
        <w:spacing w:line="36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list supports the geographical scope discussed in Section 2.1.</w:t>
      </w:r>
    </w:p>
    <w:p w14:paraId="7C1F0997" w14:textId="77777777" w:rsidR="00D02E93" w:rsidRDefault="00D02E93" w:rsidP="00D02E9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London (The Global Hub):</w:t>
      </w:r>
      <w:r>
        <w:rPr>
          <w:rFonts w:ascii="Times New Roman" w:eastAsia="Times New Roman" w:hAnsi="Times New Roman" w:cs="Times New Roman"/>
          <w:sz w:val="24"/>
          <w:szCs w:val="24"/>
        </w:rPr>
        <w:t> Focus on Payments, Neobanking, and WealthTech.</w:t>
      </w:r>
    </w:p>
    <w:p w14:paraId="4DBFD5F3" w14:textId="77777777" w:rsidR="00D02E93" w:rsidRDefault="00D02E93" w:rsidP="00D02E9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Edinburgh/Glasgow (Scotland):</w:t>
      </w:r>
      <w:r>
        <w:rPr>
          <w:rFonts w:ascii="Times New Roman" w:eastAsia="Times New Roman" w:hAnsi="Times New Roman" w:cs="Times New Roman"/>
          <w:sz w:val="24"/>
          <w:szCs w:val="24"/>
        </w:rPr>
        <w:t> Strong focus on Data Science and RegTech.</w:t>
      </w:r>
    </w:p>
    <w:p w14:paraId="537F9AED" w14:textId="77777777" w:rsidR="00D02E93" w:rsidRDefault="00D02E93" w:rsidP="00D02E9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Manchester (The Northern Powerhouse):</w:t>
      </w:r>
      <w:r>
        <w:rPr>
          <w:rFonts w:ascii="Times New Roman" w:eastAsia="Times New Roman" w:hAnsi="Times New Roman" w:cs="Times New Roman"/>
          <w:sz w:val="24"/>
          <w:szCs w:val="24"/>
        </w:rPr>
        <w:t> Specialization in E-commerce integration and B2B SaaS.</w:t>
      </w:r>
    </w:p>
    <w:p w14:paraId="61675328" w14:textId="77777777" w:rsidR="00D02E93" w:rsidRDefault="00D02E93" w:rsidP="00D02E9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Leeds:</w:t>
      </w:r>
      <w:r>
        <w:rPr>
          <w:rFonts w:ascii="Times New Roman" w:eastAsia="Times New Roman" w:hAnsi="Times New Roman" w:cs="Times New Roman"/>
          <w:sz w:val="24"/>
          <w:szCs w:val="24"/>
        </w:rPr>
        <w:t> Emerging hub for Credit-tech and Mortgage-tech.</w:t>
      </w:r>
    </w:p>
    <w:p w14:paraId="53EE164C" w14:textId="77777777" w:rsidR="00D02E93" w:rsidRDefault="00D02E93" w:rsidP="00D02E9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Cardiff (Wales):</w:t>
      </w:r>
      <w:r>
        <w:rPr>
          <w:rFonts w:ascii="Times New Roman" w:eastAsia="Times New Roman" w:hAnsi="Times New Roman" w:cs="Times New Roman"/>
          <w:sz w:val="24"/>
          <w:szCs w:val="24"/>
        </w:rPr>
        <w:t> Growing cluster for InsurTech (e.g., Admiral/Confused.com lineage).</w:t>
      </w:r>
    </w:p>
    <w:p w14:paraId="6FDA499B" w14:textId="77777777" w:rsidR="00D02E93" w:rsidRDefault="00D02E93" w:rsidP="00D02E9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Belfast (Northern Ireland):</w:t>
      </w:r>
      <w:r>
        <w:rPr>
          <w:rFonts w:ascii="Times New Roman" w:eastAsia="Times New Roman" w:hAnsi="Times New Roman" w:cs="Times New Roman"/>
          <w:sz w:val="24"/>
          <w:szCs w:val="24"/>
        </w:rPr>
        <w:t> Excellence in Cybersecurity and Blockchain infrastructure.</w:t>
      </w:r>
    </w:p>
    <w:p w14:paraId="2446C402" w14:textId="77777777" w:rsidR="00D02E93" w:rsidRDefault="00D02E93" w:rsidP="00D02E9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Source:</w:t>
      </w:r>
      <w:r>
        <w:rPr>
          <w:rFonts w:ascii="Times New Roman" w:eastAsia="Times New Roman" w:hAnsi="Times New Roman" w:cs="Times New Roman"/>
          <w:sz w:val="24"/>
          <w:szCs w:val="24"/>
        </w:rPr>
        <w:t> Based on </w:t>
      </w:r>
      <w:r>
        <w:rPr>
          <w:rFonts w:ascii="Times New Roman" w:eastAsia="Times New Roman" w:hAnsi="Times New Roman" w:cs="Times New Roman"/>
          <w:i/>
          <w:iCs/>
          <w:sz w:val="24"/>
          <w:szCs w:val="24"/>
        </w:rPr>
        <w:t>The Data City (2024)</w:t>
      </w:r>
      <w:r>
        <w:rPr>
          <w:rFonts w:ascii="Times New Roman" w:eastAsia="Times New Roman" w:hAnsi="Times New Roman" w:cs="Times New Roman"/>
          <w:sz w:val="24"/>
          <w:szCs w:val="24"/>
        </w:rPr>
        <w:t> and </w:t>
      </w:r>
      <w:r>
        <w:rPr>
          <w:rFonts w:ascii="Times New Roman" w:eastAsia="Times New Roman" w:hAnsi="Times New Roman" w:cs="Times New Roman"/>
          <w:i/>
          <w:iCs/>
          <w:sz w:val="24"/>
          <w:szCs w:val="24"/>
        </w:rPr>
        <w:t>McKinsey &amp; Company (2014)</w:t>
      </w:r>
      <w:r>
        <w:rPr>
          <w:rFonts w:ascii="Times New Roman" w:eastAsia="Times New Roman" w:hAnsi="Times New Roman" w:cs="Times New Roman"/>
          <w:sz w:val="24"/>
          <w:szCs w:val="24"/>
        </w:rPr>
        <w:t>.</w:t>
      </w:r>
    </w:p>
    <w:sectPr w:rsidR="00D02E93" w:rsidSect="00D02E93">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6D16"/>
    <w:multiLevelType w:val="multilevel"/>
    <w:tmpl w:val="51FA65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5E2A3551"/>
    <w:multiLevelType w:val="multilevel"/>
    <w:tmpl w:val="A0BE1CB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28665923">
    <w:abstractNumId w:val="1"/>
  </w:num>
  <w:num w:numId="2" w16cid:durableId="577910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9B8"/>
    <w:rsid w:val="000168AA"/>
    <w:rsid w:val="00067BEF"/>
    <w:rsid w:val="00084C31"/>
    <w:rsid w:val="000B3597"/>
    <w:rsid w:val="000B7B09"/>
    <w:rsid w:val="001203BD"/>
    <w:rsid w:val="00234562"/>
    <w:rsid w:val="002F5251"/>
    <w:rsid w:val="003E271E"/>
    <w:rsid w:val="003E3C8E"/>
    <w:rsid w:val="004B4512"/>
    <w:rsid w:val="004E3DC3"/>
    <w:rsid w:val="004F7087"/>
    <w:rsid w:val="00555BD4"/>
    <w:rsid w:val="00561E54"/>
    <w:rsid w:val="005C15E9"/>
    <w:rsid w:val="0061166D"/>
    <w:rsid w:val="00681D03"/>
    <w:rsid w:val="006A32FA"/>
    <w:rsid w:val="006B578B"/>
    <w:rsid w:val="006C3EDC"/>
    <w:rsid w:val="006C5308"/>
    <w:rsid w:val="006E72C9"/>
    <w:rsid w:val="007A06EA"/>
    <w:rsid w:val="007A357D"/>
    <w:rsid w:val="007A5A44"/>
    <w:rsid w:val="007B412A"/>
    <w:rsid w:val="00817A5F"/>
    <w:rsid w:val="00831C33"/>
    <w:rsid w:val="00832ED4"/>
    <w:rsid w:val="00894E49"/>
    <w:rsid w:val="008C31B6"/>
    <w:rsid w:val="008D61E9"/>
    <w:rsid w:val="00943C96"/>
    <w:rsid w:val="00996889"/>
    <w:rsid w:val="00A00A4E"/>
    <w:rsid w:val="00A32198"/>
    <w:rsid w:val="00A473E3"/>
    <w:rsid w:val="00A54916"/>
    <w:rsid w:val="00AF308B"/>
    <w:rsid w:val="00C43D3D"/>
    <w:rsid w:val="00CB3C58"/>
    <w:rsid w:val="00D02E93"/>
    <w:rsid w:val="00D40036"/>
    <w:rsid w:val="00D825AF"/>
    <w:rsid w:val="00DD69B8"/>
    <w:rsid w:val="00DE288F"/>
    <w:rsid w:val="00E20B2F"/>
    <w:rsid w:val="00E21B03"/>
    <w:rsid w:val="00E7529D"/>
    <w:rsid w:val="00F313D3"/>
    <w:rsid w:val="00F33787"/>
    <w:rsid w:val="00F9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A26D7"/>
  <w15:chartTrackingRefBased/>
  <w15:docId w15:val="{5C04EBE7-94F5-4D35-BFB1-C7DBD6BCD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E93"/>
    <w:pPr>
      <w:spacing w:line="259" w:lineRule="auto"/>
    </w:pPr>
    <w:rPr>
      <w:rFonts w:ascii="Aptos" w:eastAsia="Aptos" w:hAnsi="Aptos" w:cs="Aptos"/>
      <w:kern w:val="0"/>
      <w:sz w:val="22"/>
      <w:szCs w:val="22"/>
      <w:lang w:val="en" w:eastAsia="en-GB"/>
      <w14:ligatures w14:val="none"/>
    </w:rPr>
  </w:style>
  <w:style w:type="paragraph" w:styleId="Heading1">
    <w:name w:val="heading 1"/>
    <w:basedOn w:val="Normal"/>
    <w:next w:val="Normal"/>
    <w:link w:val="Heading1Char"/>
    <w:uiPriority w:val="9"/>
    <w:qFormat/>
    <w:rsid w:val="00DD6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6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69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9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9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9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9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9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9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9B8"/>
    <w:rPr>
      <w:rFonts w:eastAsiaTheme="majorEastAsia" w:cstheme="majorBidi"/>
      <w:color w:val="272727" w:themeColor="text1" w:themeTint="D8"/>
    </w:rPr>
  </w:style>
  <w:style w:type="paragraph" w:styleId="Title">
    <w:name w:val="Title"/>
    <w:basedOn w:val="Normal"/>
    <w:next w:val="Normal"/>
    <w:link w:val="TitleChar"/>
    <w:uiPriority w:val="10"/>
    <w:qFormat/>
    <w:rsid w:val="00DD6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9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9B8"/>
    <w:pPr>
      <w:spacing w:before="160"/>
      <w:jc w:val="center"/>
    </w:pPr>
    <w:rPr>
      <w:i/>
      <w:iCs/>
      <w:color w:val="404040" w:themeColor="text1" w:themeTint="BF"/>
    </w:rPr>
  </w:style>
  <w:style w:type="character" w:customStyle="1" w:styleId="QuoteChar">
    <w:name w:val="Quote Char"/>
    <w:basedOn w:val="DefaultParagraphFont"/>
    <w:link w:val="Quote"/>
    <w:uiPriority w:val="29"/>
    <w:rsid w:val="00DD69B8"/>
    <w:rPr>
      <w:i/>
      <w:iCs/>
      <w:color w:val="404040" w:themeColor="text1" w:themeTint="BF"/>
    </w:rPr>
  </w:style>
  <w:style w:type="paragraph" w:styleId="ListParagraph">
    <w:name w:val="List Paragraph"/>
    <w:basedOn w:val="Normal"/>
    <w:uiPriority w:val="34"/>
    <w:qFormat/>
    <w:rsid w:val="00DD69B8"/>
    <w:pPr>
      <w:ind w:left="720"/>
      <w:contextualSpacing/>
    </w:pPr>
  </w:style>
  <w:style w:type="character" w:styleId="IntenseEmphasis">
    <w:name w:val="Intense Emphasis"/>
    <w:basedOn w:val="DefaultParagraphFont"/>
    <w:uiPriority w:val="21"/>
    <w:qFormat/>
    <w:rsid w:val="00DD69B8"/>
    <w:rPr>
      <w:i/>
      <w:iCs/>
      <w:color w:val="0F4761" w:themeColor="accent1" w:themeShade="BF"/>
    </w:rPr>
  </w:style>
  <w:style w:type="paragraph" w:styleId="IntenseQuote">
    <w:name w:val="Intense Quote"/>
    <w:basedOn w:val="Normal"/>
    <w:next w:val="Normal"/>
    <w:link w:val="IntenseQuoteChar"/>
    <w:uiPriority w:val="30"/>
    <w:qFormat/>
    <w:rsid w:val="00DD6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9B8"/>
    <w:rPr>
      <w:i/>
      <w:iCs/>
      <w:color w:val="0F4761" w:themeColor="accent1" w:themeShade="BF"/>
    </w:rPr>
  </w:style>
  <w:style w:type="character" w:styleId="IntenseReference">
    <w:name w:val="Intense Reference"/>
    <w:basedOn w:val="DefaultParagraphFont"/>
    <w:uiPriority w:val="32"/>
    <w:qFormat/>
    <w:rsid w:val="00DD69B8"/>
    <w:rPr>
      <w:b/>
      <w:bCs/>
      <w:smallCaps/>
      <w:color w:val="0F4761" w:themeColor="accent1" w:themeShade="BF"/>
      <w:spacing w:val="5"/>
    </w:rPr>
  </w:style>
  <w:style w:type="paragraph" w:styleId="TOC1">
    <w:name w:val="toc 1"/>
    <w:basedOn w:val="Normal"/>
    <w:next w:val="Normal"/>
    <w:autoRedefine/>
    <w:uiPriority w:val="39"/>
    <w:unhideWhenUsed/>
    <w:rsid w:val="000B7B09"/>
    <w:pPr>
      <w:spacing w:after="100"/>
    </w:pPr>
  </w:style>
  <w:style w:type="paragraph" w:styleId="TOC2">
    <w:name w:val="toc 2"/>
    <w:basedOn w:val="Normal"/>
    <w:next w:val="Normal"/>
    <w:autoRedefine/>
    <w:uiPriority w:val="39"/>
    <w:unhideWhenUsed/>
    <w:rsid w:val="000B7B09"/>
    <w:pPr>
      <w:spacing w:after="100"/>
      <w:ind w:left="220"/>
    </w:pPr>
  </w:style>
  <w:style w:type="paragraph" w:styleId="TOC3">
    <w:name w:val="toc 3"/>
    <w:basedOn w:val="Normal"/>
    <w:next w:val="Normal"/>
    <w:autoRedefine/>
    <w:uiPriority w:val="39"/>
    <w:unhideWhenUsed/>
    <w:rsid w:val="000B7B09"/>
    <w:pPr>
      <w:spacing w:after="100"/>
      <w:ind w:left="440"/>
    </w:pPr>
  </w:style>
  <w:style w:type="character" w:styleId="Hyperlink">
    <w:name w:val="Hyperlink"/>
    <w:basedOn w:val="DefaultParagraphFont"/>
    <w:uiPriority w:val="99"/>
    <w:unhideWhenUsed/>
    <w:rsid w:val="000B7B0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oogle.com/url?sa=E&amp;q=https%3A%2F%2Ffintechmagazine.com%2F" TargetMode="External"/><Relationship Id="rId18" Type="http://schemas.openxmlformats.org/officeDocument/2006/relationships/hyperlink" Target="https://www.google.com/url?sa=E&amp;q=https%3A%2F%2Fwww.merchantsavvy.co.uk%2F" TargetMode="External"/><Relationship Id="rId26" Type="http://schemas.openxmlformats.org/officeDocument/2006/relationships/hyperlink" Target="https://www.google.com/url?sa=E&amp;q=https%3A%2F%2Fthedatacity.com%2F" TargetMode="External"/><Relationship Id="rId3" Type="http://schemas.openxmlformats.org/officeDocument/2006/relationships/settings" Target="settings.xml"/><Relationship Id="rId21" Type="http://schemas.openxmlformats.org/officeDocument/2006/relationships/hyperlink" Target="https://www.google.com/url?sa=E&amp;q=https%3A%2F%2Fomg.one%2F" TargetMode="External"/><Relationship Id="rId7" Type="http://schemas.openxmlformats.org/officeDocument/2006/relationships/image" Target="media/image3.png"/><Relationship Id="rId12" Type="http://schemas.openxmlformats.org/officeDocument/2006/relationships/hyperlink" Target="https://www.google.com/url?sa=E&amp;q=https%3A%2F%2Fwww.canvasbusinessmodel.com%2F" TargetMode="External"/><Relationship Id="rId17" Type="http://schemas.openxmlformats.org/officeDocument/2006/relationships/hyperlink" Target="https://www.google.com/url?sa=E&amp;q=https%3A%2F%2Fmarcglocal.com%2F" TargetMode="External"/><Relationship Id="rId25" Type="http://schemas.openxmlformats.org/officeDocument/2006/relationships/hyperlink" Target="https://www.google.com/url?sa=E&amp;q=https%3A%2F%2Fstatzon.com%2F" TargetMode="External"/><Relationship Id="rId2" Type="http://schemas.openxmlformats.org/officeDocument/2006/relationships/styles" Target="styles.xml"/><Relationship Id="rId16" Type="http://schemas.openxmlformats.org/officeDocument/2006/relationships/hyperlink" Target="https://www.google.com/url?sa=E&amp;q=https%3A%2F%2Fwww.imarcgroup.com%2F" TargetMode="External"/><Relationship Id="rId20" Type="http://schemas.openxmlformats.org/officeDocument/2006/relationships/hyperlink" Target="https://www.google.com/url?sa=E&amp;q=https%3A%2F%2Fwww.tandfonline.com%2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google.com/url?sa=E&amp;q=https%3A%2F%2Fportersfiveforce.com%2F" TargetMode="External"/><Relationship Id="rId5" Type="http://schemas.openxmlformats.org/officeDocument/2006/relationships/image" Target="media/image1.jpeg"/><Relationship Id="rId15" Type="http://schemas.openxmlformats.org/officeDocument/2006/relationships/hyperlink" Target="https://www.google.com/url?sa=E&amp;q=https%3A%2F%2Fwww.ibm.com%2Freports%2Fdata-breach" TargetMode="External"/><Relationship Id="rId23" Type="http://schemas.openxmlformats.org/officeDocument/2006/relationships/hyperlink" Target="https://www.google.com/url?sa=E&amp;q=https%3A%2F%2Fpestel-analysis.com%2F"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google.com/url?sa=E&amp;q=https%3A%2F%2Fwww.mordorintelligence.com%2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google.com/url?sa=E&amp;q=https%3A%2F%2Fwww.fortunebusinessinsights.com%2F" TargetMode="External"/><Relationship Id="rId22" Type="http://schemas.openxmlformats.org/officeDocument/2006/relationships/hyperlink" Target="https://www.google.com/url?sa=E&amp;q=https%3A%2F%2Fpestel-analysis.com%2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25</Pages>
  <Words>7560</Words>
  <Characters>43092</Characters>
  <Application>Microsoft Office Word</Application>
  <DocSecurity>0</DocSecurity>
  <Lines>359</Lines>
  <Paragraphs>101</Paragraphs>
  <ScaleCrop>false</ScaleCrop>
  <Company/>
  <LinksUpToDate>false</LinksUpToDate>
  <CharactersWithSpaces>50551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Stoleru</dc:creator>
  <cp:keywords/>
  <dc:description/>
  <cp:lastModifiedBy>Cristian Stoleru (2215119)</cp:lastModifiedBy>
  <cp:revision>49</cp:revision>
  <dcterms:created xsi:type="dcterms:W3CDTF">2026-03-18T22:32:00Z</dcterms:created>
  <dcterms:modified xsi:type="dcterms:W3CDTF">2026-04-19T22:14:00Z</dcterms:modified>
</cp:coreProperties>
</file>