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fonts/font9.odttf" ContentType="application/vnd.openxmlformats-officedocument.obfuscatedFont"/>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7A16552">
      <w:pPr>
        <w:spacing w:before="240" w:line="360" w:lineRule="auto"/>
        <w:jc w:val="both"/>
        <w:rPr>
          <w:b/>
          <w:sz w:val="36"/>
          <w:lang w:val="en-GB"/>
        </w:rPr>
      </w:pPr>
    </w:p>
    <w:p w14:paraId="67A608BB">
      <w:pPr>
        <w:spacing w:line="360" w:lineRule="auto"/>
        <w:jc w:val="center"/>
        <w:rPr>
          <w:rFonts w:ascii="Arial" w:hAnsi="Arial" w:cs="Arial"/>
          <w:b/>
          <w:sz w:val="32"/>
          <w:szCs w:val="32"/>
        </w:rPr>
      </w:pPr>
      <w:r>
        <w:drawing>
          <wp:inline distT="0" distB="0" distL="0" distR="0">
            <wp:extent cx="3381375" cy="1352550"/>
            <wp:effectExtent l="0" t="0" r="1905" b="381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p>
    <w:p w14:paraId="21811744">
      <w:pPr>
        <w:jc w:val="both"/>
      </w:pPr>
    </w:p>
    <w:p w14:paraId="1EC34BAD">
      <w:pPr>
        <w:jc w:val="center"/>
      </w:pPr>
    </w:p>
    <w:p w14:paraId="020B9CFF">
      <w:pPr>
        <w:jc w:val="center"/>
        <w:rPr>
          <w:rFonts w:hint="default" w:ascii="Arial" w:hAnsi="Arial" w:cs="Arial"/>
          <w:b/>
          <w:bCs/>
          <w:lang w:val="en-US"/>
        </w:rPr>
      </w:pPr>
      <w:r>
        <w:rPr>
          <w:rFonts w:ascii="Arial" w:hAnsi="Arial" w:cs="Arial"/>
          <w:b/>
          <w:bCs/>
        </w:rPr>
        <w:t>Student Name:</w:t>
      </w:r>
      <w:r>
        <w:rPr>
          <w:rFonts w:hint="default" w:ascii="Arial" w:hAnsi="Arial" w:cs="Arial"/>
          <w:b/>
          <w:bCs/>
          <w:lang w:val="en-US"/>
        </w:rPr>
        <w:t xml:space="preserve"> NAIMA NADIMAHMED ARAB</w:t>
      </w:r>
    </w:p>
    <w:p w14:paraId="2AAC98E7">
      <w:pPr>
        <w:jc w:val="center"/>
        <w:rPr>
          <w:rFonts w:ascii="Arial" w:hAnsi="Arial" w:cs="Arial"/>
          <w:b/>
          <w:bCs/>
        </w:rPr>
      </w:pPr>
    </w:p>
    <w:p w14:paraId="63080C9E">
      <w:pPr>
        <w:jc w:val="center"/>
        <w:rPr>
          <w:rFonts w:hint="default" w:ascii="Arial" w:hAnsi="Arial" w:cs="Arial"/>
          <w:lang w:val="en-US"/>
        </w:rPr>
      </w:pPr>
      <w:r>
        <w:rPr>
          <w:rFonts w:ascii="Arial" w:hAnsi="Arial" w:cs="Arial"/>
          <w:b/>
          <w:bCs/>
        </w:rPr>
        <w:t>Student ID:</w:t>
      </w:r>
      <w:r>
        <w:rPr>
          <w:rFonts w:hint="default" w:ascii="Arial" w:hAnsi="Arial" w:cs="Arial"/>
          <w:b/>
          <w:bCs/>
          <w:lang w:val="en-US"/>
        </w:rPr>
        <w:t>2503320</w:t>
      </w:r>
    </w:p>
    <w:p w14:paraId="3D7751B6">
      <w:pPr>
        <w:jc w:val="center"/>
        <w:rPr>
          <w:rFonts w:ascii="Arial" w:hAnsi="Arial" w:cs="Arial"/>
        </w:rPr>
      </w:pPr>
    </w:p>
    <w:p w14:paraId="37F10C9F">
      <w:pPr>
        <w:jc w:val="center"/>
        <w:rPr>
          <w:rFonts w:hint="default" w:ascii="Arial" w:hAnsi="Arial" w:cs="Arial"/>
          <w:b/>
          <w:bCs/>
          <w:lang w:val="en-US"/>
        </w:rPr>
      </w:pPr>
      <w:r>
        <w:rPr>
          <w:rFonts w:ascii="Arial" w:hAnsi="Arial" w:cs="Arial"/>
          <w:b/>
          <w:bCs/>
        </w:rPr>
        <w:t xml:space="preserve">Module Name: </w:t>
      </w:r>
      <w:r>
        <w:rPr>
          <w:rFonts w:hint="default" w:ascii="Arial" w:hAnsi="Arial" w:cs="Arial"/>
          <w:b/>
          <w:bCs/>
          <w:lang w:val="en-US"/>
        </w:rPr>
        <w:t>MARKETING MANAGEMENT</w:t>
      </w:r>
    </w:p>
    <w:p w14:paraId="1F614A44">
      <w:pPr>
        <w:jc w:val="center"/>
        <w:rPr>
          <w:rFonts w:ascii="Arial" w:hAnsi="Arial" w:cs="Arial"/>
          <w:b/>
          <w:bCs/>
        </w:rPr>
      </w:pPr>
    </w:p>
    <w:p w14:paraId="0794A99E">
      <w:pPr>
        <w:jc w:val="center"/>
        <w:rPr>
          <w:rFonts w:hint="default" w:ascii="Arial" w:hAnsi="Arial" w:cs="Arial"/>
          <w:b/>
          <w:bCs/>
          <w:lang w:val="en-US"/>
        </w:rPr>
      </w:pPr>
      <w:r>
        <w:rPr>
          <w:rFonts w:ascii="Arial" w:hAnsi="Arial" w:cs="Arial"/>
          <w:b/>
          <w:bCs/>
        </w:rPr>
        <w:t>Module Code:</w:t>
      </w:r>
      <w:r>
        <w:rPr>
          <w:rFonts w:hint="default" w:ascii="Arial" w:hAnsi="Arial" w:cs="Arial"/>
          <w:b/>
          <w:bCs/>
          <w:lang w:val="en-US"/>
        </w:rPr>
        <w:t xml:space="preserve"> LCMB7024</w:t>
      </w:r>
    </w:p>
    <w:p w14:paraId="242318AB">
      <w:pPr>
        <w:jc w:val="center"/>
        <w:rPr>
          <w:rFonts w:ascii="Arial" w:hAnsi="Arial" w:cs="Arial"/>
          <w:b/>
          <w:bCs/>
        </w:rPr>
      </w:pPr>
    </w:p>
    <w:p w14:paraId="5A962802">
      <w:pPr>
        <w:jc w:val="center"/>
        <w:rPr>
          <w:rFonts w:ascii="Arial" w:hAnsi="Arial" w:cs="Arial"/>
          <w:b/>
          <w:bCs/>
        </w:rPr>
      </w:pPr>
    </w:p>
    <w:p w14:paraId="7E74A1F6">
      <w:pPr>
        <w:jc w:val="both"/>
        <w:rPr>
          <w:rFonts w:ascii="Arial" w:hAnsi="Arial" w:cs="Arial"/>
          <w:b/>
          <w:bCs/>
        </w:rPr>
      </w:pPr>
    </w:p>
    <w:p w14:paraId="1C05EEAE">
      <w:pPr>
        <w:jc w:val="center"/>
        <w:rPr>
          <w:rFonts w:hint="default" w:ascii="Arial" w:hAnsi="Arial" w:cs="Arial"/>
          <w:b/>
          <w:bCs/>
          <w:lang w:val="en-US"/>
        </w:rPr>
      </w:pPr>
      <w:r>
        <w:rPr>
          <w:rFonts w:ascii="Arial" w:hAnsi="Arial" w:cs="Arial"/>
          <w:b/>
          <w:bCs/>
        </w:rPr>
        <w:t>Lecturer’s Name:</w:t>
      </w:r>
      <w:r>
        <w:rPr>
          <w:rFonts w:hint="default" w:ascii="Arial" w:hAnsi="Arial" w:cs="Arial"/>
          <w:b/>
          <w:bCs/>
          <w:lang w:val="en-US"/>
        </w:rPr>
        <w:t xml:space="preserve"> DR. LAILA MAAZOUZ</w:t>
      </w:r>
    </w:p>
    <w:p w14:paraId="2534BC8F">
      <w:pPr>
        <w:jc w:val="center"/>
        <w:rPr>
          <w:rFonts w:ascii="Arial" w:hAnsi="Arial" w:cs="Arial"/>
          <w:b/>
          <w:bCs/>
        </w:rPr>
      </w:pPr>
    </w:p>
    <w:p w14:paraId="70E1BD2A">
      <w:pPr>
        <w:jc w:val="center"/>
        <w:rPr>
          <w:rFonts w:ascii="Arial" w:hAnsi="Arial" w:cs="Arial"/>
          <w:b/>
          <w:bCs/>
        </w:rPr>
      </w:pPr>
    </w:p>
    <w:p w14:paraId="55B10977">
      <w:pPr>
        <w:rPr>
          <w:rFonts w:ascii="Arial" w:hAnsi="Arial" w:cs="Arial"/>
          <w:b/>
          <w:bCs/>
        </w:rPr>
      </w:pPr>
    </w:p>
    <w:p w14:paraId="39FE983B">
      <w:pPr>
        <w:jc w:val="center"/>
        <w:rPr>
          <w:rFonts w:hint="default" w:ascii="Arial" w:hAnsi="Arial" w:cs="Arial"/>
          <w:b/>
          <w:bCs/>
          <w:lang w:val="en-US"/>
        </w:rPr>
      </w:pPr>
      <w:r>
        <w:rPr>
          <w:rFonts w:ascii="Arial" w:hAnsi="Arial" w:cs="Arial"/>
          <w:b/>
          <w:bCs/>
        </w:rPr>
        <w:t>Work Count:</w:t>
      </w:r>
      <w:r>
        <w:rPr>
          <w:rFonts w:hint="default" w:ascii="Arial" w:hAnsi="Arial" w:cs="Arial"/>
          <w:b/>
          <w:bCs/>
          <w:lang w:val="en-US"/>
        </w:rPr>
        <w:t>2656</w:t>
      </w:r>
      <w:bookmarkStart w:id="19" w:name="_GoBack"/>
      <w:bookmarkEnd w:id="19"/>
    </w:p>
    <w:p w14:paraId="2CC2A054">
      <w:pPr>
        <w:jc w:val="center"/>
        <w:rPr>
          <w:rFonts w:ascii="Arial" w:hAnsi="Arial" w:cs="Arial"/>
          <w:b/>
          <w:bCs/>
        </w:rPr>
      </w:pPr>
    </w:p>
    <w:p w14:paraId="6A8F56C7">
      <w:pPr>
        <w:jc w:val="center"/>
        <w:rPr>
          <w:rFonts w:ascii="Arial" w:hAnsi="Arial" w:cs="Arial"/>
          <w:b/>
          <w:bCs/>
        </w:rPr>
      </w:pPr>
    </w:p>
    <w:p w14:paraId="74532E5F">
      <w:pPr>
        <w:jc w:val="center"/>
        <w:rPr>
          <w:rFonts w:ascii="Arial" w:hAnsi="Arial" w:cs="Arial"/>
          <w:b/>
          <w:bCs/>
        </w:rPr>
      </w:pPr>
    </w:p>
    <w:p w14:paraId="102B9D5E">
      <w:pPr>
        <w:jc w:val="center"/>
        <w:rPr>
          <w:rFonts w:ascii="Arial" w:hAnsi="Arial" w:cs="Arial"/>
          <w:b/>
          <w:bCs/>
        </w:rPr>
      </w:pPr>
    </w:p>
    <w:p w14:paraId="76B4AC18">
      <w:pPr>
        <w:jc w:val="center"/>
        <w:rPr>
          <w:rFonts w:ascii="Arial" w:hAnsi="Arial" w:cs="Arial"/>
          <w:b/>
          <w:bCs/>
        </w:rPr>
      </w:pPr>
    </w:p>
    <w:p w14:paraId="3D7042D2">
      <w:pPr>
        <w:jc w:val="center"/>
        <w:rPr>
          <w:rFonts w:ascii="Arial" w:hAnsi="Arial" w:cs="Arial"/>
          <w:b/>
          <w:bCs/>
        </w:rPr>
      </w:pPr>
      <w:r>
        <w:rPr>
          <w:rFonts w:ascii="Arial" w:hAnsi="Arial" w:cs="Arial"/>
          <w:b/>
          <w:bCs/>
        </w:rPr>
        <w:t>Term 1</w:t>
      </w:r>
    </w:p>
    <w:p w14:paraId="4D9524EF">
      <w:pPr>
        <w:jc w:val="center"/>
        <w:rPr>
          <w:b/>
          <w:bCs/>
          <w:sz w:val="34"/>
          <w:szCs w:val="34"/>
        </w:rPr>
      </w:pPr>
      <w:r>
        <w:br w:type="page"/>
      </w:r>
    </w:p>
    <w:p w14:paraId="4D9524F0">
      <w:pPr>
        <w:jc w:val="center"/>
        <w:rPr>
          <w:b/>
          <w:bCs/>
          <w:sz w:val="28"/>
          <w:szCs w:val="28"/>
        </w:rPr>
      </w:pPr>
      <w:r>
        <w:rPr>
          <w:b/>
          <w:bCs/>
          <w:sz w:val="28"/>
          <w:szCs w:val="28"/>
        </w:rPr>
        <w:t>Table of content</w:t>
      </w:r>
    </w:p>
    <w:sdt>
      <w:sdtPr>
        <w:id w:val="-1161629382"/>
        <w:docPartObj>
          <w:docPartGallery w:val="Table of Contents"/>
          <w:docPartUnique/>
        </w:docPartObj>
      </w:sdtPr>
      <w:sdtContent>
        <w:p w14:paraId="24CEDD9E">
          <w:pPr>
            <w:pStyle w:val="15"/>
            <w:tabs>
              <w:tab w:val="right" w:pos="9350"/>
            </w:tabs>
            <w:rPr>
              <w:rFonts w:asciiTheme="minorHAnsi" w:hAnsiTheme="minorHAnsi" w:eastAsiaTheme="minorEastAsia" w:cstheme="minorBidi"/>
              <w:sz w:val="22"/>
              <w:szCs w:val="22"/>
              <w:lang w:val="en-IN"/>
            </w:rPr>
          </w:pPr>
          <w:r>
            <w:fldChar w:fldCharType="begin"/>
          </w:r>
          <w:r>
            <w:instrText xml:space="preserve"> TOC \h \u \z \t "Heading 1,1,Heading 2,2,Heading 3,3,Heading 4,4,Heading 5,5,Heading 6,6,"</w:instrText>
          </w:r>
          <w:r>
            <w:fldChar w:fldCharType="separate"/>
          </w:r>
          <w:r>
            <w:fldChar w:fldCharType="begin"/>
          </w:r>
          <w:r>
            <w:instrText xml:space="preserve"> HYPERLINK \l "_Toc214463559" </w:instrText>
          </w:r>
          <w:r>
            <w:fldChar w:fldCharType="separate"/>
          </w:r>
          <w:r>
            <w:rPr>
              <w:rStyle w:val="12"/>
            </w:rPr>
            <w:t>Introduction</w:t>
          </w:r>
          <w:r>
            <w:tab/>
          </w:r>
          <w:r>
            <w:fldChar w:fldCharType="begin"/>
          </w:r>
          <w:r>
            <w:instrText xml:space="preserve"> PAGEREF _Toc214463559 \h </w:instrText>
          </w:r>
          <w:r>
            <w:fldChar w:fldCharType="separate"/>
          </w:r>
          <w:r>
            <w:t>2</w:t>
          </w:r>
          <w:r>
            <w:fldChar w:fldCharType="end"/>
          </w:r>
          <w:r>
            <w:fldChar w:fldCharType="end"/>
          </w:r>
        </w:p>
        <w:p w14:paraId="2F18C261">
          <w:pPr>
            <w:pStyle w:val="16"/>
            <w:tabs>
              <w:tab w:val="right" w:pos="9350"/>
            </w:tabs>
            <w:rPr>
              <w:rFonts w:asciiTheme="minorHAnsi" w:hAnsiTheme="minorHAnsi" w:eastAsiaTheme="minorEastAsia" w:cstheme="minorBidi"/>
              <w:sz w:val="22"/>
              <w:szCs w:val="22"/>
              <w:lang w:val="en-IN"/>
            </w:rPr>
          </w:pPr>
          <w:r>
            <w:fldChar w:fldCharType="begin"/>
          </w:r>
          <w:r>
            <w:instrText xml:space="preserve"> HYPERLINK \l "_Toc214463560" </w:instrText>
          </w:r>
          <w:r>
            <w:fldChar w:fldCharType="separate"/>
          </w:r>
          <w:r>
            <w:rPr>
              <w:rStyle w:val="12"/>
            </w:rPr>
            <w:t>Brief overview of the global retail industry</w:t>
          </w:r>
          <w:r>
            <w:tab/>
          </w:r>
          <w:r>
            <w:fldChar w:fldCharType="begin"/>
          </w:r>
          <w:r>
            <w:instrText xml:space="preserve"> PAGEREF _Toc214463560 \h </w:instrText>
          </w:r>
          <w:r>
            <w:fldChar w:fldCharType="separate"/>
          </w:r>
          <w:r>
            <w:t>2</w:t>
          </w:r>
          <w:r>
            <w:fldChar w:fldCharType="end"/>
          </w:r>
          <w:r>
            <w:fldChar w:fldCharType="end"/>
          </w:r>
        </w:p>
        <w:p w14:paraId="63E5BDC1">
          <w:pPr>
            <w:pStyle w:val="16"/>
            <w:tabs>
              <w:tab w:val="right" w:pos="9350"/>
            </w:tabs>
            <w:rPr>
              <w:rFonts w:asciiTheme="minorHAnsi" w:hAnsiTheme="minorHAnsi" w:eastAsiaTheme="minorEastAsia" w:cstheme="minorBidi"/>
              <w:sz w:val="22"/>
              <w:szCs w:val="22"/>
              <w:lang w:val="en-IN"/>
            </w:rPr>
          </w:pPr>
          <w:r>
            <w:fldChar w:fldCharType="begin"/>
          </w:r>
          <w:r>
            <w:instrText xml:space="preserve"> HYPERLINK \l "_Toc214463561" </w:instrText>
          </w:r>
          <w:r>
            <w:fldChar w:fldCharType="separate"/>
          </w:r>
          <w:r>
            <w:rPr>
              <w:rStyle w:val="12"/>
            </w:rPr>
            <w:t>Importance of pioneer and followers in strategic marketing management</w:t>
          </w:r>
          <w:r>
            <w:tab/>
          </w:r>
          <w:r>
            <w:fldChar w:fldCharType="begin"/>
          </w:r>
          <w:r>
            <w:instrText xml:space="preserve"> PAGEREF _Toc214463561 \h </w:instrText>
          </w:r>
          <w:r>
            <w:fldChar w:fldCharType="separate"/>
          </w:r>
          <w:r>
            <w:t>3</w:t>
          </w:r>
          <w:r>
            <w:fldChar w:fldCharType="end"/>
          </w:r>
          <w:r>
            <w:fldChar w:fldCharType="end"/>
          </w:r>
        </w:p>
        <w:p w14:paraId="7FAD8FFE">
          <w:pPr>
            <w:pStyle w:val="16"/>
            <w:tabs>
              <w:tab w:val="right" w:pos="9350"/>
            </w:tabs>
            <w:rPr>
              <w:rFonts w:asciiTheme="minorHAnsi" w:hAnsiTheme="minorHAnsi" w:eastAsiaTheme="minorEastAsia" w:cstheme="minorBidi"/>
              <w:sz w:val="22"/>
              <w:szCs w:val="22"/>
              <w:lang w:val="en-IN"/>
            </w:rPr>
          </w:pPr>
          <w:r>
            <w:fldChar w:fldCharType="begin"/>
          </w:r>
          <w:r>
            <w:instrText xml:space="preserve"> HYPERLINK \l "_Toc214463562" </w:instrText>
          </w:r>
          <w:r>
            <w:fldChar w:fldCharType="separate"/>
          </w:r>
          <w:r>
            <w:rPr>
              <w:rStyle w:val="12"/>
            </w:rPr>
            <w:t>Purpose of report</w:t>
          </w:r>
          <w:r>
            <w:tab/>
          </w:r>
          <w:r>
            <w:fldChar w:fldCharType="begin"/>
          </w:r>
          <w:r>
            <w:instrText xml:space="preserve"> PAGEREF _Toc214463562 \h </w:instrText>
          </w:r>
          <w:r>
            <w:fldChar w:fldCharType="separate"/>
          </w:r>
          <w:r>
            <w:t>3</w:t>
          </w:r>
          <w:r>
            <w:fldChar w:fldCharType="end"/>
          </w:r>
          <w:r>
            <w:fldChar w:fldCharType="end"/>
          </w:r>
        </w:p>
        <w:p w14:paraId="4079FF48">
          <w:pPr>
            <w:pStyle w:val="15"/>
            <w:tabs>
              <w:tab w:val="right" w:pos="9350"/>
            </w:tabs>
            <w:rPr>
              <w:rFonts w:asciiTheme="minorHAnsi" w:hAnsiTheme="minorHAnsi" w:eastAsiaTheme="minorEastAsia" w:cstheme="minorBidi"/>
              <w:sz w:val="22"/>
              <w:szCs w:val="22"/>
              <w:lang w:val="en-IN"/>
            </w:rPr>
          </w:pPr>
          <w:r>
            <w:fldChar w:fldCharType="begin"/>
          </w:r>
          <w:r>
            <w:instrText xml:space="preserve"> HYPERLINK \l "_Toc214463563" </w:instrText>
          </w:r>
          <w:r>
            <w:fldChar w:fldCharType="separate"/>
          </w:r>
          <w:r>
            <w:rPr>
              <w:rStyle w:val="12"/>
            </w:rPr>
            <w:t>Task 1</w:t>
          </w:r>
          <w:r>
            <w:tab/>
          </w:r>
          <w:r>
            <w:fldChar w:fldCharType="begin"/>
          </w:r>
          <w:r>
            <w:instrText xml:space="preserve"> PAGEREF _Toc214463563 \h </w:instrText>
          </w:r>
          <w:r>
            <w:fldChar w:fldCharType="separate"/>
          </w:r>
          <w:r>
            <w:t>4</w:t>
          </w:r>
          <w:r>
            <w:fldChar w:fldCharType="end"/>
          </w:r>
          <w:r>
            <w:fldChar w:fldCharType="end"/>
          </w:r>
        </w:p>
        <w:p w14:paraId="23433850">
          <w:pPr>
            <w:pStyle w:val="15"/>
            <w:tabs>
              <w:tab w:val="right" w:pos="9350"/>
            </w:tabs>
            <w:rPr>
              <w:rFonts w:asciiTheme="minorHAnsi" w:hAnsiTheme="minorHAnsi" w:eastAsiaTheme="minorEastAsia" w:cstheme="minorBidi"/>
              <w:sz w:val="22"/>
              <w:szCs w:val="22"/>
              <w:lang w:val="en-IN"/>
            </w:rPr>
          </w:pPr>
          <w:r>
            <w:fldChar w:fldCharType="begin"/>
          </w:r>
          <w:r>
            <w:instrText xml:space="preserve"> HYPERLINK \l "_Toc214463564" </w:instrText>
          </w:r>
          <w:r>
            <w:fldChar w:fldCharType="separate"/>
          </w:r>
          <w:r>
            <w:rPr>
              <w:rStyle w:val="12"/>
            </w:rPr>
            <w:t>1. Macro Marketing Environmental Analysis</w:t>
          </w:r>
          <w:r>
            <w:tab/>
          </w:r>
          <w:r>
            <w:fldChar w:fldCharType="begin"/>
          </w:r>
          <w:r>
            <w:instrText xml:space="preserve"> PAGEREF _Toc214463564 \h </w:instrText>
          </w:r>
          <w:r>
            <w:fldChar w:fldCharType="separate"/>
          </w:r>
          <w:r>
            <w:t>4</w:t>
          </w:r>
          <w:r>
            <w:fldChar w:fldCharType="end"/>
          </w:r>
          <w:r>
            <w:fldChar w:fldCharType="end"/>
          </w:r>
        </w:p>
        <w:p w14:paraId="64D40FA8">
          <w:pPr>
            <w:pStyle w:val="16"/>
            <w:tabs>
              <w:tab w:val="right" w:pos="9350"/>
            </w:tabs>
            <w:rPr>
              <w:rFonts w:asciiTheme="minorHAnsi" w:hAnsiTheme="minorHAnsi" w:eastAsiaTheme="minorEastAsia" w:cstheme="minorBidi"/>
              <w:sz w:val="22"/>
              <w:szCs w:val="22"/>
              <w:lang w:val="en-IN"/>
            </w:rPr>
          </w:pPr>
          <w:r>
            <w:fldChar w:fldCharType="begin"/>
          </w:r>
          <w:r>
            <w:instrText xml:space="preserve"> HYPERLINK \l "_Toc214463565" </w:instrText>
          </w:r>
          <w:r>
            <w:fldChar w:fldCharType="separate"/>
          </w:r>
          <w:r>
            <w:rPr>
              <w:rStyle w:val="12"/>
            </w:rPr>
            <w:t>1.1 Overview of the Macro Marketing Environment</w:t>
          </w:r>
          <w:r>
            <w:tab/>
          </w:r>
          <w:r>
            <w:fldChar w:fldCharType="begin"/>
          </w:r>
          <w:r>
            <w:instrText xml:space="preserve"> PAGEREF _Toc214463565 \h </w:instrText>
          </w:r>
          <w:r>
            <w:fldChar w:fldCharType="separate"/>
          </w:r>
          <w:r>
            <w:t>4</w:t>
          </w:r>
          <w:r>
            <w:fldChar w:fldCharType="end"/>
          </w:r>
          <w:r>
            <w:fldChar w:fldCharType="end"/>
          </w:r>
        </w:p>
        <w:p w14:paraId="36697B85">
          <w:pPr>
            <w:pStyle w:val="16"/>
            <w:tabs>
              <w:tab w:val="right" w:pos="9350"/>
            </w:tabs>
            <w:rPr>
              <w:rFonts w:asciiTheme="minorHAnsi" w:hAnsiTheme="minorHAnsi" w:eastAsiaTheme="minorEastAsia" w:cstheme="minorBidi"/>
              <w:sz w:val="22"/>
              <w:szCs w:val="22"/>
              <w:lang w:val="en-IN"/>
            </w:rPr>
          </w:pPr>
          <w:r>
            <w:fldChar w:fldCharType="begin"/>
          </w:r>
          <w:r>
            <w:instrText xml:space="preserve"> HYPERLINK \l "_Toc214463566" </w:instrText>
          </w:r>
          <w:r>
            <w:fldChar w:fldCharType="separate"/>
          </w:r>
          <w:r>
            <w:rPr>
              <w:rStyle w:val="12"/>
            </w:rPr>
            <w:t>1.2 Selection of Two Macro Marketing Actors</w:t>
          </w:r>
          <w:r>
            <w:tab/>
          </w:r>
          <w:r>
            <w:fldChar w:fldCharType="begin"/>
          </w:r>
          <w:r>
            <w:instrText xml:space="preserve"> PAGEREF _Toc214463566 \h </w:instrText>
          </w:r>
          <w:r>
            <w:fldChar w:fldCharType="separate"/>
          </w:r>
          <w:r>
            <w:t>5</w:t>
          </w:r>
          <w:r>
            <w:fldChar w:fldCharType="end"/>
          </w:r>
          <w:r>
            <w:fldChar w:fldCharType="end"/>
          </w:r>
        </w:p>
        <w:p w14:paraId="07B46ED8">
          <w:pPr>
            <w:pStyle w:val="17"/>
            <w:tabs>
              <w:tab w:val="right" w:pos="9350"/>
            </w:tabs>
            <w:rPr>
              <w:rFonts w:asciiTheme="minorHAnsi" w:hAnsiTheme="minorHAnsi" w:eastAsiaTheme="minorEastAsia" w:cstheme="minorBidi"/>
              <w:sz w:val="22"/>
              <w:szCs w:val="22"/>
              <w:lang w:val="en-IN"/>
            </w:rPr>
          </w:pPr>
          <w:r>
            <w:fldChar w:fldCharType="begin"/>
          </w:r>
          <w:r>
            <w:instrText xml:space="preserve"> HYPERLINK \l "_Toc214463567" </w:instrText>
          </w:r>
          <w:r>
            <w:fldChar w:fldCharType="separate"/>
          </w:r>
          <w:r>
            <w:rPr>
              <w:rStyle w:val="12"/>
            </w:rPr>
            <w:t>1.2.1 Economic Factor</w:t>
          </w:r>
          <w:r>
            <w:tab/>
          </w:r>
          <w:r>
            <w:fldChar w:fldCharType="begin"/>
          </w:r>
          <w:r>
            <w:instrText xml:space="preserve"> PAGEREF _Toc214463567 \h </w:instrText>
          </w:r>
          <w:r>
            <w:fldChar w:fldCharType="separate"/>
          </w:r>
          <w:r>
            <w:t>5</w:t>
          </w:r>
          <w:r>
            <w:fldChar w:fldCharType="end"/>
          </w:r>
          <w:r>
            <w:fldChar w:fldCharType="end"/>
          </w:r>
        </w:p>
        <w:p w14:paraId="300CF98F">
          <w:pPr>
            <w:pStyle w:val="17"/>
            <w:tabs>
              <w:tab w:val="right" w:pos="9350"/>
            </w:tabs>
            <w:rPr>
              <w:rFonts w:asciiTheme="minorHAnsi" w:hAnsiTheme="minorHAnsi" w:eastAsiaTheme="minorEastAsia" w:cstheme="minorBidi"/>
              <w:sz w:val="22"/>
              <w:szCs w:val="22"/>
              <w:lang w:val="en-IN"/>
            </w:rPr>
          </w:pPr>
          <w:r>
            <w:fldChar w:fldCharType="begin"/>
          </w:r>
          <w:r>
            <w:instrText xml:space="preserve"> HYPERLINK \l "_Toc214463568" </w:instrText>
          </w:r>
          <w:r>
            <w:fldChar w:fldCharType="separate"/>
          </w:r>
          <w:r>
            <w:rPr>
              <w:rStyle w:val="12"/>
            </w:rPr>
            <w:t>1.2.2  Technology Factor</w:t>
          </w:r>
          <w:r>
            <w:tab/>
          </w:r>
          <w:r>
            <w:fldChar w:fldCharType="begin"/>
          </w:r>
          <w:r>
            <w:instrText xml:space="preserve"> PAGEREF _Toc214463568 \h </w:instrText>
          </w:r>
          <w:r>
            <w:fldChar w:fldCharType="separate"/>
          </w:r>
          <w:r>
            <w:t>5</w:t>
          </w:r>
          <w:r>
            <w:fldChar w:fldCharType="end"/>
          </w:r>
          <w:r>
            <w:fldChar w:fldCharType="end"/>
          </w:r>
        </w:p>
        <w:p w14:paraId="7CCEB96A">
          <w:pPr>
            <w:pStyle w:val="16"/>
            <w:tabs>
              <w:tab w:val="right" w:pos="9350"/>
            </w:tabs>
            <w:rPr>
              <w:rFonts w:asciiTheme="minorHAnsi" w:hAnsiTheme="minorHAnsi" w:eastAsiaTheme="minorEastAsia" w:cstheme="minorBidi"/>
              <w:sz w:val="22"/>
              <w:szCs w:val="22"/>
              <w:lang w:val="en-IN"/>
            </w:rPr>
          </w:pPr>
          <w:r>
            <w:fldChar w:fldCharType="begin"/>
          </w:r>
          <w:r>
            <w:instrText xml:space="preserve"> HYPERLINK \l "_Toc214463569" </w:instrText>
          </w:r>
          <w:r>
            <w:fldChar w:fldCharType="separate"/>
          </w:r>
          <w:r>
            <w:rPr>
              <w:rStyle w:val="12"/>
            </w:rPr>
            <w:t>1.3 Critical Analysis of Two Macro Marketing Actors</w:t>
          </w:r>
          <w:r>
            <w:tab/>
          </w:r>
          <w:r>
            <w:fldChar w:fldCharType="begin"/>
          </w:r>
          <w:r>
            <w:instrText xml:space="preserve"> PAGEREF _Toc214463569 \h </w:instrText>
          </w:r>
          <w:r>
            <w:fldChar w:fldCharType="separate"/>
          </w:r>
          <w:r>
            <w:t>5</w:t>
          </w:r>
          <w:r>
            <w:fldChar w:fldCharType="end"/>
          </w:r>
          <w:r>
            <w:fldChar w:fldCharType="end"/>
          </w:r>
        </w:p>
        <w:p w14:paraId="21AC08E0">
          <w:pPr>
            <w:pStyle w:val="17"/>
            <w:tabs>
              <w:tab w:val="right" w:pos="9350"/>
            </w:tabs>
            <w:rPr>
              <w:rFonts w:asciiTheme="minorHAnsi" w:hAnsiTheme="minorHAnsi" w:eastAsiaTheme="minorEastAsia" w:cstheme="minorBidi"/>
              <w:sz w:val="22"/>
              <w:szCs w:val="22"/>
              <w:lang w:val="en-IN"/>
            </w:rPr>
          </w:pPr>
          <w:r>
            <w:fldChar w:fldCharType="begin"/>
          </w:r>
          <w:r>
            <w:instrText xml:space="preserve"> HYPERLINK \l "_Toc214463570" </w:instrText>
          </w:r>
          <w:r>
            <w:fldChar w:fldCharType="separate"/>
          </w:r>
          <w:r>
            <w:rPr>
              <w:rStyle w:val="12"/>
            </w:rPr>
            <w:t>1.3.1 Economic Factor</w:t>
          </w:r>
          <w:r>
            <w:tab/>
          </w:r>
          <w:r>
            <w:fldChar w:fldCharType="begin"/>
          </w:r>
          <w:r>
            <w:instrText xml:space="preserve"> PAGEREF _Toc214463570 \h </w:instrText>
          </w:r>
          <w:r>
            <w:fldChar w:fldCharType="separate"/>
          </w:r>
          <w:r>
            <w:t>5</w:t>
          </w:r>
          <w:r>
            <w:fldChar w:fldCharType="end"/>
          </w:r>
          <w:r>
            <w:fldChar w:fldCharType="end"/>
          </w:r>
        </w:p>
        <w:p w14:paraId="5FDD4C78">
          <w:pPr>
            <w:pStyle w:val="17"/>
            <w:tabs>
              <w:tab w:val="right" w:pos="9350"/>
            </w:tabs>
            <w:rPr>
              <w:rFonts w:asciiTheme="minorHAnsi" w:hAnsiTheme="minorHAnsi" w:eastAsiaTheme="minorEastAsia" w:cstheme="minorBidi"/>
              <w:sz w:val="22"/>
              <w:szCs w:val="22"/>
              <w:lang w:val="en-IN"/>
            </w:rPr>
          </w:pPr>
          <w:r>
            <w:fldChar w:fldCharType="begin"/>
          </w:r>
          <w:r>
            <w:instrText xml:space="preserve"> HYPERLINK \l "_Toc214463571" </w:instrText>
          </w:r>
          <w:r>
            <w:fldChar w:fldCharType="separate"/>
          </w:r>
          <w:r>
            <w:rPr>
              <w:rStyle w:val="12"/>
            </w:rPr>
            <w:t>1.2.2 Technological Factor</w:t>
          </w:r>
          <w:r>
            <w:tab/>
          </w:r>
          <w:r>
            <w:fldChar w:fldCharType="begin"/>
          </w:r>
          <w:r>
            <w:instrText xml:space="preserve"> PAGEREF _Toc214463571 \h </w:instrText>
          </w:r>
          <w:r>
            <w:fldChar w:fldCharType="separate"/>
          </w:r>
          <w:r>
            <w:t>7</w:t>
          </w:r>
          <w:r>
            <w:fldChar w:fldCharType="end"/>
          </w:r>
          <w:r>
            <w:fldChar w:fldCharType="end"/>
          </w:r>
        </w:p>
        <w:p w14:paraId="47CB824B">
          <w:pPr>
            <w:pStyle w:val="15"/>
            <w:tabs>
              <w:tab w:val="right" w:pos="9350"/>
            </w:tabs>
            <w:rPr>
              <w:rFonts w:asciiTheme="minorHAnsi" w:hAnsiTheme="minorHAnsi" w:eastAsiaTheme="minorEastAsia" w:cstheme="minorBidi"/>
              <w:sz w:val="22"/>
              <w:szCs w:val="22"/>
              <w:lang w:val="en-IN"/>
            </w:rPr>
          </w:pPr>
          <w:r>
            <w:fldChar w:fldCharType="begin"/>
          </w:r>
          <w:r>
            <w:instrText xml:space="preserve"> HYPERLINK \l "_Toc214463572" </w:instrText>
          </w:r>
          <w:r>
            <w:fldChar w:fldCharType="separate"/>
          </w:r>
          <w:r>
            <w:rPr>
              <w:rStyle w:val="12"/>
            </w:rPr>
            <w:t>Task 2</w:t>
          </w:r>
          <w:r>
            <w:tab/>
          </w:r>
          <w:r>
            <w:fldChar w:fldCharType="begin"/>
          </w:r>
          <w:r>
            <w:instrText xml:space="preserve"> PAGEREF _Toc214463572 \h </w:instrText>
          </w:r>
          <w:r>
            <w:fldChar w:fldCharType="separate"/>
          </w:r>
          <w:r>
            <w:t>12</w:t>
          </w:r>
          <w:r>
            <w:fldChar w:fldCharType="end"/>
          </w:r>
          <w:r>
            <w:fldChar w:fldCharType="end"/>
          </w:r>
        </w:p>
        <w:p w14:paraId="655243E5">
          <w:pPr>
            <w:pStyle w:val="15"/>
            <w:tabs>
              <w:tab w:val="right" w:pos="9350"/>
            </w:tabs>
            <w:rPr>
              <w:rFonts w:asciiTheme="minorHAnsi" w:hAnsiTheme="minorHAnsi" w:eastAsiaTheme="minorEastAsia" w:cstheme="minorBidi"/>
              <w:sz w:val="22"/>
              <w:szCs w:val="22"/>
              <w:lang w:val="en-IN"/>
            </w:rPr>
          </w:pPr>
          <w:r>
            <w:fldChar w:fldCharType="begin"/>
          </w:r>
          <w:r>
            <w:instrText xml:space="preserve"> HYPERLINK \l "_Toc214463573" </w:instrText>
          </w:r>
          <w:r>
            <w:fldChar w:fldCharType="separate"/>
          </w:r>
          <w:r>
            <w:rPr>
              <w:rStyle w:val="12"/>
            </w:rPr>
            <w:t>2. Strategic Responses of Pioneers and Followers</w:t>
          </w:r>
          <w:r>
            <w:tab/>
          </w:r>
          <w:r>
            <w:fldChar w:fldCharType="begin"/>
          </w:r>
          <w:r>
            <w:instrText xml:space="preserve"> PAGEREF _Toc214463573 \h </w:instrText>
          </w:r>
          <w:r>
            <w:fldChar w:fldCharType="separate"/>
          </w:r>
          <w:r>
            <w:t>12</w:t>
          </w:r>
          <w:r>
            <w:fldChar w:fldCharType="end"/>
          </w:r>
          <w:r>
            <w:fldChar w:fldCharType="end"/>
          </w:r>
        </w:p>
        <w:p w14:paraId="2003A16D">
          <w:pPr>
            <w:pStyle w:val="16"/>
            <w:tabs>
              <w:tab w:val="right" w:pos="9350"/>
            </w:tabs>
            <w:rPr>
              <w:rFonts w:asciiTheme="minorHAnsi" w:hAnsiTheme="minorHAnsi" w:eastAsiaTheme="minorEastAsia" w:cstheme="minorBidi"/>
              <w:sz w:val="22"/>
              <w:szCs w:val="22"/>
              <w:lang w:val="en-IN"/>
            </w:rPr>
          </w:pPr>
          <w:r>
            <w:fldChar w:fldCharType="begin"/>
          </w:r>
          <w:r>
            <w:instrText xml:space="preserve"> HYPERLINK \l "_Toc214463574" </w:instrText>
          </w:r>
          <w:r>
            <w:fldChar w:fldCharType="separate"/>
          </w:r>
          <w:r>
            <w:rPr>
              <w:rStyle w:val="12"/>
            </w:rPr>
            <w:t>2.1 Strategic Response to Economic Factors</w:t>
          </w:r>
          <w:r>
            <w:tab/>
          </w:r>
          <w:r>
            <w:fldChar w:fldCharType="begin"/>
          </w:r>
          <w:r>
            <w:instrText xml:space="preserve"> PAGEREF _Toc214463574 \h </w:instrText>
          </w:r>
          <w:r>
            <w:fldChar w:fldCharType="separate"/>
          </w:r>
          <w:r>
            <w:t>12</w:t>
          </w:r>
          <w:r>
            <w:fldChar w:fldCharType="end"/>
          </w:r>
          <w:r>
            <w:fldChar w:fldCharType="end"/>
          </w:r>
        </w:p>
        <w:p w14:paraId="4654A864">
          <w:pPr>
            <w:pStyle w:val="16"/>
            <w:tabs>
              <w:tab w:val="right" w:pos="9350"/>
            </w:tabs>
            <w:rPr>
              <w:rFonts w:asciiTheme="minorHAnsi" w:hAnsiTheme="minorHAnsi" w:eastAsiaTheme="minorEastAsia" w:cstheme="minorBidi"/>
              <w:sz w:val="22"/>
              <w:szCs w:val="22"/>
              <w:lang w:val="en-IN"/>
            </w:rPr>
          </w:pPr>
          <w:r>
            <w:fldChar w:fldCharType="begin"/>
          </w:r>
          <w:r>
            <w:instrText xml:space="preserve"> HYPERLINK \l "_Toc214463575" </w:instrText>
          </w:r>
          <w:r>
            <w:fldChar w:fldCharType="separate"/>
          </w:r>
          <w:r>
            <w:rPr>
              <w:rStyle w:val="12"/>
            </w:rPr>
            <w:t>2.2 Strategic Response to Technological Factors</w:t>
          </w:r>
          <w:r>
            <w:tab/>
          </w:r>
          <w:r>
            <w:fldChar w:fldCharType="begin"/>
          </w:r>
          <w:r>
            <w:instrText xml:space="preserve"> PAGEREF _Toc214463575 \h </w:instrText>
          </w:r>
          <w:r>
            <w:fldChar w:fldCharType="separate"/>
          </w:r>
          <w:r>
            <w:t>16</w:t>
          </w:r>
          <w:r>
            <w:fldChar w:fldCharType="end"/>
          </w:r>
          <w:r>
            <w:fldChar w:fldCharType="end"/>
          </w:r>
        </w:p>
        <w:p w14:paraId="38CCDD58">
          <w:pPr>
            <w:pStyle w:val="15"/>
            <w:tabs>
              <w:tab w:val="right" w:pos="9350"/>
            </w:tabs>
            <w:rPr>
              <w:rFonts w:asciiTheme="minorHAnsi" w:hAnsiTheme="minorHAnsi" w:eastAsiaTheme="minorEastAsia" w:cstheme="minorBidi"/>
              <w:sz w:val="22"/>
              <w:szCs w:val="22"/>
              <w:lang w:val="en-IN"/>
            </w:rPr>
          </w:pPr>
          <w:r>
            <w:fldChar w:fldCharType="begin"/>
          </w:r>
          <w:r>
            <w:instrText xml:space="preserve"> HYPERLINK \l "_Toc214463576" </w:instrText>
          </w:r>
          <w:r>
            <w:fldChar w:fldCharType="separate"/>
          </w:r>
          <w:r>
            <w:rPr>
              <w:rStyle w:val="12"/>
            </w:rPr>
            <w:t>Conclusion</w:t>
          </w:r>
          <w:r>
            <w:tab/>
          </w:r>
          <w:r>
            <w:fldChar w:fldCharType="begin"/>
          </w:r>
          <w:r>
            <w:instrText xml:space="preserve"> PAGEREF _Toc214463576 \h </w:instrText>
          </w:r>
          <w:r>
            <w:fldChar w:fldCharType="separate"/>
          </w:r>
          <w:r>
            <w:t>19</w:t>
          </w:r>
          <w:r>
            <w:fldChar w:fldCharType="end"/>
          </w:r>
          <w:r>
            <w:fldChar w:fldCharType="end"/>
          </w:r>
        </w:p>
        <w:p w14:paraId="26544AB8">
          <w:pPr>
            <w:pStyle w:val="15"/>
            <w:tabs>
              <w:tab w:val="right" w:pos="9350"/>
            </w:tabs>
            <w:rPr>
              <w:rFonts w:asciiTheme="minorHAnsi" w:hAnsiTheme="minorHAnsi" w:eastAsiaTheme="minorEastAsia" w:cstheme="minorBidi"/>
              <w:sz w:val="22"/>
              <w:szCs w:val="22"/>
              <w:lang w:val="en-IN"/>
            </w:rPr>
          </w:pPr>
          <w:r>
            <w:fldChar w:fldCharType="begin"/>
          </w:r>
          <w:r>
            <w:instrText xml:space="preserve"> HYPERLINK \l "_Toc214463577" </w:instrText>
          </w:r>
          <w:r>
            <w:fldChar w:fldCharType="separate"/>
          </w:r>
          <w:r>
            <w:rPr>
              <w:rStyle w:val="12"/>
            </w:rPr>
            <w:t>Reference list</w:t>
          </w:r>
          <w:r>
            <w:tab/>
          </w:r>
          <w:r>
            <w:fldChar w:fldCharType="begin"/>
          </w:r>
          <w:r>
            <w:instrText xml:space="preserve"> PAGEREF _Toc214463577 \h </w:instrText>
          </w:r>
          <w:r>
            <w:fldChar w:fldCharType="separate"/>
          </w:r>
          <w:r>
            <w:t>20</w:t>
          </w:r>
          <w:r>
            <w:fldChar w:fldCharType="end"/>
          </w:r>
          <w:r>
            <w:fldChar w:fldCharType="end"/>
          </w:r>
        </w:p>
        <w:p w14:paraId="4D952503">
          <w:pPr>
            <w:widowControl w:val="0"/>
            <w:tabs>
              <w:tab w:val="right" w:pos="12000"/>
            </w:tabs>
            <w:spacing w:before="60" w:line="240" w:lineRule="auto"/>
            <w:jc w:val="left"/>
            <w:rPr>
              <w:b/>
              <w:bCs/>
              <w:color w:val="000000"/>
              <w:sz w:val="22"/>
              <w:szCs w:val="22"/>
            </w:rPr>
          </w:pPr>
          <w:r>
            <w:fldChar w:fldCharType="end"/>
          </w:r>
        </w:p>
      </w:sdtContent>
    </w:sdt>
    <w:p w14:paraId="4D952504">
      <w:pPr>
        <w:jc w:val="center"/>
        <w:rPr>
          <w:b/>
          <w:bCs/>
          <w:sz w:val="28"/>
          <w:szCs w:val="28"/>
        </w:rPr>
      </w:pPr>
      <w:r>
        <w:br w:type="page"/>
      </w:r>
    </w:p>
    <w:p w14:paraId="4D952505">
      <w:pPr>
        <w:pStyle w:val="2"/>
      </w:pPr>
      <w:bookmarkStart w:id="0" w:name="_Toc214463559"/>
      <w:r>
        <w:t>Introduction</w:t>
      </w:r>
      <w:bookmarkEnd w:id="0"/>
      <w:r>
        <w:t xml:space="preserve"> </w:t>
      </w:r>
    </w:p>
    <w:p w14:paraId="4D952506">
      <w:pPr>
        <w:pStyle w:val="3"/>
      </w:pPr>
      <w:bookmarkStart w:id="1" w:name="_Toc214463560"/>
      <w:r>
        <w:t>Brief overview of the global retail industry</w:t>
      </w:r>
      <w:bookmarkEnd w:id="1"/>
      <w:r>
        <w:t xml:space="preserve"> </w:t>
      </w:r>
    </w:p>
    <w:p w14:paraId="4D952507">
      <w:r>
        <w:t xml:space="preserve">In the rapid changing era, the global retail industry encounters significant transformation due to the rise of e-commerce, technology integration and streamline improvement in business operation. In 2024, the global retail sector have significant growth of about $28469bn which tends to raise $30623.01bn in 2025 with its growth rate 7.6% (Business research, 2025). The growth has its rapid attribution in the emerging market by shifting consumer preferences, investing on innovative technologies and adoption of robotics to enhance productivity of business. The key trends include digital acceleration, personalized experiences, omni channel integration and delivery innovation enhance transparency in business. </w:t>
      </w:r>
    </w:p>
    <w:p w14:paraId="4D952508">
      <w:pPr>
        <w:jc w:val="center"/>
      </w:pPr>
    </w:p>
    <w:p w14:paraId="4D952509">
      <w:pPr>
        <w:jc w:val="center"/>
      </w:pPr>
      <w:r>
        <w:drawing>
          <wp:inline distT="114300" distB="114300" distL="114300" distR="114300">
            <wp:extent cx="5943600" cy="4457700"/>
            <wp:effectExtent l="0" t="0" r="0" b="0"/>
            <wp:docPr id="19" name="image13.png"/>
            <wp:cNvGraphicFramePr/>
            <a:graphic xmlns:a="http://schemas.openxmlformats.org/drawingml/2006/main">
              <a:graphicData uri="http://schemas.openxmlformats.org/drawingml/2006/picture">
                <pic:pic xmlns:pic="http://schemas.openxmlformats.org/drawingml/2006/picture">
                  <pic:nvPicPr>
                    <pic:cNvPr id="19" name="image13.png"/>
                    <pic:cNvPicPr preferRelativeResize="0"/>
                  </pic:nvPicPr>
                  <pic:blipFill>
                    <a:blip r:embed="rId11"/>
                    <a:srcRect/>
                    <a:stretch>
                      <a:fillRect/>
                    </a:stretch>
                  </pic:blipFill>
                  <pic:spPr>
                    <a:xfrm>
                      <a:off x="0" y="0"/>
                      <a:ext cx="5943600" cy="4457700"/>
                    </a:xfrm>
                    <a:prstGeom prst="rect">
                      <a:avLst/>
                    </a:prstGeom>
                  </pic:spPr>
                </pic:pic>
              </a:graphicData>
            </a:graphic>
          </wp:inline>
        </w:drawing>
      </w:r>
    </w:p>
    <w:p w14:paraId="4D95250A">
      <w:pPr>
        <w:jc w:val="center"/>
        <w:rPr>
          <w:b/>
          <w:bCs/>
        </w:rPr>
      </w:pPr>
      <w:r>
        <w:rPr>
          <w:b/>
          <w:bCs/>
        </w:rPr>
        <w:t xml:space="preserve"> Figure 1: Global retail market </w:t>
      </w:r>
    </w:p>
    <w:p w14:paraId="4D95250B">
      <w:pPr>
        <w:jc w:val="center"/>
      </w:pPr>
      <w:r>
        <w:t>(Source: Business research, 2025)</w:t>
      </w:r>
    </w:p>
    <w:p w14:paraId="4D95250C">
      <w:pPr>
        <w:pStyle w:val="3"/>
      </w:pPr>
      <w:bookmarkStart w:id="2" w:name="_Toc214463561"/>
      <w:r>
        <w:t>Importance of pioneer and followers in strategic marketing management</w:t>
      </w:r>
      <w:bookmarkEnd w:id="2"/>
    </w:p>
    <w:p w14:paraId="4D95250D">
      <w:r>
        <w:t xml:space="preserve">In strategic marketing, pioneer and follower is the critical choice that showcases market positioning which encounters long term success. Market Pioneers introduce new technology and products in the market by developing dominant positions which encounter long term success. Market followers are important for analysing competitive pressures by ability to analyse market share through adoption of niche strategies in analysing risk. The pioneer and followers strategy is more reliable in the healthy market by introducing improvement to respond with market conditions. </w:t>
      </w:r>
    </w:p>
    <w:p w14:paraId="4D95250E">
      <w:pPr>
        <w:pStyle w:val="3"/>
      </w:pPr>
      <w:bookmarkStart w:id="3" w:name="_Toc214463562"/>
      <w:r>
        <w:t>Purpose of report</w:t>
      </w:r>
      <w:bookmarkEnd w:id="3"/>
    </w:p>
    <w:p w14:paraId="4D95250F">
      <w:r>
        <w:t xml:space="preserve">The main purpose of the report is to analyse the macro marketing environment is reliable for strategic marketing. The study addresses economic and technological factors which serve potential opportunities and threats to respond with changes in business. The report addresses critical evaluation of follower and pioneer organisations to respond with changes in technological and economic factors. </w:t>
      </w:r>
    </w:p>
    <w:p w14:paraId="4D952510">
      <w:r>
        <w:br w:type="page"/>
      </w:r>
    </w:p>
    <w:p w14:paraId="4D952511">
      <w:pPr>
        <w:pStyle w:val="2"/>
      </w:pPr>
      <w:bookmarkStart w:id="4" w:name="_Toc214463563"/>
      <w:r>
        <w:t>Task 1</w:t>
      </w:r>
      <w:bookmarkEnd w:id="4"/>
    </w:p>
    <w:p w14:paraId="4D952512">
      <w:pPr>
        <w:pStyle w:val="2"/>
      </w:pPr>
      <w:bookmarkStart w:id="5" w:name="_Toc214463564"/>
      <w:r>
        <w:t>1. Macro Marketing Environmental Analysis</w:t>
      </w:r>
      <w:bookmarkEnd w:id="5"/>
      <w:r>
        <w:t xml:space="preserve"> </w:t>
      </w:r>
    </w:p>
    <w:p w14:paraId="4D952513">
      <w:pPr>
        <w:pStyle w:val="3"/>
      </w:pPr>
      <w:bookmarkStart w:id="6" w:name="_Toc214463565"/>
      <w:r>
        <w:t>1.1 Overview of the Macro Marketing Environment</w:t>
      </w:r>
      <w:bookmarkEnd w:id="6"/>
      <w:r>
        <w:t xml:space="preserve"> </w:t>
      </w:r>
    </w:p>
    <w:p w14:paraId="4D952514">
      <w:r>
        <w:t xml:space="preserve">The adoption of macromarketing techniques has helped retail industries in developing a proper understanding of the diversified consumer demands. In addition, the strategy also provides accurate information regarding the influence of the political, economic, social, and technological aspects on the business operations of the organisations. For example, the market value of the global retail industry has increased from $32tn in 2023 to $35tn in 2025 (Zion, 2024). The application of the macro marketing techniques has helped retail organisations in achieving economic growth. </w:t>
      </w:r>
    </w:p>
    <w:p w14:paraId="4D952515">
      <w:pPr>
        <w:jc w:val="center"/>
      </w:pPr>
      <w:r>
        <w:drawing>
          <wp:inline distT="114300" distB="114300" distL="114300" distR="114300">
            <wp:extent cx="5695950" cy="3952875"/>
            <wp:effectExtent l="0" t="0" r="0" b="0"/>
            <wp:docPr id="18" name="image9.png"/>
            <wp:cNvGraphicFramePr/>
            <a:graphic xmlns:a="http://schemas.openxmlformats.org/drawingml/2006/main">
              <a:graphicData uri="http://schemas.openxmlformats.org/drawingml/2006/picture">
                <pic:pic xmlns:pic="http://schemas.openxmlformats.org/drawingml/2006/picture">
                  <pic:nvPicPr>
                    <pic:cNvPr id="18" name="image9.png"/>
                    <pic:cNvPicPr preferRelativeResize="0"/>
                  </pic:nvPicPr>
                  <pic:blipFill>
                    <a:blip r:embed="rId12"/>
                    <a:srcRect/>
                    <a:stretch>
                      <a:fillRect/>
                    </a:stretch>
                  </pic:blipFill>
                  <pic:spPr>
                    <a:xfrm>
                      <a:off x="0" y="0"/>
                      <a:ext cx="5695950" cy="3952875"/>
                    </a:xfrm>
                    <a:prstGeom prst="rect">
                      <a:avLst/>
                    </a:prstGeom>
                  </pic:spPr>
                </pic:pic>
              </a:graphicData>
            </a:graphic>
          </wp:inline>
        </w:drawing>
      </w:r>
    </w:p>
    <w:p w14:paraId="4D952516">
      <w:pPr>
        <w:jc w:val="center"/>
        <w:rPr>
          <w:b/>
          <w:bCs/>
        </w:rPr>
      </w:pPr>
      <w:r>
        <w:rPr>
          <w:b/>
          <w:bCs/>
        </w:rPr>
        <w:t>Figure 2: Market Value of the Global Retail Industry</w:t>
      </w:r>
    </w:p>
    <w:p w14:paraId="4D952517">
      <w:pPr>
        <w:jc w:val="center"/>
      </w:pPr>
      <w:r>
        <w:t>(Source: Zion, 2024).</w:t>
      </w:r>
    </w:p>
    <w:p w14:paraId="4D952518">
      <w:pPr>
        <w:pStyle w:val="3"/>
      </w:pPr>
      <w:bookmarkStart w:id="7" w:name="_Toc214463566"/>
      <w:r>
        <w:t>1.2 Selection of Two Macro Marketing Actors</w:t>
      </w:r>
      <w:bookmarkEnd w:id="7"/>
    </w:p>
    <w:p w14:paraId="4D952519">
      <w:pPr>
        <w:pStyle w:val="4"/>
      </w:pPr>
      <w:bookmarkStart w:id="8" w:name="_Toc214463567"/>
      <w:r>
        <w:t>1.2.1 Economic Factor</w:t>
      </w:r>
      <w:bookmarkEnd w:id="8"/>
    </w:p>
    <w:p w14:paraId="4D95251A">
      <w:r>
        <w:t xml:space="preserve">Economic Factors, such as Inflation CPI Index value has influenced the business growth of companies across the globe. The aspects mentioned above also have an impact on the purchasing power of the customers that in turn reduces the product demand of the organisations. </w:t>
      </w:r>
    </w:p>
    <w:p w14:paraId="4D95251B">
      <w:pPr>
        <w:pStyle w:val="4"/>
      </w:pPr>
      <w:bookmarkStart w:id="9" w:name="_Toc214463568"/>
      <w:r>
        <w:t>1.2.2  Technology Factor</w:t>
      </w:r>
      <w:bookmarkEnd w:id="9"/>
      <w:r>
        <w:t xml:space="preserve">  </w:t>
      </w:r>
    </w:p>
    <w:p w14:paraId="4D95251C">
      <w:r>
        <w:t xml:space="preserve">The technological factor encounters technological advancement in business operations by adoption of digital tools and AI that enhance overall productivity. The technology factor serves efficient market opportunities by ability to invest on innovation, enhance improvement in production  which streamline improvement in business operations.       </w:t>
      </w:r>
    </w:p>
    <w:p w14:paraId="4D95251D">
      <w:pPr>
        <w:pStyle w:val="3"/>
      </w:pPr>
      <w:bookmarkStart w:id="10" w:name="_Toc214463569"/>
      <w:r>
        <w:t>1.3 Critical Analysis of Two Macro Marketing Actors</w:t>
      </w:r>
      <w:bookmarkEnd w:id="10"/>
      <w:r>
        <w:t xml:space="preserve"> </w:t>
      </w:r>
    </w:p>
    <w:p w14:paraId="4D95251E">
      <w:pPr>
        <w:pStyle w:val="4"/>
      </w:pPr>
      <w:bookmarkStart w:id="11" w:name="_Toc214463570"/>
      <w:r>
        <w:t>1.3.1 Economic Factor</w:t>
      </w:r>
      <w:bookmarkEnd w:id="11"/>
    </w:p>
    <w:p w14:paraId="4D95251F">
      <w:r>
        <w:rPr>
          <w:b/>
          <w:bCs/>
        </w:rPr>
        <w:t xml:space="preserve">Opportunities for Pioneers </w:t>
      </w:r>
    </w:p>
    <w:p w14:paraId="4D952520">
      <w:r>
        <w:t xml:space="preserve">The retail company relies on brand loyalty which is more efficient for consistent revenue generation encountering strong competitive edge. The key pioneer companies are Starbucks, Amazon, Alibaba establish its brand by ability to meet customer expectations in serving premium pricing products and build loyal customers in enhancing brand image. For example, Amazon repeat purchases subscribers is about 25% which helps to generate high revenue in the market (Automation, 2025). The annual revenue of Amazon is about $180.169B which tends to rise 13.4% in 2025 (Macrotrends, 2025). On the other hand, Starbucks has 34.6 billion active customers engaged with its Rewards program due to convenient use of personalised offers and relying on product quality (Starbucks, 2025). </w:t>
      </w:r>
    </w:p>
    <w:p w14:paraId="4D952521">
      <w:pPr>
        <w:rPr>
          <w:b/>
          <w:bCs/>
        </w:rPr>
      </w:pPr>
      <w:r>
        <w:rPr>
          <w:b/>
          <w:bCs/>
        </w:rPr>
        <w:t xml:space="preserve">Threats for Pioneers </w:t>
      </w:r>
    </w:p>
    <w:p w14:paraId="4D952522">
      <w:r>
        <w:t>The key pioneers in retail such as Amazon, Alibaba and Walmart are also facing issues due to the fluctuating global inflation and declining disposable income. As it is directly threats to profitability and demand stability for generating long term growth in the retail industry. For instance, Amazon’s operating expenses rose to USD 491 billion in 2024, a 16% increase from 2023, while its international e-commerce sales fell by 8.5 % to USD 8.4 billion due to slower global demand (Amazon, 2025b). On the other hand, Walmart’s gross profit margin declined from 24.3% to 23.5%, reflecting higher sourcing and labor costs amid a 5.67% global inflation rate (Soni, 2024).</w:t>
      </w:r>
    </w:p>
    <w:p w14:paraId="4D952523">
      <w:r>
        <w:drawing>
          <wp:inline distT="114300" distB="114300" distL="114300" distR="114300">
            <wp:extent cx="5943600" cy="3340100"/>
            <wp:effectExtent l="0" t="0" r="0" b="0"/>
            <wp:docPr id="21" name="image3.png"/>
            <wp:cNvGraphicFramePr/>
            <a:graphic xmlns:a="http://schemas.openxmlformats.org/drawingml/2006/main">
              <a:graphicData uri="http://schemas.openxmlformats.org/drawingml/2006/picture">
                <pic:pic xmlns:pic="http://schemas.openxmlformats.org/drawingml/2006/picture">
                  <pic:nvPicPr>
                    <pic:cNvPr id="21" name="image3.png"/>
                    <pic:cNvPicPr preferRelativeResize="0"/>
                  </pic:nvPicPr>
                  <pic:blipFill>
                    <a:blip r:embed="rId13"/>
                    <a:srcRect/>
                    <a:stretch>
                      <a:fillRect/>
                    </a:stretch>
                  </pic:blipFill>
                  <pic:spPr>
                    <a:xfrm>
                      <a:off x="0" y="0"/>
                      <a:ext cx="5943600" cy="3340100"/>
                    </a:xfrm>
                    <a:prstGeom prst="rect">
                      <a:avLst/>
                    </a:prstGeom>
                  </pic:spPr>
                </pic:pic>
              </a:graphicData>
            </a:graphic>
          </wp:inline>
        </w:drawing>
      </w:r>
    </w:p>
    <w:p w14:paraId="4D952524">
      <w:pPr>
        <w:jc w:val="center"/>
        <w:rPr>
          <w:b/>
          <w:bCs/>
        </w:rPr>
      </w:pPr>
      <w:r>
        <w:rPr>
          <w:b/>
          <w:bCs/>
        </w:rPr>
        <w:t>Figure 3: Amazon performance</w:t>
      </w:r>
    </w:p>
    <w:p w14:paraId="4D952525">
      <w:pPr>
        <w:jc w:val="center"/>
      </w:pPr>
      <w:r>
        <w:t>(Source: Droesch, 2025)</w:t>
      </w:r>
    </w:p>
    <w:p w14:paraId="4D952526">
      <w:pPr>
        <w:rPr>
          <w:b/>
          <w:bCs/>
        </w:rPr>
      </w:pPr>
      <w:r>
        <w:rPr>
          <w:b/>
          <w:bCs/>
        </w:rPr>
        <w:t>Opportunities for Followers</w:t>
      </w:r>
    </w:p>
    <w:p w14:paraId="4D952527">
      <w:r>
        <w:t xml:space="preserve">The followers also gain opportunity due to easing inflation rate accumulated to 4.8% in 2025 from 6.6% in 2023. The progression with value driven private level products ensures an opportunity for followers such as Tesco, target and Carrefour to leverage price sensitive customers. For instance, Tesco e-commerce sales are also increasing by 9.5% with an acquire value of 6500 million GBP associated with total UK online market share of 13.5% (Kivilahti, 2024). Also, the development of fast fashion by Zara has also been helpful to minimize the key transportation cost that increases annual revenue value of 240% leverage rather than H&amp;M of 60% in 2024 (Kumar, 2024). </w:t>
      </w:r>
    </w:p>
    <w:p w14:paraId="4D952528">
      <w:r>
        <w:drawing>
          <wp:inline distT="114300" distB="114300" distL="114300" distR="114300">
            <wp:extent cx="5943600" cy="3340100"/>
            <wp:effectExtent l="0" t="0" r="0" b="0"/>
            <wp:docPr id="20" name="image4.png"/>
            <wp:cNvGraphicFramePr/>
            <a:graphic xmlns:a="http://schemas.openxmlformats.org/drawingml/2006/main">
              <a:graphicData uri="http://schemas.openxmlformats.org/drawingml/2006/picture">
                <pic:pic xmlns:pic="http://schemas.openxmlformats.org/drawingml/2006/picture">
                  <pic:nvPicPr>
                    <pic:cNvPr id="20" name="image4.png"/>
                    <pic:cNvPicPr preferRelativeResize="0"/>
                  </pic:nvPicPr>
                  <pic:blipFill>
                    <a:blip r:embed="rId14"/>
                    <a:srcRect/>
                    <a:stretch>
                      <a:fillRect/>
                    </a:stretch>
                  </pic:blipFill>
                  <pic:spPr>
                    <a:xfrm>
                      <a:off x="0" y="0"/>
                      <a:ext cx="5943600" cy="3340100"/>
                    </a:xfrm>
                    <a:prstGeom prst="rect">
                      <a:avLst/>
                    </a:prstGeom>
                  </pic:spPr>
                </pic:pic>
              </a:graphicData>
            </a:graphic>
          </wp:inline>
        </w:drawing>
      </w:r>
    </w:p>
    <w:p w14:paraId="4D952529">
      <w:pPr>
        <w:jc w:val="center"/>
        <w:rPr>
          <w:b/>
          <w:bCs/>
        </w:rPr>
      </w:pPr>
      <w:r>
        <w:rPr>
          <w:b/>
          <w:bCs/>
        </w:rPr>
        <w:t>Figure 4: E-commerce growth</w:t>
      </w:r>
    </w:p>
    <w:p w14:paraId="4D95252A">
      <w:pPr>
        <w:jc w:val="center"/>
      </w:pPr>
      <w:r>
        <w:t>(Source: Kivilahti, 2024)</w:t>
      </w:r>
    </w:p>
    <w:p w14:paraId="4D95252B">
      <w:pPr>
        <w:rPr>
          <w:b/>
          <w:bCs/>
        </w:rPr>
      </w:pPr>
      <w:r>
        <w:rPr>
          <w:b/>
          <w:bCs/>
        </w:rPr>
        <w:t>Threats for Followers</w:t>
      </w:r>
    </w:p>
    <w:p w14:paraId="4D95252C">
      <w:r>
        <w:t xml:space="preserve">The key followers such as Zara, Tesco, Primark address an issue regarding high consumer switching cost, fluctuation income of the consumer affect brand value. The purchasing power of the customer slows down due to high rises of inflation which in term leads to rises of debt. For example, Zara sales currency erosion affected sales 4% in 2025 due to fluctuation of price and customer switching (Reid, 2025). The significant slowdown affects consumer spending in the complex </w:t>
      </w:r>
      <w:r>
        <w:fldChar w:fldCharType="begin"/>
      </w:r>
      <w:r>
        <w:instrText xml:space="preserve"> HYPERLINK "http://environment.on" \h </w:instrText>
      </w:r>
      <w:r>
        <w:fldChar w:fldCharType="separate"/>
      </w:r>
      <w:r>
        <w:t>environment</w:t>
      </w:r>
      <w:r>
        <w:fldChar w:fldCharType="end"/>
      </w:r>
      <w:r>
        <w:t xml:space="preserve">. On the other hand, the market share of Tesco slows down 6% due to competitive intensity by hitting its profit due to rapid changes in consumer spending (Davey, 2025). Thus, changes in currency fluctuation, switching consumer spending affect growth and innovation of retail business </w:t>
      </w:r>
    </w:p>
    <w:p w14:paraId="4D95252D">
      <w:pPr>
        <w:pStyle w:val="4"/>
      </w:pPr>
      <w:bookmarkStart w:id="12" w:name="_Toc214463571"/>
      <w:r>
        <w:t>1.2.2 Technological Factor</w:t>
      </w:r>
      <w:bookmarkEnd w:id="12"/>
      <w:r>
        <w:t xml:space="preserve"> </w:t>
      </w:r>
    </w:p>
    <w:p w14:paraId="4D95252E">
      <w:pPr>
        <w:rPr>
          <w:b/>
          <w:bCs/>
        </w:rPr>
      </w:pPr>
      <w:r>
        <w:rPr>
          <w:b/>
          <w:bCs/>
        </w:rPr>
        <w:t>Opportunities for Pioneers</w:t>
      </w:r>
    </w:p>
    <w:p w14:paraId="4D95252F">
      <w:r>
        <w:t xml:space="preserve">The retail companies have emphasised on adopting digitalisation in its business operations. For example, Amazon has invested $100m in developing voice platforms such as “Alexa” that has helped in improving the purchasing experience of the consumers in 2024 (Amazon, 2025). The digital technique has also helped the e-commerce company in enhancing its brand loyalty. Amazon has achieved popularity for its commodities among 72% of Gen-Z customers in 2025 (Zandt, 2024). The improvements in the consumer shopping experience have helped Amazon in achieving a competitive advantage over other companies. </w:t>
      </w:r>
    </w:p>
    <w:p w14:paraId="4D952530">
      <w:pPr>
        <w:jc w:val="center"/>
      </w:pPr>
      <w:r>
        <w:drawing>
          <wp:inline distT="114300" distB="114300" distL="114300" distR="114300">
            <wp:extent cx="5943600" cy="5943600"/>
            <wp:effectExtent l="0" t="0" r="0" b="0"/>
            <wp:docPr id="22" name="image1.png"/>
            <wp:cNvGraphicFramePr/>
            <a:graphic xmlns:a="http://schemas.openxmlformats.org/drawingml/2006/main">
              <a:graphicData uri="http://schemas.openxmlformats.org/drawingml/2006/picture">
                <pic:pic xmlns:pic="http://schemas.openxmlformats.org/drawingml/2006/picture">
                  <pic:nvPicPr>
                    <pic:cNvPr id="22" name="image1.png"/>
                    <pic:cNvPicPr preferRelativeResize="0"/>
                  </pic:nvPicPr>
                  <pic:blipFill>
                    <a:blip r:embed="rId15"/>
                    <a:srcRect/>
                    <a:stretch>
                      <a:fillRect/>
                    </a:stretch>
                  </pic:blipFill>
                  <pic:spPr>
                    <a:xfrm>
                      <a:off x="0" y="0"/>
                      <a:ext cx="5943600" cy="5943600"/>
                    </a:xfrm>
                    <a:prstGeom prst="rect">
                      <a:avLst/>
                    </a:prstGeom>
                  </pic:spPr>
                </pic:pic>
              </a:graphicData>
            </a:graphic>
          </wp:inline>
        </w:drawing>
      </w:r>
    </w:p>
    <w:p w14:paraId="4D952531">
      <w:pPr>
        <w:jc w:val="center"/>
        <w:rPr>
          <w:b/>
          <w:bCs/>
        </w:rPr>
      </w:pPr>
      <w:r>
        <w:rPr>
          <w:b/>
          <w:bCs/>
        </w:rPr>
        <w:t>Figure 5: Consumer popularity of Amazon</w:t>
      </w:r>
    </w:p>
    <w:p w14:paraId="4D952532">
      <w:pPr>
        <w:jc w:val="center"/>
      </w:pPr>
      <w:r>
        <w:t>(Source: Zandt, 2024)</w:t>
      </w:r>
    </w:p>
    <w:p w14:paraId="31E85E9C">
      <w:pPr>
        <w:rPr>
          <w:b/>
          <w:bCs/>
        </w:rPr>
      </w:pPr>
      <w:r>
        <w:rPr>
          <w:b/>
          <w:bCs/>
        </w:rPr>
        <w:br w:type="page"/>
      </w:r>
    </w:p>
    <w:p w14:paraId="4D952533">
      <w:pPr>
        <w:rPr>
          <w:b/>
          <w:bCs/>
        </w:rPr>
      </w:pPr>
      <w:r>
        <w:rPr>
          <w:b/>
          <w:bCs/>
        </w:rPr>
        <w:t>Threats for Pioneers</w:t>
      </w:r>
    </w:p>
    <w:p w14:paraId="4D952534">
      <w:r>
        <w:t xml:space="preserve">The occurrence of cyberattacks has been a critical issue for the retail companies, that has reduced the popularity of digitalisation among the organisation. For example, Amazon witnessed malware attacks that hampered the personal data of 1000 employees in 2025 (Kleinman, 2025). The cybersecurity issue has also reduced the operational efficiency of the organisation. On the other hand, Zara also observed ransomware attacks that caused purchasing issues for 10000 customers in 2025 (Kollewe, 2025). The enhancement in the cybersecurity issues has reduced the digital productivity of retail organisations across the globe. </w:t>
      </w:r>
    </w:p>
    <w:p w14:paraId="4D952535">
      <w:pPr>
        <w:rPr>
          <w:b/>
          <w:bCs/>
        </w:rPr>
      </w:pPr>
      <w:r>
        <w:rPr>
          <w:b/>
          <w:bCs/>
        </w:rPr>
        <w:t>Opportunities for Followers</w:t>
      </w:r>
    </w:p>
    <w:p w14:paraId="4D952536">
      <w:r>
        <w:t xml:space="preserve">The inclusion of technologies has helped “follower companies” in improving its product quality for the consumers. For example, the online revenue value of Tesco has increased from £3200m in 2016 to £6600m in 2024 (kivilahti, 2024). The improvement in the financial income has helped the retail company in achieving business growth. On the other hand, the e-commerce sales of M&amp;S have also increased from £7800m in 2010 to £12700m in 2025 (Statista , 2025). The application of digitalisation has helped retail companies in ensuring smooth execution of business operations. </w:t>
      </w:r>
    </w:p>
    <w:p w14:paraId="4D952537">
      <w:pPr>
        <w:jc w:val="center"/>
      </w:pPr>
      <w:r>
        <w:drawing>
          <wp:inline distT="114300" distB="114300" distL="114300" distR="114300">
            <wp:extent cx="5943600" cy="4419600"/>
            <wp:effectExtent l="0" t="0" r="0" b="0"/>
            <wp:docPr id="25" name="image8.png"/>
            <wp:cNvGraphicFramePr/>
            <a:graphic xmlns:a="http://schemas.openxmlformats.org/drawingml/2006/main">
              <a:graphicData uri="http://schemas.openxmlformats.org/drawingml/2006/picture">
                <pic:pic xmlns:pic="http://schemas.openxmlformats.org/drawingml/2006/picture">
                  <pic:nvPicPr>
                    <pic:cNvPr id="25" name="image8.png"/>
                    <pic:cNvPicPr preferRelativeResize="0"/>
                  </pic:nvPicPr>
                  <pic:blipFill>
                    <a:blip r:embed="rId16"/>
                    <a:srcRect/>
                    <a:stretch>
                      <a:fillRect/>
                    </a:stretch>
                  </pic:blipFill>
                  <pic:spPr>
                    <a:xfrm>
                      <a:off x="0" y="0"/>
                      <a:ext cx="5943600" cy="4419600"/>
                    </a:xfrm>
                    <a:prstGeom prst="rect">
                      <a:avLst/>
                    </a:prstGeom>
                  </pic:spPr>
                </pic:pic>
              </a:graphicData>
            </a:graphic>
          </wp:inline>
        </w:drawing>
      </w:r>
    </w:p>
    <w:p w14:paraId="4D952538">
      <w:pPr>
        <w:jc w:val="center"/>
        <w:rPr>
          <w:b/>
          <w:bCs/>
        </w:rPr>
      </w:pPr>
      <w:r>
        <w:rPr>
          <w:b/>
          <w:bCs/>
        </w:rPr>
        <w:t>Figure 6: Revenue of Mark &amp; Spencer’s</w:t>
      </w:r>
    </w:p>
    <w:p w14:paraId="4D952539">
      <w:pPr>
        <w:jc w:val="center"/>
      </w:pPr>
      <w:r>
        <w:t>(Source: Statista , 2025).</w:t>
      </w:r>
    </w:p>
    <w:p w14:paraId="4D95253A">
      <w:pPr>
        <w:rPr>
          <w:b/>
          <w:bCs/>
        </w:rPr>
      </w:pPr>
      <w:r>
        <w:rPr>
          <w:b/>
          <w:bCs/>
        </w:rPr>
        <w:t>Threats for Followers</w:t>
      </w:r>
    </w:p>
    <w:p w14:paraId="4D95253B">
      <w:r>
        <w:t xml:space="preserve">The enhancement in the operational expenses has been a critical issue for the retail companies that has reduced the enhancement in the digital investment activities of the organisations. For instance, Tesco has enhanced its cost of sales value to around £63.34bn in 2025 (Lim, 2025). The enhancement in the manufacturing value has reduced the product popularity of Tesco significantly. </w:t>
      </w:r>
    </w:p>
    <w:p w14:paraId="4D95253C">
      <w:pPr>
        <w:jc w:val="center"/>
      </w:pPr>
      <w:r>
        <w:drawing>
          <wp:inline distT="114300" distB="114300" distL="114300" distR="114300">
            <wp:extent cx="5943600" cy="3111500"/>
            <wp:effectExtent l="0" t="0" r="0" b="0"/>
            <wp:docPr id="23" name="image2.png"/>
            <wp:cNvGraphicFramePr/>
            <a:graphic xmlns:a="http://schemas.openxmlformats.org/drawingml/2006/main">
              <a:graphicData uri="http://schemas.openxmlformats.org/drawingml/2006/picture">
                <pic:pic xmlns:pic="http://schemas.openxmlformats.org/drawingml/2006/picture">
                  <pic:nvPicPr>
                    <pic:cNvPr id="23" name="image2.png"/>
                    <pic:cNvPicPr preferRelativeResize="0"/>
                  </pic:nvPicPr>
                  <pic:blipFill>
                    <a:blip r:embed="rId17"/>
                    <a:srcRect/>
                    <a:stretch>
                      <a:fillRect/>
                    </a:stretch>
                  </pic:blipFill>
                  <pic:spPr>
                    <a:xfrm>
                      <a:off x="0" y="0"/>
                      <a:ext cx="5943600" cy="3111500"/>
                    </a:xfrm>
                    <a:prstGeom prst="rect">
                      <a:avLst/>
                    </a:prstGeom>
                  </pic:spPr>
                </pic:pic>
              </a:graphicData>
            </a:graphic>
          </wp:inline>
        </w:drawing>
      </w:r>
    </w:p>
    <w:p w14:paraId="4D95253D">
      <w:pPr>
        <w:jc w:val="center"/>
        <w:rPr>
          <w:b/>
          <w:bCs/>
        </w:rPr>
      </w:pPr>
      <w:r>
        <w:rPr>
          <w:b/>
          <w:bCs/>
        </w:rPr>
        <w:t>Figure 7: Production Cost of Tesco</w:t>
      </w:r>
    </w:p>
    <w:p w14:paraId="4D95253E">
      <w:pPr>
        <w:jc w:val="center"/>
      </w:pPr>
      <w:r>
        <w:t>(Source: Lim, 2025)</w:t>
      </w:r>
    </w:p>
    <w:p w14:paraId="4D95253F">
      <w:r>
        <w:br w:type="page"/>
      </w:r>
    </w:p>
    <w:p w14:paraId="4D952540">
      <w:pPr>
        <w:pStyle w:val="2"/>
      </w:pPr>
      <w:bookmarkStart w:id="13" w:name="_Toc214463572"/>
      <w:r>
        <w:t>Task 2</w:t>
      </w:r>
      <w:bookmarkEnd w:id="13"/>
    </w:p>
    <w:p w14:paraId="4D952541">
      <w:pPr>
        <w:pStyle w:val="2"/>
      </w:pPr>
      <w:bookmarkStart w:id="14" w:name="_Toc214463573"/>
      <w:r>
        <w:t>2. Strategic Responses of Pioneers and Followers</w:t>
      </w:r>
      <w:bookmarkEnd w:id="14"/>
      <w:r>
        <w:t xml:space="preserve"> </w:t>
      </w:r>
    </w:p>
    <w:p w14:paraId="4D952542">
      <w:pPr>
        <w:pStyle w:val="3"/>
      </w:pPr>
      <w:bookmarkStart w:id="15" w:name="_Toc214463574"/>
      <w:r>
        <w:t>2.1 Strategic Response to Economic Factors</w:t>
      </w:r>
      <w:bookmarkEnd w:id="15"/>
      <w:r>
        <w:t xml:space="preserve"> </w:t>
      </w:r>
    </w:p>
    <w:p w14:paraId="4D952543">
      <w:r>
        <w:t xml:space="preserve">The global fluctuating economic condition also abruptly impacted the retail market position influenced by key factors such as inflation, fluctuating consumer spending, and ongoing supply chain disruptions. From 2020 to 2024, global inflation fluctuated sharply—from 3.25% in 2020 to a peak of 8.61% in 2022, before easing to 5.67% in 2024, reflecting a controlled stabilization after energy price shocks and post-pandemic pressures (Statista, 2025). In addition, the disposable income of households will also be reduced 0.5% in 2024, down from 0.9% in 2023 due to the imposed rate associated with borrowing constraints. As a result, this fluctuated spending potentiality and increasing rate make stiff competition about price wars in the retail market. </w:t>
      </w:r>
    </w:p>
    <w:p w14:paraId="4D952544">
      <w:r>
        <w:drawing>
          <wp:inline distT="114300" distB="114300" distL="114300" distR="114300">
            <wp:extent cx="5943600" cy="3340100"/>
            <wp:effectExtent l="0" t="0" r="0" b="0"/>
            <wp:docPr id="17" name="image10.png"/>
            <wp:cNvGraphicFramePr/>
            <a:graphic xmlns:a="http://schemas.openxmlformats.org/drawingml/2006/main">
              <a:graphicData uri="http://schemas.openxmlformats.org/drawingml/2006/picture">
                <pic:pic xmlns:pic="http://schemas.openxmlformats.org/drawingml/2006/picture">
                  <pic:nvPicPr>
                    <pic:cNvPr id="17" name="image10.png"/>
                    <pic:cNvPicPr preferRelativeResize="0"/>
                  </pic:nvPicPr>
                  <pic:blipFill>
                    <a:blip r:embed="rId18"/>
                    <a:srcRect/>
                    <a:stretch>
                      <a:fillRect/>
                    </a:stretch>
                  </pic:blipFill>
                  <pic:spPr>
                    <a:xfrm>
                      <a:off x="0" y="0"/>
                      <a:ext cx="5943600" cy="3340100"/>
                    </a:xfrm>
                    <a:prstGeom prst="rect">
                      <a:avLst/>
                    </a:prstGeom>
                  </pic:spPr>
                </pic:pic>
              </a:graphicData>
            </a:graphic>
          </wp:inline>
        </w:drawing>
      </w:r>
    </w:p>
    <w:p w14:paraId="4D952545">
      <w:pPr>
        <w:jc w:val="center"/>
        <w:rPr>
          <w:b/>
          <w:bCs/>
        </w:rPr>
      </w:pPr>
      <w:r>
        <w:rPr>
          <w:b/>
          <w:bCs/>
        </w:rPr>
        <w:t>Figure 8: Retail spending growth</w:t>
      </w:r>
    </w:p>
    <w:p w14:paraId="4D952546">
      <w:pPr>
        <w:jc w:val="center"/>
      </w:pPr>
      <w:r>
        <w:t>(Source: Hodgson, 2024)</w:t>
      </w:r>
    </w:p>
    <w:p w14:paraId="4D952547">
      <w:r>
        <w:t xml:space="preserve">Global consumer spending grew modestly by 2.2%, while Asia-Pacific outperformed with 4.0% growth, driven by China, India, and Japan—among the world’s top five consumer markets (Hodgson, 2024). However, the global retail logistics market, valued at USD 20.73 billion in 2024, is projected to reach USD 54.98 billion by 2032, growing at a 13.1% CAGR, with North America leading at 38.78% market share (Fortune Business Insights, 2025). As this increasing trend in the logistics market also makes an opportunity to balance retail transportation cost effectively for long term growth. </w:t>
      </w:r>
    </w:p>
    <w:p w14:paraId="4D952548">
      <w:r>
        <w:drawing>
          <wp:inline distT="114300" distB="114300" distL="114300" distR="114300">
            <wp:extent cx="5943600" cy="3581400"/>
            <wp:effectExtent l="0" t="0" r="0" b="0"/>
            <wp:docPr id="30" name="image7.png"/>
            <wp:cNvGraphicFramePr/>
            <a:graphic xmlns:a="http://schemas.openxmlformats.org/drawingml/2006/main">
              <a:graphicData uri="http://schemas.openxmlformats.org/drawingml/2006/picture">
                <pic:pic xmlns:pic="http://schemas.openxmlformats.org/drawingml/2006/picture">
                  <pic:nvPicPr>
                    <pic:cNvPr id="30" name="image7.png"/>
                    <pic:cNvPicPr preferRelativeResize="0"/>
                  </pic:nvPicPr>
                  <pic:blipFill>
                    <a:blip r:embed="rId19"/>
                    <a:srcRect/>
                    <a:stretch>
                      <a:fillRect/>
                    </a:stretch>
                  </pic:blipFill>
                  <pic:spPr>
                    <a:xfrm>
                      <a:off x="0" y="0"/>
                      <a:ext cx="5943600" cy="3581400"/>
                    </a:xfrm>
                    <a:prstGeom prst="rect">
                      <a:avLst/>
                    </a:prstGeom>
                  </pic:spPr>
                </pic:pic>
              </a:graphicData>
            </a:graphic>
          </wp:inline>
        </w:drawing>
      </w:r>
    </w:p>
    <w:p w14:paraId="4D952549">
      <w:pPr>
        <w:jc w:val="center"/>
        <w:rPr>
          <w:b/>
          <w:bCs/>
        </w:rPr>
      </w:pPr>
      <w:r>
        <w:rPr>
          <w:b/>
          <w:bCs/>
        </w:rPr>
        <w:t>Figure 9: Retail logistics market</w:t>
      </w:r>
    </w:p>
    <w:p w14:paraId="4D95254A">
      <w:pPr>
        <w:jc w:val="center"/>
      </w:pPr>
      <w:r>
        <w:t xml:space="preserve">(Source: Fortune Business Insights, 2025) </w:t>
      </w:r>
    </w:p>
    <w:p w14:paraId="4D95254B">
      <w:pPr>
        <w:rPr>
          <w:b/>
          <w:bCs/>
        </w:rPr>
      </w:pPr>
      <w:r>
        <w:rPr>
          <w:b/>
          <w:bCs/>
        </w:rPr>
        <w:t>Pioneers’ Strategies</w:t>
      </w:r>
    </w:p>
    <w:p w14:paraId="4D95254C">
      <w:r>
        <w:t xml:space="preserve">The pioneers associated with the retail industry also effectively tackle challenging criteria based on economic factors through global diversification, dynamic pricing, and supply chain optimization. The application of “Everyday Low Pricing” in Walmart helpful to tackle drastic economical change and maintain a strong base of custom loyalty value. As a result, Walmart’s weekly customer visits was also increasing from 240 million in 2023 with 6.3% increasing rate approximate value of 255 million (Statista, 2024). </w:t>
      </w:r>
    </w:p>
    <w:p w14:paraId="4D95254D">
      <w:r>
        <w:drawing>
          <wp:inline distT="114300" distB="114300" distL="114300" distR="114300">
            <wp:extent cx="5943600" cy="3708400"/>
            <wp:effectExtent l="0" t="0" r="0" b="0"/>
            <wp:docPr id="24" name="image14.png"/>
            <wp:cNvGraphicFramePr/>
            <a:graphic xmlns:a="http://schemas.openxmlformats.org/drawingml/2006/main">
              <a:graphicData uri="http://schemas.openxmlformats.org/drawingml/2006/picture">
                <pic:pic xmlns:pic="http://schemas.openxmlformats.org/drawingml/2006/picture">
                  <pic:nvPicPr>
                    <pic:cNvPr id="24" name="image14.png"/>
                    <pic:cNvPicPr preferRelativeResize="0"/>
                  </pic:nvPicPr>
                  <pic:blipFill>
                    <a:blip r:embed="rId20"/>
                    <a:srcRect/>
                    <a:stretch>
                      <a:fillRect/>
                    </a:stretch>
                  </pic:blipFill>
                  <pic:spPr>
                    <a:xfrm>
                      <a:off x="0" y="0"/>
                      <a:ext cx="5943600" cy="3708400"/>
                    </a:xfrm>
                    <a:prstGeom prst="rect">
                      <a:avLst/>
                    </a:prstGeom>
                  </pic:spPr>
                </pic:pic>
              </a:graphicData>
            </a:graphic>
          </wp:inline>
        </w:drawing>
      </w:r>
      <w:r>
        <w:t xml:space="preserve"> </w:t>
      </w:r>
    </w:p>
    <w:p w14:paraId="4D95254E">
      <w:pPr>
        <w:jc w:val="center"/>
        <w:rPr>
          <w:b/>
          <w:bCs/>
        </w:rPr>
      </w:pPr>
      <w:r>
        <w:rPr>
          <w:b/>
          <w:bCs/>
        </w:rPr>
        <w:t xml:space="preserve">Figure 10: Weekly visit customer </w:t>
      </w:r>
    </w:p>
    <w:p w14:paraId="4D95254F">
      <w:pPr>
        <w:jc w:val="center"/>
      </w:pPr>
      <w:r>
        <w:t>(Source: Statista, 2024)</w:t>
      </w:r>
    </w:p>
    <w:p w14:paraId="4D952550">
      <w:r>
        <w:t>In addition, the AI driven pricing model strategies of Amazon in application also be helpful to tackle all categorise people to shopping with the app. The platform’s pricing algorithm adjusts over 2.5 million times per day to sustain a 37% market share of retail. As this experienced an 11% year-over-year revenue growth, rising from $575 billion to $638 billion in 2024 (Amazon, 2024). Also, Costco, with 861 warehouses worldwide, improved its logistics efficiency through regional distribution hubs, cutting supply chain costs by 15% and sustaining over $242 billion in annual revenue (2024) (App Economy, 2024).</w:t>
      </w:r>
    </w:p>
    <w:p w14:paraId="4D952551">
      <w:r>
        <w:drawing>
          <wp:inline distT="114300" distB="114300" distL="114300" distR="114300">
            <wp:extent cx="5943600" cy="3340100"/>
            <wp:effectExtent l="0" t="0" r="0" b="0"/>
            <wp:docPr id="26" name="image15.png"/>
            <wp:cNvGraphicFramePr/>
            <a:graphic xmlns:a="http://schemas.openxmlformats.org/drawingml/2006/main">
              <a:graphicData uri="http://schemas.openxmlformats.org/drawingml/2006/picture">
                <pic:pic xmlns:pic="http://schemas.openxmlformats.org/drawingml/2006/picture">
                  <pic:nvPicPr>
                    <pic:cNvPr id="26" name="image15.png"/>
                    <pic:cNvPicPr preferRelativeResize="0"/>
                  </pic:nvPicPr>
                  <pic:blipFill>
                    <a:blip r:embed="rId21"/>
                    <a:srcRect/>
                    <a:stretch>
                      <a:fillRect/>
                    </a:stretch>
                  </pic:blipFill>
                  <pic:spPr>
                    <a:xfrm>
                      <a:off x="0" y="0"/>
                      <a:ext cx="5943600" cy="3340100"/>
                    </a:xfrm>
                    <a:prstGeom prst="rect">
                      <a:avLst/>
                    </a:prstGeom>
                  </pic:spPr>
                </pic:pic>
              </a:graphicData>
            </a:graphic>
          </wp:inline>
        </w:drawing>
      </w:r>
    </w:p>
    <w:p w14:paraId="4D952552">
      <w:pPr>
        <w:jc w:val="center"/>
        <w:rPr>
          <w:b/>
          <w:bCs/>
        </w:rPr>
      </w:pPr>
      <w:r>
        <w:rPr>
          <w:b/>
          <w:bCs/>
        </w:rPr>
        <w:t>Figure 11: Costco revenue</w:t>
      </w:r>
    </w:p>
    <w:p w14:paraId="4D952553">
      <w:pPr>
        <w:jc w:val="center"/>
      </w:pPr>
      <w:r>
        <w:t>(Source: App Economy)</w:t>
      </w:r>
    </w:p>
    <w:p w14:paraId="4D952554">
      <w:pPr>
        <w:rPr>
          <w:b/>
          <w:bCs/>
        </w:rPr>
      </w:pPr>
      <w:r>
        <w:rPr>
          <w:b/>
          <w:bCs/>
        </w:rPr>
        <w:t>Followers’ Strategies</w:t>
      </w:r>
    </w:p>
    <w:p w14:paraId="4D952555">
      <w:r>
        <w:t xml:space="preserve">The rise of the followers in the established market capitalise more on improving uncertainty by relying on “low cost differentiation strategy”. For instance, Tesco utilises “Tesco Clubcard” by serving customers with rewards and collecting points that add on the purchases (Tesco, 2025). In 2025, the Clubcard of Tesco will be used by 23 million active users in the UK which will showcase personalised product recommendation (Statista, 2025b). This in turn leads to rises of the adjusted profit of Tesco which tends to rise £2.9bn and £3.1bn in 2025 encountering 3.4% sales growth (GlobalData, 2025). On the other hand, Zara uses "Virtual try on option” by infusing AI and VR to enhance interstate shopping experiences. The Inditex Group reached its user about 152 million through use of App, as online visits grew 10% with rises of 6.5% (Inditex, 2023). This in term leads to raising revenue of the business by relying on consumer loyalty and on “mobile first experiences”. Zara targets “budget-friendly customers” to stay in the competitive trends by relying on in store shopping trends through technological integration. Thus, followers company responded with brand loyalty and customer switching by strongly relying on cost in rapidly changing business. </w:t>
      </w:r>
    </w:p>
    <w:p w14:paraId="4D952556">
      <w:pPr>
        <w:pStyle w:val="3"/>
      </w:pPr>
      <w:bookmarkStart w:id="16" w:name="_Toc214463575"/>
      <w:r>
        <w:t>2.2 Strategic Response to Technological Factors</w:t>
      </w:r>
      <w:bookmarkEnd w:id="16"/>
    </w:p>
    <w:p w14:paraId="4D952557">
      <w:r>
        <w:t xml:space="preserve">The enhancement in digitalisation has helped organisations acquire knowledge regarding diversified technologies, that has helped companies in enhancing operational productivity. For example, the global retail expenditure in AI technologies has increased to $14bn in 2025 (PwC, 2025). The enhancement in the investments has increased the popularity of the technologies among the organisations. In addition, the market value of the AI techniques in the retail industry has improved from $9.3bn in 2023 to 15.7bn in 2025 (Government of USA, 2025). The consistent rise in revenue has helped increase the brand loyalty of AI technologies among companies. </w:t>
      </w:r>
    </w:p>
    <w:p w14:paraId="4D952558">
      <w:pPr>
        <w:jc w:val="center"/>
      </w:pPr>
      <w:r>
        <w:drawing>
          <wp:inline distT="114300" distB="114300" distL="114300" distR="114300">
            <wp:extent cx="5943600" cy="3454400"/>
            <wp:effectExtent l="0" t="0" r="0" b="0"/>
            <wp:docPr id="29" name="image5.png"/>
            <wp:cNvGraphicFramePr/>
            <a:graphic xmlns:a="http://schemas.openxmlformats.org/drawingml/2006/main">
              <a:graphicData uri="http://schemas.openxmlformats.org/drawingml/2006/picture">
                <pic:pic xmlns:pic="http://schemas.openxmlformats.org/drawingml/2006/picture">
                  <pic:nvPicPr>
                    <pic:cNvPr id="29" name="image5.png"/>
                    <pic:cNvPicPr preferRelativeResize="0"/>
                  </pic:nvPicPr>
                  <pic:blipFill>
                    <a:blip r:embed="rId22"/>
                    <a:srcRect/>
                    <a:stretch>
                      <a:fillRect/>
                    </a:stretch>
                  </pic:blipFill>
                  <pic:spPr>
                    <a:xfrm>
                      <a:off x="0" y="0"/>
                      <a:ext cx="5943600" cy="3454400"/>
                    </a:xfrm>
                    <a:prstGeom prst="rect">
                      <a:avLst/>
                    </a:prstGeom>
                  </pic:spPr>
                </pic:pic>
              </a:graphicData>
            </a:graphic>
          </wp:inline>
        </w:drawing>
      </w:r>
    </w:p>
    <w:p w14:paraId="4D952559">
      <w:pPr>
        <w:jc w:val="center"/>
        <w:rPr>
          <w:b/>
          <w:bCs/>
        </w:rPr>
      </w:pPr>
      <w:r>
        <w:rPr>
          <w:b/>
          <w:bCs/>
        </w:rPr>
        <w:t>Figure 12: Market Value of AI in Retail Industry</w:t>
      </w:r>
    </w:p>
    <w:p w14:paraId="4D95255A">
      <w:pPr>
        <w:jc w:val="center"/>
      </w:pPr>
      <w:r>
        <w:t xml:space="preserve">(Source: Government of USA, 2025) </w:t>
      </w:r>
    </w:p>
    <w:p w14:paraId="4D95255B">
      <w:pPr>
        <w:rPr>
          <w:b/>
          <w:bCs/>
        </w:rPr>
      </w:pPr>
      <w:r>
        <w:rPr>
          <w:b/>
          <w:bCs/>
        </w:rPr>
        <w:t>Pioneers’ Strategies</w:t>
      </w:r>
    </w:p>
    <w:p w14:paraId="4D95255C">
      <w:r>
        <w:t xml:space="preserve">The “ Pioneer Companies” have focused upon adoption collaboration techniques for enhancing product quality and strengthening consumer relationships. For example, Starbucks has developed partnerships with Microsoft worth £100m for utilising the “Microsoft Azure” digital platform with an intent to enhance its customer experience in 2025 (Sokolowsky, 2025). The business tie-up has also helped the restaurant in improving its product demand among the consumers. Starbucks has enhanced the value of its revenue from £22000m in 2021 to £25000m in 2025 (Market Screener, 2025). The consistent improvement in the business income has helped Starbucks in achieving financial stability. On the other hand, Amazon has collaborated with BMW worth $3bn for developing car voice assistant platforms such as “Alexa Plus” which will enhance the navigation system of the automobiles in 2025 (Amazon, 2025b). The promotion of digital business tie-ups has helped the retail companies in improving brand loyalty among the consumers. </w:t>
      </w:r>
    </w:p>
    <w:p w14:paraId="4D95255D">
      <w:pPr>
        <w:jc w:val="center"/>
      </w:pPr>
      <w:r>
        <w:drawing>
          <wp:inline distT="114300" distB="114300" distL="114300" distR="114300">
            <wp:extent cx="2828925" cy="2091690"/>
            <wp:effectExtent l="0" t="0" r="0" b="0"/>
            <wp:docPr id="27" name="image11.png"/>
            <wp:cNvGraphicFramePr/>
            <a:graphic xmlns:a="http://schemas.openxmlformats.org/drawingml/2006/main">
              <a:graphicData uri="http://schemas.openxmlformats.org/drawingml/2006/picture">
                <pic:pic xmlns:pic="http://schemas.openxmlformats.org/drawingml/2006/picture">
                  <pic:nvPicPr>
                    <pic:cNvPr id="27" name="image11.png"/>
                    <pic:cNvPicPr preferRelativeResize="0"/>
                  </pic:nvPicPr>
                  <pic:blipFill>
                    <a:blip r:embed="rId23"/>
                    <a:srcRect/>
                    <a:stretch>
                      <a:fillRect/>
                    </a:stretch>
                  </pic:blipFill>
                  <pic:spPr>
                    <a:xfrm>
                      <a:off x="0" y="0"/>
                      <a:ext cx="2828925" cy="2091887"/>
                    </a:xfrm>
                    <a:prstGeom prst="rect">
                      <a:avLst/>
                    </a:prstGeom>
                  </pic:spPr>
                </pic:pic>
              </a:graphicData>
            </a:graphic>
          </wp:inline>
        </w:drawing>
      </w:r>
    </w:p>
    <w:p w14:paraId="4D95255E">
      <w:pPr>
        <w:jc w:val="center"/>
        <w:rPr>
          <w:b/>
          <w:bCs/>
        </w:rPr>
      </w:pPr>
      <w:r>
        <w:rPr>
          <w:b/>
          <w:bCs/>
        </w:rPr>
        <w:t>Figure 13: Sales Value of Starbucks</w:t>
      </w:r>
    </w:p>
    <w:p w14:paraId="4D95255F">
      <w:pPr>
        <w:jc w:val="center"/>
      </w:pPr>
      <w:r>
        <w:t>(Source: Market Screener, 2025)</w:t>
      </w:r>
    </w:p>
    <w:p w14:paraId="4D952560">
      <w:pPr>
        <w:rPr>
          <w:b/>
          <w:bCs/>
        </w:rPr>
      </w:pPr>
      <w:r>
        <w:rPr>
          <w:b/>
          <w:bCs/>
        </w:rPr>
        <w:t>Followers’ Strategies</w:t>
      </w:r>
    </w:p>
    <w:p w14:paraId="4D952561">
      <w:r>
        <w:t>The tackling of the key threats associated with technical factor followers also imposed AI driven logistics and experimental marketing to improve potentiality in the retail industry. Target invested $5 billion in 2024 to upgrade digital fulfilment centres and automate 15 regional warehouses by the use of AI-powered robotics. As it is also effective to improve order pickup service revenue by $2.1 billion measure higher customer retention in 2024 (Target Corporation, 2025). On the other hand, Tesco also introduced an AI driven prediction model in more than 3500 stores to maintain stock inventory level effectively. As it is, it is helpful to Tesco to attribute the highest market share with an approximate value of 28.5% followed by Sainsbury 14.9% in the retail market (Western Business, 2025). Further, “Scan and Go” is also the most existing feature implemented by Tesco for increasing the potentiality of in-store engagement in an effective manner. Hence, the strategic efforts of a proper combination of technology enable organisations to compete for service against pioneers like Amazon Go. IoT-powered cashier-less stores report 10% higher per-store productivity, showcasing how followers can leverage innovation and ethical technology for long-term growth.</w:t>
      </w:r>
    </w:p>
    <w:p w14:paraId="4D952562">
      <w:r>
        <w:drawing>
          <wp:inline distT="114300" distB="114300" distL="114300" distR="114300">
            <wp:extent cx="5943600" cy="3962400"/>
            <wp:effectExtent l="0" t="0" r="0" b="0"/>
            <wp:docPr id="28" name="image12.png"/>
            <wp:cNvGraphicFramePr/>
            <a:graphic xmlns:a="http://schemas.openxmlformats.org/drawingml/2006/main">
              <a:graphicData uri="http://schemas.openxmlformats.org/drawingml/2006/picture">
                <pic:pic xmlns:pic="http://schemas.openxmlformats.org/drawingml/2006/picture">
                  <pic:nvPicPr>
                    <pic:cNvPr id="28" name="image12.png"/>
                    <pic:cNvPicPr preferRelativeResize="0"/>
                  </pic:nvPicPr>
                  <pic:blipFill>
                    <a:blip r:embed="rId24"/>
                    <a:srcRect/>
                    <a:stretch>
                      <a:fillRect/>
                    </a:stretch>
                  </pic:blipFill>
                  <pic:spPr>
                    <a:xfrm>
                      <a:off x="0" y="0"/>
                      <a:ext cx="5943600" cy="3962400"/>
                    </a:xfrm>
                    <a:prstGeom prst="rect">
                      <a:avLst/>
                    </a:prstGeom>
                  </pic:spPr>
                </pic:pic>
              </a:graphicData>
            </a:graphic>
          </wp:inline>
        </w:drawing>
      </w:r>
    </w:p>
    <w:p w14:paraId="4D952563">
      <w:pPr>
        <w:jc w:val="center"/>
        <w:rPr>
          <w:b/>
          <w:bCs/>
        </w:rPr>
      </w:pPr>
      <w:r>
        <w:rPr>
          <w:b/>
          <w:bCs/>
        </w:rPr>
        <w:t>Figure 14: Share of Tesco</w:t>
      </w:r>
    </w:p>
    <w:p w14:paraId="4D952564">
      <w:pPr>
        <w:jc w:val="center"/>
      </w:pPr>
      <w:r>
        <w:t>(Source: Western Business, 2025)</w:t>
      </w:r>
      <w:r>
        <w:br w:type="page"/>
      </w:r>
    </w:p>
    <w:p w14:paraId="4D952565">
      <w:pPr>
        <w:pStyle w:val="2"/>
      </w:pPr>
      <w:bookmarkStart w:id="17" w:name="_Toc214463576"/>
      <w:r>
        <w:t>Conclusion</w:t>
      </w:r>
      <w:bookmarkEnd w:id="17"/>
      <w:r>
        <w:t xml:space="preserve"> </w:t>
      </w:r>
    </w:p>
    <w:p w14:paraId="4D952566">
      <w:r>
        <w:t xml:space="preserve">From the overall analysis, it has been summarised that the global retail industry encounters significant growth by rapidly responding with a macro marketing environment. The technological and external factors affect followers and pioneer companies by addressing threats and opportunities to position itself in the market. The economic trends such as inflation, consumer purchasing power and switching of consumer cost affect retail companies which in turn shrink the overall profit of the business. Amazon repeat purchases subscribers, active users of Starbucks, Zara e-commerce sales address through strategic pricing. The adoption of AI technology enhances shifts at Zara which enhance productivity of business. Microsoft enhanced customer experiences by developing partnership with Microsoft Azure and Amazon collaborated with Amazon to improve voice assistants of cars which enhance customer loyalty. </w:t>
      </w:r>
      <w:r>
        <w:br w:type="page"/>
      </w:r>
    </w:p>
    <w:p w14:paraId="4D952567"/>
    <w:p w14:paraId="4D952568">
      <w:pPr>
        <w:pStyle w:val="2"/>
        <w:keepNext w:val="0"/>
        <w:keepLines w:val="0"/>
      </w:pPr>
      <w:bookmarkStart w:id="18" w:name="_Toc214463577"/>
      <w:r>
        <w:t>Reference list</w:t>
      </w:r>
      <w:bookmarkEnd w:id="18"/>
    </w:p>
    <w:p w14:paraId="4D952569">
      <w:pPr>
        <w:spacing w:after="240"/>
      </w:pPr>
      <w:r>
        <w:t xml:space="preserve">Amazon (2024). </w:t>
      </w:r>
      <w:r>
        <w:rPr>
          <w:i/>
          <w:iCs/>
        </w:rPr>
        <w:t>Financial report</w:t>
      </w:r>
      <w:r>
        <w:t>. [online] Available at: https://s2.q4cdn.com/299287126/files/doc_financials/2025/ar/Amazon-2024-Annual-Report.pdf.</w:t>
      </w:r>
    </w:p>
    <w:p w14:paraId="4D95256A">
      <w:pPr>
        <w:spacing w:after="240"/>
      </w:pPr>
      <w:r>
        <w:t xml:space="preserve">Amazon (2025a). </w:t>
      </w:r>
      <w:r>
        <w:rPr>
          <w:i/>
          <w:iCs/>
        </w:rPr>
        <w:t>Alexa Fund Venture Capital</w:t>
      </w:r>
      <w:r>
        <w:t>. [online] Amazon Alexa. Available at: https://developer.amazon.com/en-US/alexa/alexa-fund-venture-capital/.</w:t>
      </w:r>
    </w:p>
    <w:p w14:paraId="4D95256B">
      <w:pPr>
        <w:spacing w:after="240"/>
      </w:pPr>
      <w:r>
        <w:t xml:space="preserve">Amazon (2025b). </w:t>
      </w:r>
      <w:r>
        <w:rPr>
          <w:i/>
          <w:iCs/>
        </w:rPr>
        <w:t>Alexa Plus will power BMW’s in-car voice assistant</w:t>
      </w:r>
      <w:r>
        <w:t>. [online] Aboutamazon.com. Available at: https://www.aboutamazon.com/news/devices/alexa-plus-bmw-voice-assistant.</w:t>
      </w:r>
    </w:p>
    <w:p w14:paraId="4D95256C">
      <w:pPr>
        <w:spacing w:after="240"/>
      </w:pPr>
      <w:r>
        <w:t xml:space="preserve">Amazon (2025c). </w:t>
      </w:r>
      <w:r>
        <w:rPr>
          <w:i/>
          <w:iCs/>
        </w:rPr>
        <w:t>Amazon.com Announces Fourth Quarter Results</w:t>
      </w:r>
      <w:r>
        <w:t>. [online] Aboutamazon.com. Available at: https://ir.aboutamazon.com/news-release/news-release-details/2025/Amazon-com-Announces-Fourth-Quarter-Results/.</w:t>
      </w:r>
    </w:p>
    <w:p w14:paraId="4D95256D">
      <w:pPr>
        <w:spacing w:after="240"/>
      </w:pPr>
      <w:r>
        <w:t xml:space="preserve">Amazon (2023). </w:t>
      </w:r>
      <w:r>
        <w:rPr>
          <w:i/>
          <w:iCs/>
        </w:rPr>
        <w:t>Here’s everything you need to know about your Amazon Prime membership</w:t>
      </w:r>
      <w:r>
        <w:t>. [online] IN About Amazon. Available at: https://www.aboutamazon.in/news/retail/heres-everything-you-need-to-know-about-your-amazon-prime-membership.</w:t>
      </w:r>
    </w:p>
    <w:p w14:paraId="4D95256E">
      <w:pPr>
        <w:spacing w:after="240"/>
      </w:pPr>
      <w:r>
        <w:t xml:space="preserve">App Economy (2024). </w:t>
      </w:r>
      <w:r>
        <w:rPr>
          <w:i/>
          <w:iCs/>
        </w:rPr>
        <w:t>App Economy Insights on Instagram: ‘$COST Costco Q4 FY24. • Revenue +1% Y/Y to $79.7B ($0.3B miss). • EPS $5.29 ($0.23 beat). • 891 warehouses (+30 Y/Y). Comparable sales Y/Y: • US +6.3%. • Company +6.9%. • E-commerce +19.5%. If you like this, you’ll love our newsletter! Hundreds of visuals every earnings season. Join 150,000+ subscribers.’</w:t>
      </w:r>
      <w:r>
        <w:t xml:space="preserve"> [online] Instagram. Available at: https://www.instagram.com/p/DAZPQ2ETBGr/ [Accessed 12 Nov. 2025].</w:t>
      </w:r>
    </w:p>
    <w:p w14:paraId="4D95256F">
      <w:pPr>
        <w:spacing w:after="240"/>
      </w:pPr>
      <w:r>
        <w:t xml:space="preserve">Automation (2025). </w:t>
      </w:r>
      <w:r>
        <w:rPr>
          <w:i/>
          <w:iCs/>
        </w:rPr>
        <w:t>Viewing Amazon Repeat Purchase Rate - and How to Increase It</w:t>
      </w:r>
      <w:r>
        <w:t>. [online] Reason Automation. Available at: https://www.reasonautomation.com/content/amazon-repeat-purchase-rate.</w:t>
      </w:r>
    </w:p>
    <w:p w14:paraId="4D952570">
      <w:pPr>
        <w:spacing w:after="240"/>
      </w:pPr>
      <w:r>
        <w:t xml:space="preserve">Bizplanr (2025). </w:t>
      </w:r>
      <w:r>
        <w:rPr>
          <w:i/>
          <w:iCs/>
        </w:rPr>
        <w:t>Retail Industry Statistics and Trends for 2025</w:t>
      </w:r>
      <w:r>
        <w:t>. [online] Bizplanr. Available at: https://bizplanr.ai/blog/retail-industry-statistics.</w:t>
      </w:r>
    </w:p>
    <w:p w14:paraId="4D952571">
      <w:pPr>
        <w:spacing w:after="240"/>
      </w:pPr>
      <w:r>
        <w:t xml:space="preserve">Business research (2025). </w:t>
      </w:r>
      <w:r>
        <w:rPr>
          <w:i/>
          <w:iCs/>
        </w:rPr>
        <w:t>Retail Global Market</w:t>
      </w:r>
      <w:r>
        <w:t>. [online] www.thebusinessresearchcompany.com. Available at: https://www.thebusinessresearchcompany.com/report/retail-global-market-report.</w:t>
      </w:r>
    </w:p>
    <w:p w14:paraId="4D952572">
      <w:pPr>
        <w:spacing w:after="240"/>
      </w:pPr>
      <w:r>
        <w:t xml:space="preserve">Davey, J. (2025). Britain’s Tesco warns profit to fall as competition intensifies. </w:t>
      </w:r>
      <w:r>
        <w:rPr>
          <w:i/>
          <w:iCs/>
        </w:rPr>
        <w:t>Reuters</w:t>
      </w:r>
      <w:r>
        <w:t>. [online] 10 Apr. Available at: https://www.reuters.com/business/retail-consumer/britains-tesco-warns-profit-fall-competition-intensifies-2025-04-10/.</w:t>
      </w:r>
    </w:p>
    <w:p w14:paraId="4D952573">
      <w:pPr>
        <w:spacing w:after="240"/>
      </w:pPr>
      <w:r>
        <w:t xml:space="preserve">Droesch, B. (2025). </w:t>
      </w:r>
      <w:r>
        <w:rPr>
          <w:i/>
          <w:iCs/>
        </w:rPr>
        <w:t>US Amazon Ecommerce Forecast 2025</w:t>
      </w:r>
      <w:r>
        <w:t>. [online] EMARKETER. Available at: https://www.emarketer.com/content/us-amazon-ecommerce-forecast-2025.</w:t>
      </w:r>
    </w:p>
    <w:p w14:paraId="4D952574">
      <w:pPr>
        <w:spacing w:after="240"/>
      </w:pPr>
      <w:r>
        <w:t xml:space="preserve">Fortune Business Insights (2025). </w:t>
      </w:r>
      <w:r>
        <w:rPr>
          <w:i/>
          <w:iCs/>
        </w:rPr>
        <w:t>Retail Logistics Market Size &amp; Share | Industry Report, 2032</w:t>
      </w:r>
      <w:r>
        <w:t>. [online] Fortunebusinessinsights.com. Available at: https://www.fortunebusinessinsights.com/retail-logistics-market-105944.</w:t>
      </w:r>
    </w:p>
    <w:p w14:paraId="4D952575">
      <w:pPr>
        <w:spacing w:after="240"/>
      </w:pPr>
      <w:r>
        <w:t xml:space="preserve">GlobalData (2025). </w:t>
      </w:r>
      <w:r>
        <w:rPr>
          <w:i/>
          <w:iCs/>
        </w:rPr>
        <w:t>Tesco raises profit outlook after growth in H1 FY25/26</w:t>
      </w:r>
      <w:r>
        <w:t>. [online] Yahoo Finance. Available at: https://finance.yahoo.com/news/tesco-raises-profit-outlook-growth-090014955.html.</w:t>
      </w:r>
    </w:p>
    <w:p w14:paraId="4D952576">
      <w:pPr>
        <w:spacing w:after="240"/>
      </w:pPr>
      <w:r>
        <w:t xml:space="preserve">Government of USA (2025). </w:t>
      </w:r>
      <w:r>
        <w:rPr>
          <w:i/>
          <w:iCs/>
        </w:rPr>
        <w:t>AI in Retail Market Size, Share | CAGR of 29.9%</w:t>
      </w:r>
      <w:r>
        <w:t>. [online] Market.us. Available at: https://market.us/report/ai-in-retail-market/.</w:t>
      </w:r>
    </w:p>
    <w:p w14:paraId="4D952577">
      <w:pPr>
        <w:spacing w:after="240"/>
      </w:pPr>
      <w:r>
        <w:t xml:space="preserve">Hodgson, A. (2024). </w:t>
      </w:r>
      <w:r>
        <w:rPr>
          <w:i/>
          <w:iCs/>
        </w:rPr>
        <w:t>Consumers in 2024: Uncovering Opportunities Amid…</w:t>
      </w:r>
      <w:r>
        <w:t>. [online] Euromonitor. Available at: https://www.euromonitor.com/article/consumers-in-2024-uncovering-opportunities-amid-uncertainty.</w:t>
      </w:r>
    </w:p>
    <w:p w14:paraId="4D952578">
      <w:pPr>
        <w:spacing w:after="240"/>
      </w:pPr>
      <w:r>
        <w:t xml:space="preserve">Inditex (2023). </w:t>
      </w:r>
      <w:r>
        <w:rPr>
          <w:i/>
          <w:iCs/>
        </w:rPr>
        <w:t>INDITEX | FY2023 Results</w:t>
      </w:r>
      <w:r>
        <w:t>. [online] Inditex.com. Available at: https://www.inditex.com/itxcomweb/es/en/press/news-detail/10da31b6-0c12-43e4-9e33-103766d27821/fy2023-results.</w:t>
      </w:r>
    </w:p>
    <w:p w14:paraId="4D952579">
      <w:pPr>
        <w:spacing w:after="240"/>
      </w:pPr>
      <w:r>
        <w:t xml:space="preserve">kivilahti, arhi (2024). </w:t>
      </w:r>
      <w:r>
        <w:rPr>
          <w:i/>
          <w:iCs/>
        </w:rPr>
        <w:t>Online grocery driving growth for Tesco in the UK</w:t>
      </w:r>
      <w:r>
        <w:t>. [online] Ada Insights. Available at: https://adainsights.com/blog/online-grocery-driving-growth-for-tesco-in-the-uk.</w:t>
      </w:r>
    </w:p>
    <w:p w14:paraId="4D95257A">
      <w:pPr>
        <w:spacing w:after="240"/>
      </w:pPr>
      <w:r>
        <w:t>Kleinman, Z. (2025). What has caused AWS outage today - and why did it make the internet fall apart? [online] 20 Oct. Available at: https://www.bbc.com/news/articles/cev1en9077ro.</w:t>
      </w:r>
    </w:p>
    <w:p w14:paraId="4D95257B">
      <w:pPr>
        <w:spacing w:after="240"/>
      </w:pPr>
      <w:r>
        <w:t xml:space="preserve">Kollewe, J. (2025). </w:t>
      </w:r>
      <w:r>
        <w:rPr>
          <w:i/>
          <w:iCs/>
        </w:rPr>
        <w:t>More than 25% of UK businesses hit by cyber-attack in last year, report finds</w:t>
      </w:r>
      <w:r>
        <w:t>. [online] the Guardian. Available at: https://www.theguardian.com/business/2025/jun/30/uk-businesses-hit-by-cyber-attack-last-year-report.</w:t>
      </w:r>
    </w:p>
    <w:p w14:paraId="4D95257C">
      <w:pPr>
        <w:spacing w:after="240"/>
      </w:pPr>
      <w:r>
        <w:t xml:space="preserve">Kumar, A. (2024). </w:t>
      </w:r>
      <w:r>
        <w:rPr>
          <w:i/>
          <w:iCs/>
        </w:rPr>
        <w:t>This is How ZARA Leverages Analytics To Dominate Fast Fashion</w:t>
      </w:r>
      <w:r>
        <w:t>. [online] Medium. Available at: https://blog.fabrichq.ai/this-is-how-zara-leverages-analytics-to-dominate-fast-fashion-d8a4291214b3.</w:t>
      </w:r>
    </w:p>
    <w:p w14:paraId="4D95257D">
      <w:pPr>
        <w:spacing w:after="240"/>
      </w:pPr>
      <w:r>
        <w:t xml:space="preserve">Lim, R. (2025). </w:t>
      </w:r>
      <w:r>
        <w:rPr>
          <w:i/>
          <w:iCs/>
        </w:rPr>
        <w:t>Richard Lim on LinkedIn: #tesco #grocery #retail | 35 comments</w:t>
      </w:r>
      <w:r>
        <w:t>. [online] www.linkedin.com. Available at: https://www.linkedin.com/posts/richard-lim-42527726_tesco-grocery-retail-activity-7190673716731617282-Ygn1.</w:t>
      </w:r>
    </w:p>
    <w:p w14:paraId="4D95257E">
      <w:pPr>
        <w:spacing w:after="240"/>
      </w:pPr>
      <w:r>
        <w:t xml:space="preserve">Macrotrends (2025). </w:t>
      </w:r>
      <w:r>
        <w:rPr>
          <w:i/>
          <w:iCs/>
        </w:rPr>
        <w:t>Amazon Revenue 2010-2025 | AMZN</w:t>
      </w:r>
      <w:r>
        <w:t>. [online] Macrotrends.net. Available at: https://www.macrotrends.net/stocks/charts/AMZN/amazon/revenue.</w:t>
      </w:r>
    </w:p>
    <w:p w14:paraId="4D95257F">
      <w:pPr>
        <w:spacing w:after="240"/>
      </w:pPr>
      <w:r>
        <w:t xml:space="preserve">Market Screener (2025). </w:t>
      </w:r>
      <w:r>
        <w:rPr>
          <w:i/>
          <w:iCs/>
        </w:rPr>
        <w:t>STARBUCKS CORPORATION</w:t>
      </w:r>
      <w:r>
        <w:t>. [online] MarketScreener India. Available at: https://in.marketscreener.com/quote/stock/STARBUCKS-CORPORATION-4905/ [Accessed 12 Nov. 2025].</w:t>
      </w:r>
    </w:p>
    <w:p w14:paraId="4D952580">
      <w:pPr>
        <w:spacing w:after="240"/>
      </w:pPr>
      <w:r>
        <w:t xml:space="preserve">PwC (2025). </w:t>
      </w:r>
      <w:r>
        <w:rPr>
          <w:i/>
          <w:iCs/>
        </w:rPr>
        <w:t>AI Is No Longer an Option—The Future of Retail | PwC</w:t>
      </w:r>
      <w:r>
        <w:t>. [online] PwC. Available at: https://www.pwc.com/gx/en/services/alliances/microsoft/ai-retail-transformation-future.html.</w:t>
      </w:r>
    </w:p>
    <w:p w14:paraId="4D952581">
      <w:pPr>
        <w:spacing w:after="240"/>
      </w:pPr>
      <w:r>
        <w:t xml:space="preserve">Reid, H. (2025). Zara owner Inditex reports better start to autumn sales, boosting shares. </w:t>
      </w:r>
      <w:r>
        <w:rPr>
          <w:i/>
          <w:iCs/>
        </w:rPr>
        <w:t>Reuters</w:t>
      </w:r>
      <w:r>
        <w:t>. [online] 10 Sep. Available at: https://www.reuters.com/business/retail-consumer/zara-owner-inditex-reports-better-start-autumn-sales-boosting-shares-2025-09-10/.</w:t>
      </w:r>
    </w:p>
    <w:p w14:paraId="4D952582">
      <w:pPr>
        <w:spacing w:after="240"/>
      </w:pPr>
      <w:r>
        <w:t xml:space="preserve">Sokolowsky, J. (2025). </w:t>
      </w:r>
      <w:r>
        <w:rPr>
          <w:i/>
          <w:iCs/>
        </w:rPr>
        <w:t>Starbucks Turns to Technology to Brew up a More Personal Connection with Its Customers</w:t>
      </w:r>
      <w:r>
        <w:t>. [online] Microsoft. Available at: https://news.microsoft.com/source/features/digital-transformation/starbucks-turns-to-technology-to-brew-up-a-more-personal-connection-with-its-customers/.</w:t>
      </w:r>
    </w:p>
    <w:p w14:paraId="4D952583">
      <w:pPr>
        <w:spacing w:after="240"/>
      </w:pPr>
      <w:r>
        <w:t xml:space="preserve">Soni, P. (2024). </w:t>
      </w:r>
      <w:r>
        <w:rPr>
          <w:i/>
          <w:iCs/>
        </w:rPr>
        <w:t>Analyzing Walmart’s Profitability And Margins Versus Peers</w:t>
      </w:r>
      <w:r>
        <w:t>. [online] Yahoo Finance. Available at: https://finance.yahoo.com/news/analyzing-walmart-profitability-margins-versus-170537875.html [Accessed 12 Nov. 2025].</w:t>
      </w:r>
    </w:p>
    <w:p w14:paraId="4D952584">
      <w:pPr>
        <w:spacing w:after="240"/>
      </w:pPr>
      <w:r>
        <w:t xml:space="preserve">Starbucks (2025). </w:t>
      </w:r>
      <w:r>
        <w:rPr>
          <w:i/>
          <w:iCs/>
        </w:rPr>
        <w:t>Starbucks Reports Q1 Fiscal Year 2025 Results</w:t>
      </w:r>
      <w:r>
        <w:t>. [online] Starbucks.com. Available at: https://investor.starbucks.com/news/financial-releases/news-details/2025/Starbucks-Reports-Q1-Fiscal-Year-2025-Results/default.aspx.</w:t>
      </w:r>
    </w:p>
    <w:p w14:paraId="4D952585">
      <w:pPr>
        <w:spacing w:after="240"/>
      </w:pPr>
      <w:r>
        <w:t xml:space="preserve">Statista (2024). </w:t>
      </w:r>
      <w:r>
        <w:rPr>
          <w:i/>
          <w:iCs/>
        </w:rPr>
        <w:t>Weekly customer visits to Walmart stores 2024| Statista</w:t>
      </w:r>
      <w:r>
        <w:t>. [online] Statista. Available at: https://www.statista.com/statistics/818929/number-of-weekly-customer-visits-to-walmart-stores-worldwide/?srsltid=AfmBOor5v6terd2gXH6-rTGuIAxWDzCSOzYB0OAca3fyq7FrhaUFjCDh [Accessed 12 Nov. 2025].</w:t>
      </w:r>
    </w:p>
    <w:p w14:paraId="4D952586">
      <w:pPr>
        <w:spacing w:after="240"/>
      </w:pPr>
      <w:r>
        <w:t xml:space="preserve">Statista (2025). </w:t>
      </w:r>
      <w:r>
        <w:rPr>
          <w:i/>
          <w:iCs/>
        </w:rPr>
        <w:t>Global inflation rate from 2000 to 2030| Statista</w:t>
      </w:r>
      <w:r>
        <w:t>. [online] Statista. Available at: https://www.statista.com/statistics/256598/global-inflation-rate-compared-to-previous-year/?srsltid=AfmBOoqv1JY5QVJSxQIacuN-vWEwCJNZZWYlcdlDOisrl2cTnr4SfEcV [Accessed 12 Nov. 2025].</w:t>
      </w:r>
    </w:p>
    <w:p w14:paraId="4D952587">
      <w:pPr>
        <w:spacing w:after="240"/>
      </w:pPr>
      <w:r>
        <w:t xml:space="preserve">Statista (2025a). </w:t>
      </w:r>
      <w:r>
        <w:rPr>
          <w:i/>
          <w:iCs/>
        </w:rPr>
        <w:t>Marks &amp; Spencer revenue 2025| Statista</w:t>
      </w:r>
      <w:r>
        <w:t>. [online] Statista. Available at: https://www.statista.com/statistics/413349/group-revenue-marks-and-spencer-mands/?srsltid=AfmBOorQEQuYLsFDOxXIJ1S1AnYRtoyCIC_uo49QTwSlqmpoZgaETESU [Accessed 12 Nov. 2025].</w:t>
      </w:r>
    </w:p>
    <w:p w14:paraId="4D952588">
      <w:pPr>
        <w:spacing w:after="240"/>
      </w:pPr>
      <w:r>
        <w:t xml:space="preserve">Statista (2025b). </w:t>
      </w:r>
      <w:r>
        <w:rPr>
          <w:i/>
          <w:iCs/>
        </w:rPr>
        <w:t>Tesco Clubcard no of members 2025| Statista</w:t>
      </w:r>
      <w:r>
        <w:t>. [online] Statista. Available at: https://www.statista.com/statistics/1400244/tesco-clubcard-data/?srsltid=AfmBOorfMfUQktLvFEnTVuzNVA07C3155ddazNG-Jj4XjOnjQbyRd4Sl [Accessed 12 Nov. 2025].</w:t>
      </w:r>
    </w:p>
    <w:p w14:paraId="4D952589">
      <w:pPr>
        <w:spacing w:after="240"/>
      </w:pPr>
      <w:r>
        <w:t xml:space="preserve">Target Corporation (2025). </w:t>
      </w:r>
      <w:r>
        <w:rPr>
          <w:i/>
          <w:iCs/>
        </w:rPr>
        <w:t>Target Corporation Reports Fourth Quarter and Full-Year 2024 Earnings</w:t>
      </w:r>
      <w:r>
        <w:t>. [online] Target.com. Available at: https://corporate.target.com/press/release/2025/03/target-corporation-reports-fourth-quarter-and-full-year-2024-earnings.</w:t>
      </w:r>
    </w:p>
    <w:p w14:paraId="4D95258A">
      <w:pPr>
        <w:spacing w:after="240"/>
      </w:pPr>
      <w:r>
        <w:t xml:space="preserve">Tesco (2025). </w:t>
      </w:r>
      <w:r>
        <w:rPr>
          <w:i/>
          <w:iCs/>
        </w:rPr>
        <w:t>Welcome To Zscaler Directory Authentication</w:t>
      </w:r>
      <w:r>
        <w:t>. [online] Tesco.com. Available at: https://www.tesco.com/clubcard?srsltid=AfmBOooaF1eJ0fdSDUu4xEaCQa6xkoqRfKvqub5cQ0j_SQAhK6PQ6q8w [Accessed 12 Nov. 2025].</w:t>
      </w:r>
    </w:p>
    <w:p w14:paraId="4D95258B">
      <w:pPr>
        <w:spacing w:after="240"/>
      </w:pPr>
      <w:r>
        <w:t xml:space="preserve">Western Business (2025). </w:t>
      </w:r>
      <w:r>
        <w:rPr>
          <w:i/>
          <w:iCs/>
        </w:rPr>
        <w:t>Tesco Market Share: Understanding Its Growth and Market Position in 2025</w:t>
      </w:r>
      <w:r>
        <w:t>. [online] Western Business. Available at: https://westernbusiness.co.uk/tesco-market-share/.</w:t>
      </w:r>
    </w:p>
    <w:p w14:paraId="4D95258C">
      <w:pPr>
        <w:spacing w:after="240"/>
      </w:pPr>
      <w:r>
        <w:t xml:space="preserve">Zandt, F. (2024). </w:t>
      </w:r>
      <w:r>
        <w:rPr>
          <w:i/>
          <w:iCs/>
        </w:rPr>
        <w:t>Infographic: Amazon Is Popular Across Generations</w:t>
      </w:r>
      <w:r>
        <w:t>. [online] Statista Daily Data. Available at: https://www.statista.com/chart/32553/share-of-respondents-who-bought-something-from-the-following-online-stores-in-the-past-12-months/?srsltid=AfmBOooLcsAMz5vjRuqt1I-8q7WUFKjPChwHY4iquMH2Vkv_Va168OoC [Accessed 12 Nov. 2025].</w:t>
      </w:r>
    </w:p>
    <w:p w14:paraId="4D95258D">
      <w:pPr>
        <w:spacing w:after="240"/>
      </w:pPr>
      <w:r>
        <w:t xml:space="preserve">Zion (2024). </w:t>
      </w:r>
      <w:r>
        <w:rPr>
          <w:i/>
          <w:iCs/>
        </w:rPr>
        <w:t>Retail Industry Market Size, Share, Analysis &amp; Trends, Cap, 2032</w:t>
      </w:r>
      <w:r>
        <w:t>. [online] Zion Market Research. Available at: https://www.zionmarketresearch.com/report/retail-industry-market.</w:t>
      </w:r>
    </w:p>
    <w:p w14:paraId="4D95258E"/>
    <w:p w14:paraId="4D95258F"/>
    <w:p w14:paraId="4D952590"/>
    <w:p w14:paraId="4D952591"/>
    <w:sectPr>
      <w:headerReference r:id="rId6" w:type="first"/>
      <w:footerReference r:id="rId8" w:type="first"/>
      <w:headerReference r:id="rId5" w:type="default"/>
      <w:footerReference r:id="rId7"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0"/>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86E0629D-541E-44F7-A4BD-F967CC50DC3C}"/>
  </w:font>
  <w:font w:name="Arial">
    <w:panose1 w:val="020B0604020202020204"/>
    <w:charset w:val="86"/>
    <w:family w:val="swiss"/>
    <w:pitch w:val="default"/>
    <w:sig w:usb0="E0002EFF" w:usb1="C000785B" w:usb2="00000009" w:usb3="00000000" w:csb0="400001FF" w:csb1="FFFF0000"/>
    <w:embedRegular r:id="rId2" w:fontKey="{84556954-9039-453D-B278-0ED7F6CD19AA}"/>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3D6C3BAA-527F-4CE4-A45A-33698CED54DB}"/>
  </w:font>
  <w:font w:name="Wingdings">
    <w:panose1 w:val="05000000000000000000"/>
    <w:charset w:val="02"/>
    <w:family w:val="auto"/>
    <w:pitch w:val="default"/>
    <w:sig w:usb0="00000000" w:usb1="00000000" w:usb2="00000000" w:usb3="00000000" w:csb0="80000000" w:csb1="00000000"/>
    <w:embedRegular r:id="rId4" w:fontKey="{F24543E0-B168-4E43-8CD8-4E89E7BE8624}"/>
  </w:font>
  <w:font w:name="Calibri">
    <w:panose1 w:val="020F0502020204030204"/>
    <w:charset w:val="00"/>
    <w:family w:val="swiss"/>
    <w:pitch w:val="default"/>
    <w:sig w:usb0="E4002EFF" w:usb1="C200247B" w:usb2="00000009" w:usb3="00000000" w:csb0="200001FF" w:csb1="00000000"/>
    <w:embedRegular r:id="rId5" w:fontKey="{96FEC967-45AA-4173-AC6B-6224D48C2BC7}"/>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embedRegular r:id="rId6" w:fontKey="{ED0D1252-6D29-4778-BF76-0CC997184981}"/>
  </w:font>
  <w:font w:name="Shruti">
    <w:panose1 w:val="020B0502040204020203"/>
    <w:charset w:val="00"/>
    <w:family w:val="swiss"/>
    <w:pitch w:val="default"/>
    <w:sig w:usb0="00040003" w:usb1="00000000" w:usb2="00000000" w:usb3="00000000" w:csb0="00000001" w:csb1="00000000"/>
    <w:embedRegular r:id="rId7" w:fontKey="{20CCF432-D496-4C1A-AE9E-7B763C03A82B}"/>
  </w:font>
  <w:font w:name="Arial">
    <w:panose1 w:val="020B0604020202020204"/>
    <w:charset w:val="00"/>
    <w:family w:val="swiss"/>
    <w:pitch w:val="default"/>
    <w:sig w:usb0="E0002EFF" w:usb1="C000785B" w:usb2="00000009" w:usb3="00000000" w:csb0="400001FF" w:csb1="FFFF0000"/>
    <w:embedRegular r:id="rId8" w:fontKey="{F68BF436-43A1-4C19-8DB3-D5DCEE3E0B98}"/>
  </w:font>
  <w:font w:name="Segoe UI">
    <w:panose1 w:val="020B0502040204020203"/>
    <w:charset w:val="00"/>
    <w:family w:val="auto"/>
    <w:pitch w:val="default"/>
    <w:sig w:usb0="E4002EFF" w:usb1="C000E47F" w:usb2="00000009" w:usb3="00000000" w:csb0="200001FF" w:csb1="00000000"/>
    <w:embedRegular r:id="rId9" w:fontKey="{FB9E89A7-CA8F-4DFA-A300-03E39C5A59FA}"/>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D9525B1">
    <w:pPr>
      <w:jc w:val="right"/>
    </w:pPr>
    <w:r>
      <w:fldChar w:fldCharType="begin"/>
    </w:r>
    <w:r>
      <w:instrText xml:space="preserve">PAGE</w:instrText>
    </w:r>
    <w:r>
      <w:fldChar w:fldCharType="separate"/>
    </w:r>
    <w:r>
      <w:t>1</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D9525B3"/>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D9525B0"/>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D9525B2"/>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1"/>
  <w:embedTrueTypeFonts/>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4EF4"/>
    <w:rsid w:val="00390180"/>
    <w:rsid w:val="00423216"/>
    <w:rsid w:val="005255A8"/>
    <w:rsid w:val="005A1E4F"/>
    <w:rsid w:val="009D2A00"/>
    <w:rsid w:val="00B44EF4"/>
    <w:rsid w:val="00BB3A8C"/>
    <w:rsid w:val="00BE06E6"/>
    <w:rsid w:val="00D00CAE"/>
    <w:rsid w:val="00E07710"/>
    <w:rsid w:val="2EE84A62"/>
    <w:rsid w:val="6BC77B27"/>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Arial" w:hAnsi="Arial" w:eastAsia="Arial" w:cs="Arial"/>
      <w:sz w:val="24"/>
      <w:szCs w:val="24"/>
      <w:lang w:val="en-GB" w:eastAsia="en-IN" w:bidi="ar-SA"/>
    </w:rPr>
  </w:style>
  <w:style w:type="paragraph" w:styleId="2">
    <w:name w:val="heading 1"/>
    <w:basedOn w:val="1"/>
    <w:next w:val="1"/>
    <w:qFormat/>
    <w:uiPriority w:val="9"/>
    <w:pPr>
      <w:keepNext/>
      <w:keepLines/>
      <w:outlineLvl w:val="0"/>
    </w:pPr>
    <w:rPr>
      <w:b/>
      <w:bCs/>
      <w:sz w:val="28"/>
      <w:szCs w:val="28"/>
    </w:rPr>
  </w:style>
  <w:style w:type="paragraph" w:styleId="3">
    <w:name w:val="heading 2"/>
    <w:basedOn w:val="1"/>
    <w:next w:val="1"/>
    <w:unhideWhenUsed/>
    <w:qFormat/>
    <w:uiPriority w:val="9"/>
    <w:pPr>
      <w:keepNext/>
      <w:keepLines/>
      <w:outlineLvl w:val="1"/>
    </w:pPr>
    <w:rPr>
      <w:b/>
      <w:bCs/>
      <w:i/>
      <w:iCs/>
      <w:sz w:val="26"/>
      <w:szCs w:val="26"/>
    </w:rPr>
  </w:style>
  <w:style w:type="paragraph" w:styleId="4">
    <w:name w:val="heading 3"/>
    <w:basedOn w:val="1"/>
    <w:next w:val="1"/>
    <w:unhideWhenUsed/>
    <w:qFormat/>
    <w:uiPriority w:val="9"/>
    <w:pPr>
      <w:keepNext/>
      <w:keepLines/>
      <w:outlineLvl w:val="2"/>
    </w:pPr>
    <w:rPr>
      <w:b/>
      <w:bCs/>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iCs/>
      <w:color w:val="666666"/>
      <w:sz w:val="22"/>
      <w:szCs w:val="22"/>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character" w:styleId="10">
    <w:name w:val="annotation reference"/>
    <w:basedOn w:val="8"/>
    <w:semiHidden/>
    <w:unhideWhenUsed/>
    <w:qFormat/>
    <w:uiPriority w:val="99"/>
    <w:rPr>
      <w:sz w:val="16"/>
      <w:szCs w:val="16"/>
    </w:rPr>
  </w:style>
  <w:style w:type="paragraph" w:styleId="11">
    <w:name w:val="annotation text"/>
    <w:basedOn w:val="1"/>
    <w:link w:val="19"/>
    <w:semiHidden/>
    <w:unhideWhenUsed/>
    <w:uiPriority w:val="99"/>
    <w:pPr>
      <w:spacing w:line="240" w:lineRule="auto"/>
    </w:pPr>
    <w:rPr>
      <w:sz w:val="20"/>
      <w:szCs w:val="20"/>
    </w:rPr>
  </w:style>
  <w:style w:type="character" w:styleId="12">
    <w:name w:val="Hyperlink"/>
    <w:basedOn w:val="8"/>
    <w:unhideWhenUsed/>
    <w:uiPriority w:val="99"/>
    <w:rPr>
      <w:color w:val="0000FF" w:themeColor="hyperlink"/>
      <w:u w:val="single"/>
      <w14:textFill>
        <w14:solidFill>
          <w14:schemeClr w14:val="hlink"/>
        </w14:solidFill>
      </w14:textFill>
    </w:rPr>
  </w:style>
  <w:style w:type="paragraph" w:styleId="13">
    <w:name w:val="Subtitle"/>
    <w:basedOn w:val="1"/>
    <w:next w:val="1"/>
    <w:qFormat/>
    <w:uiPriority w:val="11"/>
    <w:pPr>
      <w:keepNext/>
      <w:keepLines/>
      <w:spacing w:after="320"/>
    </w:pPr>
    <w:rPr>
      <w:color w:val="666666"/>
      <w:sz w:val="30"/>
      <w:szCs w:val="30"/>
    </w:rPr>
  </w:style>
  <w:style w:type="paragraph" w:styleId="14">
    <w:name w:val="Title"/>
    <w:basedOn w:val="1"/>
    <w:next w:val="1"/>
    <w:qFormat/>
    <w:uiPriority w:val="10"/>
    <w:pPr>
      <w:keepNext/>
      <w:keepLines/>
      <w:spacing w:after="60"/>
    </w:pPr>
    <w:rPr>
      <w:sz w:val="52"/>
      <w:szCs w:val="52"/>
    </w:rPr>
  </w:style>
  <w:style w:type="paragraph" w:styleId="15">
    <w:name w:val="toc 1"/>
    <w:basedOn w:val="1"/>
    <w:next w:val="1"/>
    <w:autoRedefine/>
    <w:unhideWhenUsed/>
    <w:uiPriority w:val="39"/>
    <w:pPr>
      <w:spacing w:after="100"/>
    </w:pPr>
  </w:style>
  <w:style w:type="paragraph" w:styleId="16">
    <w:name w:val="toc 2"/>
    <w:basedOn w:val="1"/>
    <w:next w:val="1"/>
    <w:autoRedefine/>
    <w:unhideWhenUsed/>
    <w:uiPriority w:val="39"/>
    <w:pPr>
      <w:spacing w:after="100"/>
      <w:ind w:left="240"/>
    </w:pPr>
  </w:style>
  <w:style w:type="paragraph" w:styleId="17">
    <w:name w:val="toc 3"/>
    <w:basedOn w:val="1"/>
    <w:next w:val="1"/>
    <w:autoRedefine/>
    <w:unhideWhenUsed/>
    <w:qFormat/>
    <w:uiPriority w:val="39"/>
    <w:pPr>
      <w:spacing w:after="100"/>
      <w:ind w:left="480"/>
    </w:pPr>
  </w:style>
  <w:style w:type="table" w:customStyle="1" w:styleId="18">
    <w:name w:val="TableNormal"/>
    <w:uiPriority w:val="0"/>
    <w:tblPr>
      <w:tblCellMar>
        <w:top w:w="100" w:type="dxa"/>
        <w:left w:w="100" w:type="dxa"/>
        <w:bottom w:w="100" w:type="dxa"/>
        <w:right w:w="100" w:type="dxa"/>
      </w:tblCellMar>
    </w:tblPr>
  </w:style>
  <w:style w:type="character" w:customStyle="1" w:styleId="19">
    <w:name w:val="Comment Text Char"/>
    <w:basedOn w:val="8"/>
    <w:link w:val="11"/>
    <w:semiHidden/>
    <w:qFormat/>
    <w:uiPriority w:val="99"/>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6" Type="http://schemas.openxmlformats.org/officeDocument/2006/relationships/fontTable" Target="fontTable.xml"/><Relationship Id="rId25" Type="http://schemas.openxmlformats.org/officeDocument/2006/relationships/customXml" Target="../customXml/item1.xml"/><Relationship Id="rId24" Type="http://schemas.openxmlformats.org/officeDocument/2006/relationships/image" Target="media/image15.png"/><Relationship Id="rId23" Type="http://schemas.openxmlformats.org/officeDocument/2006/relationships/image" Target="media/image14.png"/><Relationship Id="rId22" Type="http://schemas.openxmlformats.org/officeDocument/2006/relationships/image" Target="media/image13.png"/><Relationship Id="rId21" Type="http://schemas.openxmlformats.org/officeDocument/2006/relationships/image" Target="media/image12.png"/><Relationship Id="rId20" Type="http://schemas.openxmlformats.org/officeDocument/2006/relationships/image" Target="media/image11.png"/><Relationship Id="rId2" Type="http://schemas.openxmlformats.org/officeDocument/2006/relationships/settings" Target="settings.xml"/><Relationship Id="rId19" Type="http://schemas.openxmlformats.org/officeDocument/2006/relationships/image" Target="media/image10.png"/><Relationship Id="rId18" Type="http://schemas.openxmlformats.org/officeDocument/2006/relationships/image" Target="media/image9.png"/><Relationship Id="rId17" Type="http://schemas.openxmlformats.org/officeDocument/2006/relationships/image" Target="media/image8.png"/><Relationship Id="rId16" Type="http://schemas.openxmlformats.org/officeDocument/2006/relationships/image" Target="media/image7.png"/><Relationship Id="rId15" Type="http://schemas.openxmlformats.org/officeDocument/2006/relationships/image" Target="media/image6.png"/><Relationship Id="rId14" Type="http://schemas.openxmlformats.org/officeDocument/2006/relationships/image" Target="media/image5.png"/><Relationship Id="rId13" Type="http://schemas.openxmlformats.org/officeDocument/2006/relationships/image" Target="media/image4.png"/><Relationship Id="rId12" Type="http://schemas.openxmlformats.org/officeDocument/2006/relationships/image" Target="media/image3.png"/><Relationship Id="rId11" Type="http://schemas.openxmlformats.org/officeDocument/2006/relationships/image" Target="media/image2.png"/><Relationship Id="rId10" Type="http://schemas.openxmlformats.org/officeDocument/2006/relationships/image" Target="media/image1.png"/><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9" Type="http://schemas.openxmlformats.org/officeDocument/2006/relationships/font" Target="fonts/font9.odttf"/><Relationship Id="rId8" Type="http://schemas.openxmlformats.org/officeDocument/2006/relationships/font" Target="fonts/font8.odttf"/><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cB/CIVedFn6mig0TgXzTxRQeg==">CgMxLjAyDmguaGx4enBsanh6bndiMg5oLmhocHQ3YjMzNzQzejIOaC55d3p2dHR5bjV3ajcyDmgubHgxMHJ4ZTdtdTF4Mg5oLm01dXJka21odng1bDIOaC53c3o3dXh4Y2JheTcyDmgucmdraWN0bnMwbHRqMg5oLmhoeTI4czRmdzFsYjIOaC5zeTVrcTE0bWxyc2QyDmguMm1nMXQ1amtvY3N2Mg5oLmxidG9vZjZuMzBiYTIOaC5nbW1ia2FkdHE1eDgyDmguejllaHowcWo1Y2QxMg5oLmZmbzJvcW1lNmRobjINaC5tZWhoYTU1MWJpbDIOaC42b3hwZDRhbXl4NjIyDmguMnJkZDYzYTNrMGZ1Mg5oLjQ3bGg3dTU0OW5uMTIOaC4zNXJnZm56M3lsemo4AHIhMWtOeEZoTDRtVWc4YnBLZHJHSTlONHI0clN4bU9yOVVx</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Pages>25</Pages>
  <Words>4125</Words>
  <Characters>23518</Characters>
  <Lines>195</Lines>
  <Paragraphs>55</Paragraphs>
  <TotalTime>6</TotalTime>
  <ScaleCrop>false</ScaleCrop>
  <LinksUpToDate>false</LinksUpToDate>
  <CharactersWithSpaces>27588</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2025-11-12T08:16:00Z</dcterms:created>
  <dc:creator>DELL</dc:creator>
  <cp:lastModifiedBy>Abhi Patel</cp:lastModifiedBy>
  <dcterms:modified xsi:type="dcterms:W3CDTF">2025-11-20T20:59:24Z</dcterms:modified>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5125D6A722404D7AB9BEC54A1BBE3FFA_12</vt:lpwstr>
  </property>
</Properties>
</file>