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B66DE0" w14:textId="77777777" w:rsidR="006322D7" w:rsidRDefault="006322D7" w:rsidP="006322D7">
      <w:pPr>
        <w:spacing w:line="259" w:lineRule="auto"/>
        <w:jc w:val="center"/>
        <w:rPr>
          <w:rFonts w:cs="Arial"/>
          <w:b/>
        </w:rPr>
      </w:pPr>
      <w:r>
        <w:rPr>
          <w:noProof/>
          <w:lang w:eastAsia="en-IN"/>
        </w:rPr>
        <w:drawing>
          <wp:inline distT="0" distB="0" distL="0" distR="0" wp14:anchorId="2D909D68" wp14:editId="5008E4C8">
            <wp:extent cx="1743075" cy="6286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743075" cy="628650"/>
                    </a:xfrm>
                    <a:prstGeom prst="rect">
                      <a:avLst/>
                    </a:prstGeom>
                  </pic:spPr>
                </pic:pic>
              </a:graphicData>
            </a:graphic>
          </wp:inline>
        </w:drawing>
      </w:r>
    </w:p>
    <w:p w14:paraId="7AA1DBC0" w14:textId="77777777" w:rsidR="006322D7" w:rsidRDefault="006322D7" w:rsidP="006322D7">
      <w:pPr>
        <w:spacing w:line="259" w:lineRule="auto"/>
        <w:jc w:val="center"/>
        <w:rPr>
          <w:rFonts w:cs="Arial"/>
          <w:b/>
        </w:rPr>
      </w:pPr>
    </w:p>
    <w:p w14:paraId="2E78497D" w14:textId="77777777" w:rsidR="006322D7" w:rsidRDefault="006322D7" w:rsidP="006322D7">
      <w:pPr>
        <w:spacing w:line="259" w:lineRule="auto"/>
        <w:jc w:val="center"/>
        <w:rPr>
          <w:rFonts w:cs="Arial"/>
          <w:b/>
        </w:rPr>
      </w:pPr>
    </w:p>
    <w:p w14:paraId="57A81A40" w14:textId="77777777" w:rsidR="006322D7" w:rsidRDefault="006322D7" w:rsidP="006322D7">
      <w:pPr>
        <w:spacing w:line="259" w:lineRule="auto"/>
        <w:jc w:val="center"/>
        <w:rPr>
          <w:rFonts w:cs="Arial"/>
          <w:b/>
        </w:rPr>
      </w:pPr>
      <w:r>
        <w:rPr>
          <w:rFonts w:cs="Arial"/>
          <w:b/>
        </w:rPr>
        <w:t>Student Name:</w:t>
      </w:r>
      <w:r w:rsidRPr="006322D7">
        <w:rPr>
          <w:rFonts w:ascii="Helvetica" w:hAnsi="Helvetica" w:cs="Helvetica"/>
          <w:color w:val="1F1F1F"/>
          <w:sz w:val="33"/>
          <w:szCs w:val="33"/>
          <w:shd w:val="clear" w:color="auto" w:fill="FFFFFF"/>
        </w:rPr>
        <w:t xml:space="preserve"> </w:t>
      </w:r>
      <w:r w:rsidRPr="006322D7">
        <w:rPr>
          <w:rFonts w:cs="Arial"/>
          <w:color w:val="1F1F1F"/>
          <w:sz w:val="24"/>
          <w:szCs w:val="24"/>
          <w:shd w:val="clear" w:color="auto" w:fill="FFFFFF"/>
        </w:rPr>
        <w:t>Kouadio Affoue Denise</w:t>
      </w:r>
    </w:p>
    <w:p w14:paraId="6703DAEB" w14:textId="6A08B0BE" w:rsidR="006322D7" w:rsidRPr="009507AA" w:rsidRDefault="006322D7" w:rsidP="006322D7">
      <w:pPr>
        <w:spacing w:line="259" w:lineRule="auto"/>
        <w:jc w:val="center"/>
        <w:rPr>
          <w:rFonts w:cs="Arial"/>
          <w:bCs/>
        </w:rPr>
      </w:pPr>
      <w:r>
        <w:rPr>
          <w:rFonts w:cs="Arial"/>
          <w:b/>
        </w:rPr>
        <w:t xml:space="preserve">Student ID: </w:t>
      </w:r>
      <w:r w:rsidR="0001019E" w:rsidRPr="009507AA">
        <w:rPr>
          <w:rFonts w:cs="Arial"/>
          <w:bCs/>
        </w:rPr>
        <w:t>2412869</w:t>
      </w:r>
    </w:p>
    <w:p w14:paraId="19F26920" w14:textId="77777777" w:rsidR="006322D7" w:rsidRDefault="006322D7" w:rsidP="006322D7">
      <w:pPr>
        <w:spacing w:line="259" w:lineRule="auto"/>
        <w:jc w:val="center"/>
        <w:rPr>
          <w:rFonts w:cs="Arial"/>
          <w:b/>
        </w:rPr>
      </w:pPr>
    </w:p>
    <w:p w14:paraId="03B7BEDB" w14:textId="77777777" w:rsidR="000D1F8A" w:rsidRDefault="000D1F8A" w:rsidP="006322D7">
      <w:pPr>
        <w:spacing w:line="259" w:lineRule="auto"/>
        <w:jc w:val="center"/>
        <w:rPr>
          <w:rFonts w:cs="Arial"/>
          <w:b/>
        </w:rPr>
      </w:pPr>
    </w:p>
    <w:p w14:paraId="3B217CF3" w14:textId="4B15A373" w:rsidR="006322D7" w:rsidRDefault="006322D7" w:rsidP="006322D7">
      <w:pPr>
        <w:spacing w:line="259" w:lineRule="auto"/>
        <w:jc w:val="center"/>
        <w:rPr>
          <w:rFonts w:cs="Arial"/>
          <w:b/>
          <w:sz w:val="28"/>
        </w:rPr>
      </w:pPr>
      <w:r w:rsidRPr="000D1F8A">
        <w:rPr>
          <w:rFonts w:cs="Arial"/>
          <w:b/>
          <w:sz w:val="28"/>
        </w:rPr>
        <w:t xml:space="preserve">Module Name: Protecting and Supporting Families in Health and </w:t>
      </w:r>
      <w:r w:rsidR="00764462">
        <w:rPr>
          <w:rFonts w:cs="Arial"/>
          <w:b/>
          <w:sz w:val="28"/>
        </w:rPr>
        <w:t xml:space="preserve">Social </w:t>
      </w:r>
      <w:r w:rsidRPr="000D1F8A">
        <w:rPr>
          <w:rFonts w:cs="Arial"/>
          <w:b/>
          <w:sz w:val="28"/>
        </w:rPr>
        <w:t>Care</w:t>
      </w:r>
    </w:p>
    <w:p w14:paraId="0EC34242" w14:textId="77777777" w:rsidR="000D1F8A" w:rsidRPr="000D1F8A" w:rsidRDefault="000D1F8A" w:rsidP="006322D7">
      <w:pPr>
        <w:spacing w:line="259" w:lineRule="auto"/>
        <w:jc w:val="center"/>
        <w:rPr>
          <w:rFonts w:cs="Arial"/>
          <w:b/>
          <w:sz w:val="28"/>
        </w:rPr>
      </w:pPr>
    </w:p>
    <w:p w14:paraId="73D1987E" w14:textId="77777777" w:rsidR="006322D7" w:rsidRDefault="006322D7" w:rsidP="006322D7">
      <w:pPr>
        <w:spacing w:line="259" w:lineRule="auto"/>
        <w:jc w:val="center"/>
        <w:rPr>
          <w:rFonts w:cs="Arial"/>
          <w:b/>
          <w:sz w:val="28"/>
        </w:rPr>
      </w:pPr>
      <w:r w:rsidRPr="000D1F8A">
        <w:rPr>
          <w:rFonts w:cs="Arial"/>
          <w:b/>
          <w:sz w:val="28"/>
        </w:rPr>
        <w:t>Module Code: BMHP5021</w:t>
      </w:r>
    </w:p>
    <w:p w14:paraId="4AD414A8" w14:textId="77777777" w:rsidR="000D1F8A" w:rsidRPr="000D1F8A" w:rsidRDefault="000D1F8A" w:rsidP="006322D7">
      <w:pPr>
        <w:spacing w:line="259" w:lineRule="auto"/>
        <w:jc w:val="center"/>
        <w:rPr>
          <w:rFonts w:cs="Arial"/>
          <w:b/>
          <w:sz w:val="28"/>
        </w:rPr>
      </w:pPr>
    </w:p>
    <w:p w14:paraId="452946AD" w14:textId="77777777" w:rsidR="006322D7" w:rsidRPr="000D1F8A" w:rsidRDefault="006322D7" w:rsidP="006322D7">
      <w:pPr>
        <w:spacing w:line="259" w:lineRule="auto"/>
        <w:jc w:val="center"/>
        <w:rPr>
          <w:rFonts w:cs="Arial"/>
          <w:b/>
          <w:sz w:val="28"/>
        </w:rPr>
      </w:pPr>
    </w:p>
    <w:p w14:paraId="5B8925ED" w14:textId="77777777" w:rsidR="005173C4" w:rsidRPr="005173C4" w:rsidRDefault="006322D7" w:rsidP="006322D7">
      <w:pPr>
        <w:spacing w:line="259" w:lineRule="auto"/>
        <w:jc w:val="center"/>
        <w:rPr>
          <w:rFonts w:cs="Arial"/>
          <w:b/>
        </w:rPr>
      </w:pPr>
      <w:r w:rsidRPr="000D1F8A">
        <w:rPr>
          <w:rFonts w:cs="Arial"/>
          <w:b/>
          <w:sz w:val="28"/>
        </w:rPr>
        <w:t>Assignment Title: Component 2: Written Report</w:t>
      </w:r>
      <w:r w:rsidR="005173C4" w:rsidRPr="005173C4">
        <w:rPr>
          <w:rFonts w:cs="Arial"/>
          <w:b/>
        </w:rPr>
        <w:br w:type="page"/>
      </w:r>
    </w:p>
    <w:sdt>
      <w:sdtPr>
        <w:rPr>
          <w:rFonts w:eastAsiaTheme="minorHAnsi" w:cs="Arial"/>
          <w:b w:val="0"/>
          <w:sz w:val="22"/>
          <w:szCs w:val="22"/>
          <w:lang w:val="en-IN"/>
        </w:rPr>
        <w:id w:val="218259068"/>
        <w:docPartObj>
          <w:docPartGallery w:val="Table of Contents"/>
          <w:docPartUnique/>
        </w:docPartObj>
      </w:sdtPr>
      <w:sdtEndPr>
        <w:rPr>
          <w:bCs/>
          <w:noProof/>
        </w:rPr>
      </w:sdtEndPr>
      <w:sdtContent>
        <w:p w14:paraId="3780CF16" w14:textId="77777777" w:rsidR="005173C4" w:rsidRPr="004554D8" w:rsidRDefault="005173C4" w:rsidP="005173C4">
          <w:pPr>
            <w:pStyle w:val="TOCHeading"/>
            <w:jc w:val="center"/>
            <w:rPr>
              <w:rFonts w:cs="Arial"/>
            </w:rPr>
          </w:pPr>
          <w:r w:rsidRPr="004554D8">
            <w:rPr>
              <w:rFonts w:cs="Arial"/>
            </w:rPr>
            <w:t>Table of Contents</w:t>
          </w:r>
        </w:p>
        <w:p w14:paraId="63955E99" w14:textId="77777777" w:rsidR="005173C4" w:rsidRPr="005173C4" w:rsidRDefault="005173C4">
          <w:pPr>
            <w:pStyle w:val="TOC1"/>
            <w:tabs>
              <w:tab w:val="right" w:leader="dot" w:pos="9016"/>
            </w:tabs>
            <w:rPr>
              <w:rFonts w:cs="Arial"/>
              <w:noProof/>
            </w:rPr>
          </w:pPr>
          <w:r w:rsidRPr="005173C4">
            <w:rPr>
              <w:rFonts w:cs="Arial"/>
            </w:rPr>
            <w:fldChar w:fldCharType="begin"/>
          </w:r>
          <w:r w:rsidRPr="005173C4">
            <w:rPr>
              <w:rFonts w:cs="Arial"/>
            </w:rPr>
            <w:instrText xml:space="preserve"> TOC \o "1-3" \h \z \u </w:instrText>
          </w:r>
          <w:r w:rsidRPr="005173C4">
            <w:rPr>
              <w:rFonts w:cs="Arial"/>
            </w:rPr>
            <w:fldChar w:fldCharType="separate"/>
          </w:r>
          <w:hyperlink w:anchor="_Toc223018315" w:history="1">
            <w:r w:rsidRPr="005173C4">
              <w:rPr>
                <w:rStyle w:val="Hyperlink"/>
                <w:rFonts w:cs="Arial"/>
                <w:noProof/>
              </w:rPr>
              <w:t>a) Introduction</w:t>
            </w:r>
            <w:r w:rsidRPr="005173C4">
              <w:rPr>
                <w:rFonts w:cs="Arial"/>
                <w:noProof/>
                <w:webHidden/>
              </w:rPr>
              <w:tab/>
            </w:r>
            <w:r w:rsidRPr="005173C4">
              <w:rPr>
                <w:rFonts w:cs="Arial"/>
                <w:noProof/>
                <w:webHidden/>
              </w:rPr>
              <w:fldChar w:fldCharType="begin"/>
            </w:r>
            <w:r w:rsidRPr="005173C4">
              <w:rPr>
                <w:rFonts w:cs="Arial"/>
                <w:noProof/>
                <w:webHidden/>
              </w:rPr>
              <w:instrText xml:space="preserve"> PAGEREF _Toc223018315 \h </w:instrText>
            </w:r>
            <w:r w:rsidRPr="005173C4">
              <w:rPr>
                <w:rFonts w:cs="Arial"/>
                <w:noProof/>
                <w:webHidden/>
              </w:rPr>
            </w:r>
            <w:r w:rsidRPr="005173C4">
              <w:rPr>
                <w:rFonts w:cs="Arial"/>
                <w:noProof/>
                <w:webHidden/>
              </w:rPr>
              <w:fldChar w:fldCharType="separate"/>
            </w:r>
            <w:r w:rsidRPr="005173C4">
              <w:rPr>
                <w:rFonts w:cs="Arial"/>
                <w:noProof/>
                <w:webHidden/>
              </w:rPr>
              <w:t>3</w:t>
            </w:r>
            <w:r w:rsidRPr="005173C4">
              <w:rPr>
                <w:rFonts w:cs="Arial"/>
                <w:noProof/>
                <w:webHidden/>
              </w:rPr>
              <w:fldChar w:fldCharType="end"/>
            </w:r>
          </w:hyperlink>
        </w:p>
        <w:p w14:paraId="745B0B17" w14:textId="16DB29A0" w:rsidR="005173C4" w:rsidRPr="005173C4" w:rsidRDefault="005173C4">
          <w:pPr>
            <w:pStyle w:val="TOC1"/>
            <w:tabs>
              <w:tab w:val="right" w:leader="dot" w:pos="9016"/>
            </w:tabs>
            <w:rPr>
              <w:rFonts w:cs="Arial"/>
              <w:noProof/>
            </w:rPr>
          </w:pPr>
          <w:hyperlink w:anchor="_Toc223018316" w:history="1">
            <w:r w:rsidRPr="005173C4">
              <w:rPr>
                <w:rStyle w:val="Hyperlink"/>
                <w:rFonts w:cs="Arial"/>
                <w:noProof/>
              </w:rPr>
              <w:t>b) Explanation of the Early Help System</w:t>
            </w:r>
            <w:r w:rsidRPr="005173C4">
              <w:rPr>
                <w:rFonts w:cs="Arial"/>
                <w:noProof/>
                <w:webHidden/>
              </w:rPr>
              <w:tab/>
            </w:r>
            <w:r w:rsidRPr="005173C4">
              <w:rPr>
                <w:rFonts w:cs="Arial"/>
                <w:noProof/>
                <w:webHidden/>
              </w:rPr>
              <w:fldChar w:fldCharType="begin"/>
            </w:r>
            <w:r w:rsidRPr="005173C4">
              <w:rPr>
                <w:rFonts w:cs="Arial"/>
                <w:noProof/>
                <w:webHidden/>
              </w:rPr>
              <w:instrText xml:space="preserve"> PAGEREF _Toc223018316 \h </w:instrText>
            </w:r>
            <w:r w:rsidRPr="005173C4">
              <w:rPr>
                <w:rFonts w:cs="Arial"/>
                <w:noProof/>
                <w:webHidden/>
              </w:rPr>
            </w:r>
            <w:r w:rsidRPr="005173C4">
              <w:rPr>
                <w:rFonts w:cs="Arial"/>
                <w:noProof/>
                <w:webHidden/>
              </w:rPr>
              <w:fldChar w:fldCharType="separate"/>
            </w:r>
            <w:r w:rsidRPr="005173C4">
              <w:rPr>
                <w:rFonts w:cs="Arial"/>
                <w:noProof/>
                <w:webHidden/>
              </w:rPr>
              <w:t>3</w:t>
            </w:r>
            <w:r w:rsidRPr="005173C4">
              <w:rPr>
                <w:rFonts w:cs="Arial"/>
                <w:noProof/>
                <w:webHidden/>
              </w:rPr>
              <w:fldChar w:fldCharType="end"/>
            </w:r>
          </w:hyperlink>
          <w:r w:rsidR="00AB5A4B">
            <w:t>-4</w:t>
          </w:r>
        </w:p>
        <w:p w14:paraId="63C566B1" w14:textId="44F9A61B" w:rsidR="005173C4" w:rsidRPr="005173C4" w:rsidRDefault="005173C4">
          <w:pPr>
            <w:pStyle w:val="TOC1"/>
            <w:tabs>
              <w:tab w:val="right" w:leader="dot" w:pos="9016"/>
            </w:tabs>
            <w:rPr>
              <w:rFonts w:cs="Arial"/>
              <w:noProof/>
            </w:rPr>
          </w:pPr>
          <w:hyperlink w:anchor="_Toc223018317" w:history="1">
            <w:r w:rsidRPr="005173C4">
              <w:rPr>
                <w:rStyle w:val="Hyperlink"/>
                <w:rFonts w:cs="Arial"/>
                <w:noProof/>
              </w:rPr>
              <w:t>c) Explanation of multi-agency working</w:t>
            </w:r>
            <w:r w:rsidRPr="005173C4">
              <w:rPr>
                <w:rFonts w:cs="Arial"/>
                <w:noProof/>
                <w:webHidden/>
              </w:rPr>
              <w:tab/>
            </w:r>
            <w:r w:rsidR="00A05110">
              <w:rPr>
                <w:rFonts w:cs="Arial"/>
                <w:noProof/>
                <w:webHidden/>
              </w:rPr>
              <w:t>5</w:t>
            </w:r>
          </w:hyperlink>
        </w:p>
        <w:p w14:paraId="27017F86" w14:textId="41B61603" w:rsidR="005173C4" w:rsidRPr="005173C4" w:rsidRDefault="005173C4">
          <w:pPr>
            <w:pStyle w:val="TOC1"/>
            <w:tabs>
              <w:tab w:val="right" w:leader="dot" w:pos="9016"/>
            </w:tabs>
            <w:rPr>
              <w:rFonts w:cs="Arial"/>
              <w:noProof/>
            </w:rPr>
          </w:pPr>
          <w:hyperlink w:anchor="_Toc223018318" w:history="1">
            <w:r w:rsidRPr="005173C4">
              <w:rPr>
                <w:rStyle w:val="Hyperlink"/>
                <w:rFonts w:cs="Arial"/>
                <w:noProof/>
              </w:rPr>
              <w:t>d) An evaluation of each of your three local authority websites.</w:t>
            </w:r>
            <w:r w:rsidRPr="005173C4">
              <w:rPr>
                <w:rFonts w:cs="Arial"/>
                <w:noProof/>
                <w:webHidden/>
              </w:rPr>
              <w:tab/>
            </w:r>
            <w:r w:rsidR="00AB5A4B">
              <w:rPr>
                <w:rFonts w:cs="Arial"/>
                <w:noProof/>
                <w:webHidden/>
              </w:rPr>
              <w:t>6</w:t>
            </w:r>
          </w:hyperlink>
        </w:p>
        <w:p w14:paraId="7F860EBE" w14:textId="77777777" w:rsidR="005173C4" w:rsidRPr="005173C4" w:rsidRDefault="005173C4">
          <w:pPr>
            <w:pStyle w:val="TOC1"/>
            <w:tabs>
              <w:tab w:val="right" w:leader="dot" w:pos="9016"/>
            </w:tabs>
            <w:rPr>
              <w:rFonts w:cs="Arial"/>
              <w:noProof/>
            </w:rPr>
          </w:pPr>
          <w:hyperlink w:anchor="_Toc223018319" w:history="1">
            <w:r w:rsidRPr="005173C4">
              <w:rPr>
                <w:rStyle w:val="Hyperlink"/>
                <w:rFonts w:cs="Arial"/>
                <w:noProof/>
              </w:rPr>
              <w:t>e) A comparative Analysis</w:t>
            </w:r>
            <w:r w:rsidRPr="005173C4">
              <w:rPr>
                <w:rFonts w:cs="Arial"/>
                <w:noProof/>
                <w:webHidden/>
              </w:rPr>
              <w:tab/>
            </w:r>
            <w:r w:rsidRPr="005173C4">
              <w:rPr>
                <w:rFonts w:cs="Arial"/>
                <w:noProof/>
                <w:webHidden/>
              </w:rPr>
              <w:fldChar w:fldCharType="begin"/>
            </w:r>
            <w:r w:rsidRPr="005173C4">
              <w:rPr>
                <w:rFonts w:cs="Arial"/>
                <w:noProof/>
                <w:webHidden/>
              </w:rPr>
              <w:instrText xml:space="preserve"> PAGEREF _Toc223018319 \h </w:instrText>
            </w:r>
            <w:r w:rsidRPr="005173C4">
              <w:rPr>
                <w:rFonts w:cs="Arial"/>
                <w:noProof/>
                <w:webHidden/>
              </w:rPr>
            </w:r>
            <w:r w:rsidRPr="005173C4">
              <w:rPr>
                <w:rFonts w:cs="Arial"/>
                <w:noProof/>
                <w:webHidden/>
              </w:rPr>
              <w:fldChar w:fldCharType="separate"/>
            </w:r>
            <w:r w:rsidRPr="005173C4">
              <w:rPr>
                <w:rFonts w:cs="Arial"/>
                <w:noProof/>
                <w:webHidden/>
              </w:rPr>
              <w:t>7</w:t>
            </w:r>
            <w:r w:rsidRPr="005173C4">
              <w:rPr>
                <w:rFonts w:cs="Arial"/>
                <w:noProof/>
                <w:webHidden/>
              </w:rPr>
              <w:fldChar w:fldCharType="end"/>
            </w:r>
          </w:hyperlink>
        </w:p>
        <w:p w14:paraId="54F091C6" w14:textId="56E470C1" w:rsidR="005173C4" w:rsidRPr="005173C4" w:rsidRDefault="005173C4">
          <w:pPr>
            <w:pStyle w:val="TOC1"/>
            <w:tabs>
              <w:tab w:val="right" w:leader="dot" w:pos="9016"/>
            </w:tabs>
            <w:rPr>
              <w:rFonts w:cs="Arial"/>
              <w:noProof/>
            </w:rPr>
          </w:pPr>
          <w:hyperlink w:anchor="_Toc223018320" w:history="1">
            <w:r w:rsidRPr="005173C4">
              <w:rPr>
                <w:rStyle w:val="Hyperlink"/>
                <w:rFonts w:cs="Arial"/>
                <w:noProof/>
              </w:rPr>
              <w:t>f) Conclusion with recommendations for areas for improvement</w:t>
            </w:r>
            <w:r w:rsidRPr="005173C4">
              <w:rPr>
                <w:rFonts w:cs="Arial"/>
                <w:noProof/>
                <w:webHidden/>
              </w:rPr>
              <w:tab/>
            </w:r>
            <w:r w:rsidR="00AB5A4B">
              <w:rPr>
                <w:rFonts w:cs="Arial"/>
                <w:noProof/>
                <w:webHidden/>
              </w:rPr>
              <w:t>8</w:t>
            </w:r>
          </w:hyperlink>
        </w:p>
        <w:p w14:paraId="2C15316C" w14:textId="1F489084" w:rsidR="005173C4" w:rsidRPr="005173C4" w:rsidRDefault="005173C4">
          <w:pPr>
            <w:pStyle w:val="TOC1"/>
            <w:tabs>
              <w:tab w:val="right" w:leader="dot" w:pos="9016"/>
            </w:tabs>
            <w:rPr>
              <w:rFonts w:cs="Arial"/>
              <w:noProof/>
            </w:rPr>
          </w:pPr>
          <w:hyperlink w:anchor="_Toc223018321" w:history="1">
            <w:r w:rsidRPr="005173C4">
              <w:rPr>
                <w:rStyle w:val="Hyperlink"/>
                <w:rFonts w:cs="Arial"/>
                <w:noProof/>
              </w:rPr>
              <w:t>Reference List</w:t>
            </w:r>
            <w:r w:rsidRPr="005173C4">
              <w:rPr>
                <w:rFonts w:cs="Arial"/>
                <w:noProof/>
                <w:webHidden/>
              </w:rPr>
              <w:tab/>
            </w:r>
            <w:r w:rsidR="00AB5A4B">
              <w:rPr>
                <w:rFonts w:cs="Arial"/>
                <w:noProof/>
                <w:webHidden/>
              </w:rPr>
              <w:t>9-</w:t>
            </w:r>
            <w:r w:rsidRPr="005173C4">
              <w:rPr>
                <w:rFonts w:cs="Arial"/>
                <w:noProof/>
                <w:webHidden/>
              </w:rPr>
              <w:fldChar w:fldCharType="begin"/>
            </w:r>
            <w:r w:rsidRPr="005173C4">
              <w:rPr>
                <w:rFonts w:cs="Arial"/>
                <w:noProof/>
                <w:webHidden/>
              </w:rPr>
              <w:instrText xml:space="preserve"> PAGEREF _Toc223018321 \h </w:instrText>
            </w:r>
            <w:r w:rsidRPr="005173C4">
              <w:rPr>
                <w:rFonts w:cs="Arial"/>
                <w:noProof/>
                <w:webHidden/>
              </w:rPr>
            </w:r>
            <w:r w:rsidRPr="005173C4">
              <w:rPr>
                <w:rFonts w:cs="Arial"/>
                <w:noProof/>
                <w:webHidden/>
              </w:rPr>
              <w:fldChar w:fldCharType="separate"/>
            </w:r>
            <w:r w:rsidRPr="005173C4">
              <w:rPr>
                <w:rFonts w:cs="Arial"/>
                <w:noProof/>
                <w:webHidden/>
              </w:rPr>
              <w:t>1</w:t>
            </w:r>
            <w:r w:rsidR="00A05110">
              <w:rPr>
                <w:rFonts w:cs="Arial"/>
                <w:noProof/>
                <w:webHidden/>
              </w:rPr>
              <w:t>0</w:t>
            </w:r>
            <w:r w:rsidRPr="005173C4">
              <w:rPr>
                <w:rFonts w:cs="Arial"/>
                <w:noProof/>
                <w:webHidden/>
              </w:rPr>
              <w:fldChar w:fldCharType="end"/>
            </w:r>
          </w:hyperlink>
        </w:p>
        <w:p w14:paraId="4415C391" w14:textId="77777777" w:rsidR="005173C4" w:rsidRPr="005173C4" w:rsidRDefault="005173C4">
          <w:pPr>
            <w:rPr>
              <w:rFonts w:cs="Arial"/>
            </w:rPr>
          </w:pPr>
          <w:r w:rsidRPr="005173C4">
            <w:rPr>
              <w:rFonts w:cs="Arial"/>
              <w:b/>
              <w:bCs/>
              <w:noProof/>
            </w:rPr>
            <w:fldChar w:fldCharType="end"/>
          </w:r>
        </w:p>
      </w:sdtContent>
    </w:sdt>
    <w:p w14:paraId="11FC6885" w14:textId="77777777" w:rsidR="005173C4" w:rsidRPr="005173C4" w:rsidRDefault="005173C4">
      <w:pPr>
        <w:spacing w:line="259" w:lineRule="auto"/>
        <w:jc w:val="left"/>
        <w:rPr>
          <w:rFonts w:cs="Arial"/>
          <w:b/>
        </w:rPr>
      </w:pPr>
      <w:r w:rsidRPr="005173C4">
        <w:rPr>
          <w:rFonts w:cs="Arial"/>
          <w:b/>
        </w:rPr>
        <w:br w:type="page"/>
      </w:r>
    </w:p>
    <w:p w14:paraId="1B427DCD" w14:textId="464B212B" w:rsidR="00024CA9" w:rsidRDefault="00963C04" w:rsidP="005173C4">
      <w:pPr>
        <w:jc w:val="center"/>
        <w:rPr>
          <w:rFonts w:cs="Arial"/>
          <w:iCs/>
        </w:rPr>
      </w:pPr>
      <w:r w:rsidRPr="009507AA">
        <w:rPr>
          <w:rFonts w:cs="Arial"/>
          <w:bCs/>
        </w:rPr>
        <w:lastRenderedPageBreak/>
        <w:t>Title</w:t>
      </w:r>
      <w:r w:rsidRPr="005173C4">
        <w:rPr>
          <w:rFonts w:cs="Arial"/>
          <w:b/>
        </w:rPr>
        <w:t xml:space="preserve">– </w:t>
      </w:r>
      <w:r w:rsidRPr="008243C3">
        <w:rPr>
          <w:rFonts w:cs="Arial"/>
          <w:iCs/>
        </w:rPr>
        <w:t>An examination and analysis of how the ‘Early Help’ system is signposted to UK families by their local authority website</w:t>
      </w:r>
    </w:p>
    <w:p w14:paraId="3CFC7E33" w14:textId="77777777" w:rsidR="0088483E" w:rsidRPr="008243C3" w:rsidRDefault="0088483E" w:rsidP="005173C4">
      <w:pPr>
        <w:jc w:val="center"/>
        <w:rPr>
          <w:rFonts w:cs="Arial"/>
          <w:b/>
          <w:iCs/>
        </w:rPr>
      </w:pPr>
    </w:p>
    <w:p w14:paraId="60E0DFE3" w14:textId="77777777" w:rsidR="00024CA9" w:rsidRPr="007F6F48" w:rsidRDefault="00963C04" w:rsidP="00ED2238">
      <w:pPr>
        <w:pStyle w:val="Heading1"/>
        <w:rPr>
          <w:rFonts w:cs="Arial"/>
          <w:b w:val="0"/>
          <w:bCs/>
          <w:sz w:val="22"/>
          <w:szCs w:val="22"/>
        </w:rPr>
      </w:pPr>
      <w:bookmarkStart w:id="0" w:name="_Toc223018315"/>
      <w:r w:rsidRPr="007F6F48">
        <w:rPr>
          <w:rFonts w:cs="Arial"/>
          <w:b w:val="0"/>
          <w:bCs/>
          <w:sz w:val="22"/>
          <w:szCs w:val="22"/>
        </w:rPr>
        <w:t>a) Introduction</w:t>
      </w:r>
      <w:bookmarkEnd w:id="0"/>
      <w:r w:rsidRPr="007F6F48">
        <w:rPr>
          <w:rFonts w:cs="Arial"/>
          <w:b w:val="0"/>
          <w:bCs/>
          <w:sz w:val="22"/>
          <w:szCs w:val="22"/>
        </w:rPr>
        <w:t xml:space="preserve"> </w:t>
      </w:r>
    </w:p>
    <w:p w14:paraId="72D04011" w14:textId="77777777" w:rsidR="007F6F48" w:rsidRP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t>This report examines how the Early Help system is presented to families on the websites of Leicestershire County Council, Norfolk County Council and Staffordshire County Council. Early Help is an important part of safeguarding practice, as it aims to support children and their families at an early stage, before concerns develop into more serious issues.</w:t>
      </w:r>
    </w:p>
    <w:p w14:paraId="3A36BD65" w14:textId="77777777" w:rsidR="007F6F48" w:rsidRP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t>The report will outline the definition and purpose of Early Help, followed by an explanation of multi-agency working and its role in safeguarding. It will then evaluate how each website presents Early Help, focusing on accessibility, clarity of information, referral pathways and available services. A comparison of the three websites will highlight key strengths and weaknesses before drawing an overall conclusion.</w:t>
      </w:r>
    </w:p>
    <w:p w14:paraId="3A1DC7C6" w14:textId="76EFF174" w:rsidR="007F6F48" w:rsidRP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t>From a practical perspective, the way information is presented online can influence whether families feel able to seek help. Clear and accessible websites can encourage early engagement, while complex or unclear information may act as a barrier.</w:t>
      </w:r>
    </w:p>
    <w:p w14:paraId="2385C2D6" w14:textId="77777777" w:rsidR="007F6F48" w:rsidRPr="007F6F48" w:rsidRDefault="007F6F48" w:rsidP="007F6F48">
      <w:pPr>
        <w:spacing w:before="100" w:beforeAutospacing="1" w:after="100" w:afterAutospacing="1"/>
        <w:outlineLvl w:val="1"/>
        <w:rPr>
          <w:rFonts w:eastAsia="Times New Roman" w:cs="Arial"/>
          <w:lang w:val="en-GB" w:eastAsia="en-GB"/>
        </w:rPr>
      </w:pPr>
      <w:r w:rsidRPr="007F6F48">
        <w:rPr>
          <w:rFonts w:eastAsia="Times New Roman" w:cs="Arial"/>
          <w:lang w:val="en-GB" w:eastAsia="en-GB"/>
        </w:rPr>
        <w:t>b) Explanation of the Early Help System</w:t>
      </w:r>
    </w:p>
    <w:p w14:paraId="5D903F4B" w14:textId="77777777" w:rsidR="007F6F48" w:rsidRPr="007F6F48" w:rsidRDefault="007F6F48" w:rsidP="007F6F48">
      <w:pPr>
        <w:spacing w:before="100" w:beforeAutospacing="1" w:after="100" w:afterAutospacing="1"/>
        <w:outlineLvl w:val="2"/>
        <w:rPr>
          <w:rFonts w:eastAsia="Times New Roman" w:cs="Arial"/>
          <w:lang w:val="en-GB" w:eastAsia="en-GB"/>
        </w:rPr>
      </w:pPr>
      <w:r w:rsidRPr="007F6F48">
        <w:rPr>
          <w:rFonts w:eastAsia="Times New Roman" w:cs="Arial"/>
          <w:lang w:val="en-GB" w:eastAsia="en-GB"/>
        </w:rPr>
        <w:t>Definition and Aims of Early Help</w:t>
      </w:r>
    </w:p>
    <w:p w14:paraId="01D8F8E4" w14:textId="77777777" w:rsidR="007F6F48" w:rsidRP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t>Early Help refers to support provided to children, young people and families when difficulties first begin to emerge. Its main aim is to prevent problems from escalating and to improve long-term outcomes (Ashworth et al., 2025). This approach recognises that early intervention is often more effective than responding at a later stage when issues have become more complex.</w:t>
      </w:r>
    </w:p>
    <w:p w14:paraId="7BD0F1BB" w14:textId="77777777" w:rsidR="007F6F48" w:rsidRP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t>Across England, Early Help services are typically available to children up to the age of 18, and up to 25 for those with special educational needs and disabilities (SEND). For example, Norfolk County Council explains that support can begin during pregnancy and continue into early adulthood where necessary.</w:t>
      </w:r>
    </w:p>
    <w:p w14:paraId="562861CA" w14:textId="4230A697" w:rsidR="007F6F48" w:rsidRP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t>In practice, Early Help is not only about addressing immediate concerns but also about building resilience within families. By offering guidance, support and access to services, it enables families to manage challenges more confidently over time.</w:t>
      </w:r>
    </w:p>
    <w:p w14:paraId="663C570D" w14:textId="77777777" w:rsidR="007F6F48" w:rsidRPr="007F6F48" w:rsidRDefault="007F6F48" w:rsidP="007F6F48">
      <w:pPr>
        <w:spacing w:before="100" w:beforeAutospacing="1" w:after="100" w:afterAutospacing="1"/>
        <w:outlineLvl w:val="2"/>
        <w:rPr>
          <w:rFonts w:eastAsia="Times New Roman" w:cs="Arial"/>
          <w:lang w:val="en-GB" w:eastAsia="en-GB"/>
        </w:rPr>
      </w:pPr>
      <w:r w:rsidRPr="007F6F48">
        <w:rPr>
          <w:rFonts w:eastAsia="Times New Roman" w:cs="Arial"/>
          <w:lang w:val="en-GB" w:eastAsia="en-GB"/>
        </w:rPr>
        <w:lastRenderedPageBreak/>
        <w:t>Principles of Early Intervention</w:t>
      </w:r>
    </w:p>
    <w:p w14:paraId="33E4714E" w14:textId="77777777" w:rsidR="007F6F48" w:rsidRP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t>Early intervention is based on prevention, early identification of need and timely support. The focus is on recognising potential issues as early as possible and providing appropriate assistance before they worsen.</w:t>
      </w:r>
    </w:p>
    <w:p w14:paraId="5DDB802C" w14:textId="77777777" w:rsidR="007F6F48" w:rsidRP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t>Support can include parenting advice, school-related issues, emotional wellbeing, domestic abuse, housing concerns and financial difficulties. Leicestershire County Council promotes a whole-family approach, recognising that challenges within a family are often interconnected (Abulaiti et al., 2022).</w:t>
      </w:r>
    </w:p>
    <w:p w14:paraId="12FC7BC6" w14:textId="5BB37BFA" w:rsidR="007F6F48" w:rsidRP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t>It could be argued that this approach is particularly effective, as addressing the wider family context can lead to more sustainable and positive outcomes for children. Early support can reduce the likelihood of long-term difficulties and improve overall wellbeing.</w:t>
      </w:r>
    </w:p>
    <w:p w14:paraId="7B25293A" w14:textId="77777777" w:rsidR="007F6F48" w:rsidRPr="007F6F48" w:rsidRDefault="007F6F48" w:rsidP="007F6F48">
      <w:pPr>
        <w:spacing w:before="100" w:beforeAutospacing="1" w:after="100" w:afterAutospacing="1"/>
        <w:outlineLvl w:val="2"/>
        <w:rPr>
          <w:rFonts w:eastAsia="Times New Roman" w:cs="Arial"/>
          <w:lang w:val="en-GB" w:eastAsia="en-GB"/>
        </w:rPr>
      </w:pPr>
      <w:r w:rsidRPr="007F6F48">
        <w:rPr>
          <w:rFonts w:eastAsia="Times New Roman" w:cs="Arial"/>
          <w:lang w:val="en-GB" w:eastAsia="en-GB"/>
        </w:rPr>
        <w:t>The Early Help System Guide</w:t>
      </w:r>
    </w:p>
    <w:p w14:paraId="5BAB8F27" w14:textId="77777777" w:rsidR="007F6F48" w:rsidRP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t>The Early Help System Guide provides a framework for how local authorities should design and deliver Early Help services (Gov.uk, 2022). It promotes a strengths-based approach, which focuses on building on what families are already doing well rather than only identifying problems.</w:t>
      </w:r>
    </w:p>
    <w:p w14:paraId="5F9FB963" w14:textId="77777777" w:rsidR="007F6F48" w:rsidRP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t>The guide also highlights the importance of shared assessments and open referral pathways. This ensures that families can access support more easily and that services work together effectively. Multi-agency collaboration is a key element, allowing different professionals to coordinate their support.</w:t>
      </w:r>
    </w:p>
    <w:p w14:paraId="184E17B5" w14:textId="3A895939" w:rsidR="007F6F48" w:rsidRP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t>Accessibility is another important principle. Families should be able to find information easily and understand how to access support without feeling judged or stigmatised.</w:t>
      </w:r>
    </w:p>
    <w:p w14:paraId="06F03BCC" w14:textId="77777777" w:rsidR="007F6F48" w:rsidRPr="007F6F48" w:rsidRDefault="007F6F48" w:rsidP="007F6F48">
      <w:pPr>
        <w:spacing w:before="100" w:beforeAutospacing="1" w:after="100" w:afterAutospacing="1"/>
        <w:outlineLvl w:val="2"/>
        <w:rPr>
          <w:rFonts w:eastAsia="Times New Roman" w:cs="Arial"/>
          <w:lang w:val="en-GB" w:eastAsia="en-GB"/>
        </w:rPr>
      </w:pPr>
      <w:r w:rsidRPr="007F6F48">
        <w:rPr>
          <w:rFonts w:eastAsia="Times New Roman" w:cs="Arial"/>
          <w:lang w:val="en-GB" w:eastAsia="en-GB"/>
        </w:rPr>
        <w:t>Early Help within Working Together to Safeguard Children (2023)</w:t>
      </w:r>
    </w:p>
    <w:p w14:paraId="4932A7B2" w14:textId="77777777" w:rsidR="007F6F48" w:rsidRP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t>Early Help is a central component of Working Together to Safeguard Children 2023, which sets out statutory guidance for safeguarding children in England. The framework emphasises the importance of early intervention in preventing harm.</w:t>
      </w:r>
    </w:p>
    <w:p w14:paraId="37584669" w14:textId="77777777" w:rsidR="007F6F48" w:rsidRP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t xml:space="preserve">It requires local authorities, health services and the police to work together to identify needs early and provide coordinated support. For instance, Staffordshire County Council highlights </w:t>
      </w:r>
      <w:r w:rsidRPr="007F6F48">
        <w:rPr>
          <w:rFonts w:eastAsia="Times New Roman" w:cs="Arial"/>
          <w:lang w:val="en-GB" w:eastAsia="en-GB"/>
        </w:rPr>
        <w:lastRenderedPageBreak/>
        <w:t>that Early Help aims to support families before concerns reach the threshold for statutory intervention.</w:t>
      </w:r>
    </w:p>
    <w:p w14:paraId="099C0FA8" w14:textId="4F4E45B7" w:rsidR="007F6F48" w:rsidRP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t>This reflects the broader principle that safeguarding should be proactive rather than reactive, focusing on prevention as well as protection.</w:t>
      </w:r>
    </w:p>
    <w:p w14:paraId="431163B1" w14:textId="77777777" w:rsidR="007F6F48" w:rsidRPr="007F6F48" w:rsidRDefault="007F6F48" w:rsidP="007F6F48">
      <w:pPr>
        <w:spacing w:before="100" w:beforeAutospacing="1" w:after="100" w:afterAutospacing="1"/>
        <w:outlineLvl w:val="1"/>
        <w:rPr>
          <w:rFonts w:eastAsia="Times New Roman" w:cs="Arial"/>
          <w:lang w:val="en-GB" w:eastAsia="en-GB"/>
        </w:rPr>
      </w:pPr>
      <w:r w:rsidRPr="007F6F48">
        <w:rPr>
          <w:rFonts w:eastAsia="Times New Roman" w:cs="Arial"/>
          <w:lang w:val="en-GB" w:eastAsia="en-GB"/>
        </w:rPr>
        <w:t>c) Explanation of Multi-Agency Working</w:t>
      </w:r>
    </w:p>
    <w:p w14:paraId="0D2A57F8" w14:textId="77777777" w:rsidR="007F6F48" w:rsidRPr="007F6F48" w:rsidRDefault="007F6F48" w:rsidP="007F6F48">
      <w:pPr>
        <w:spacing w:before="100" w:beforeAutospacing="1" w:after="100" w:afterAutospacing="1"/>
        <w:outlineLvl w:val="2"/>
        <w:rPr>
          <w:rFonts w:eastAsia="Times New Roman" w:cs="Arial"/>
          <w:lang w:val="en-GB" w:eastAsia="en-GB"/>
        </w:rPr>
      </w:pPr>
      <w:r w:rsidRPr="007F6F48">
        <w:rPr>
          <w:rFonts w:eastAsia="Times New Roman" w:cs="Arial"/>
          <w:lang w:val="en-GB" w:eastAsia="en-GB"/>
        </w:rPr>
        <w:t>Definition of Multi-Agency Working</w:t>
      </w:r>
    </w:p>
    <w:p w14:paraId="2C7D7054" w14:textId="77777777" w:rsidR="007F6F48" w:rsidRP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t>Multi-agency working refers to collaboration between different professionals and organisations to support and safeguard children and families (Ball et al., 2024). This includes local authorities, schools, health services, police and voluntary organisations.</w:t>
      </w:r>
    </w:p>
    <w:p w14:paraId="53088188" w14:textId="79DA4999" w:rsidR="007F6F48" w:rsidRP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t>The purpose of this approach is to share knowledge, skills and resources to gain a full understanding of each situation. By working together, agencies can provide more effective and coordinated support.</w:t>
      </w:r>
    </w:p>
    <w:p w14:paraId="085E3027" w14:textId="77777777" w:rsidR="007F6F48" w:rsidRPr="007F6F48" w:rsidRDefault="007F6F48" w:rsidP="007F6F48">
      <w:pPr>
        <w:spacing w:before="100" w:beforeAutospacing="1" w:after="100" w:afterAutospacing="1"/>
        <w:outlineLvl w:val="2"/>
        <w:rPr>
          <w:rFonts w:eastAsia="Times New Roman" w:cs="Arial"/>
          <w:lang w:val="en-GB" w:eastAsia="en-GB"/>
        </w:rPr>
      </w:pPr>
      <w:r w:rsidRPr="007F6F48">
        <w:rPr>
          <w:rFonts w:eastAsia="Times New Roman" w:cs="Arial"/>
          <w:lang w:val="en-GB" w:eastAsia="en-GB"/>
        </w:rPr>
        <w:t>Statutory Responsibilities under the Children Act 2004</w:t>
      </w:r>
    </w:p>
    <w:p w14:paraId="2069F14E" w14:textId="77777777" w:rsidR="007F6F48" w:rsidRP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t>The Children Act 2004 places a legal duty on organisations to safeguard and promote the welfare of children. It requires agencies to work together and share relevant information where necessary.</w:t>
      </w:r>
    </w:p>
    <w:p w14:paraId="0EF9DD84" w14:textId="1707A245" w:rsidR="007F6F48" w:rsidRP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t>In practice, this can be challenging, as professionals must balance confidentiality with the need to protect children. However, effective collaboration is essential to ensure that risks are identified early and appropriate support is provided.</w:t>
      </w:r>
    </w:p>
    <w:p w14:paraId="22B3D1D8" w14:textId="77777777" w:rsidR="007F6F48" w:rsidRPr="007F6F48" w:rsidRDefault="007F6F48" w:rsidP="007F6F48">
      <w:pPr>
        <w:spacing w:before="100" w:beforeAutospacing="1" w:after="100" w:afterAutospacing="1"/>
        <w:outlineLvl w:val="2"/>
        <w:rPr>
          <w:rFonts w:eastAsia="Times New Roman" w:cs="Arial"/>
          <w:lang w:val="en-GB" w:eastAsia="en-GB"/>
        </w:rPr>
      </w:pPr>
      <w:r w:rsidRPr="007F6F48">
        <w:rPr>
          <w:rFonts w:eastAsia="Times New Roman" w:cs="Arial"/>
          <w:lang w:val="en-GB" w:eastAsia="en-GB"/>
        </w:rPr>
        <w:t>Role of Safeguarding Partnerships</w:t>
      </w:r>
    </w:p>
    <w:p w14:paraId="67860A7B" w14:textId="77777777" w:rsidR="007F6F48" w:rsidRP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t>Safeguarding partnerships are responsible for coordinating multi-agency working at a local level under Working Together to Safeguard Children 2023 (Hale et al., 2024). These partnerships bring together local authorities, police and health services.</w:t>
      </w:r>
    </w:p>
    <w:p w14:paraId="522C160B" w14:textId="1E808B9A" w:rsidR="007F6F48" w:rsidRDefault="007F6F48" w:rsidP="00635BAD">
      <w:pPr>
        <w:spacing w:before="100" w:beforeAutospacing="1" w:after="100" w:afterAutospacing="1"/>
        <w:rPr>
          <w:rFonts w:eastAsia="Times New Roman" w:cs="Arial"/>
          <w:lang w:val="en-GB" w:eastAsia="en-GB"/>
        </w:rPr>
      </w:pPr>
      <w:r w:rsidRPr="007F6F48">
        <w:rPr>
          <w:rFonts w:eastAsia="Times New Roman" w:cs="Arial"/>
          <w:lang w:val="en-GB" w:eastAsia="en-GB"/>
        </w:rPr>
        <w:t>Their role includes assessing local needs, planning services, monitoring outcomes and ensuring that Early Help is effective. They also have a responsibility to ensure that clear information is available so that families and professionals understand how to access support.</w:t>
      </w:r>
    </w:p>
    <w:p w14:paraId="6A320F61" w14:textId="77777777" w:rsidR="00635BAD" w:rsidRPr="007F6F48" w:rsidRDefault="00635BAD" w:rsidP="00635BAD">
      <w:pPr>
        <w:spacing w:before="100" w:beforeAutospacing="1" w:after="100" w:afterAutospacing="1"/>
        <w:rPr>
          <w:rFonts w:eastAsia="Times New Roman" w:cs="Arial"/>
          <w:lang w:val="en-GB" w:eastAsia="en-GB"/>
        </w:rPr>
      </w:pPr>
    </w:p>
    <w:p w14:paraId="0056858F" w14:textId="77777777" w:rsidR="007F6F48" w:rsidRPr="007F6F48" w:rsidRDefault="007F6F48" w:rsidP="007F6F48">
      <w:pPr>
        <w:spacing w:before="100" w:beforeAutospacing="1" w:after="100" w:afterAutospacing="1"/>
        <w:outlineLvl w:val="2"/>
        <w:rPr>
          <w:rFonts w:eastAsia="Times New Roman" w:cs="Arial"/>
          <w:lang w:val="en-GB" w:eastAsia="en-GB"/>
        </w:rPr>
      </w:pPr>
      <w:r w:rsidRPr="007F6F48">
        <w:rPr>
          <w:rFonts w:eastAsia="Times New Roman" w:cs="Arial"/>
          <w:lang w:val="en-GB" w:eastAsia="en-GB"/>
        </w:rPr>
        <w:lastRenderedPageBreak/>
        <w:t>Effectiveness of Information Sharing and Collaboration</w:t>
      </w:r>
    </w:p>
    <w:p w14:paraId="124E5F19" w14:textId="77777777" w:rsidR="007F6F48" w:rsidRP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t>Effective information sharing is essential for successful multi-agency working (Mageto and Luke, 2024). Professionals need to share relevant information to identify risks early while maintaining confidentiality.</w:t>
      </w:r>
    </w:p>
    <w:p w14:paraId="63A2F2A3" w14:textId="77777777" w:rsidR="007F6F48" w:rsidRP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t>For example, a teacher or health visitor may raise concerns about a child’s wellbeing, which can then be shared with other services to provide early support. Without effective communication, important needs may be overlooked.</w:t>
      </w:r>
    </w:p>
    <w:p w14:paraId="162FFAA4" w14:textId="5751B676" w:rsidR="007F6F48" w:rsidRPr="007F6F48" w:rsidRDefault="007F6F48" w:rsidP="00635BAD">
      <w:pPr>
        <w:spacing w:before="100" w:beforeAutospacing="1" w:after="100" w:afterAutospacing="1"/>
        <w:rPr>
          <w:rFonts w:eastAsia="Times New Roman" w:cs="Arial"/>
          <w:lang w:val="en-GB" w:eastAsia="en-GB"/>
        </w:rPr>
      </w:pPr>
      <w:r w:rsidRPr="007F6F48">
        <w:rPr>
          <w:rFonts w:eastAsia="Times New Roman" w:cs="Arial"/>
          <w:lang w:val="en-GB" w:eastAsia="en-GB"/>
        </w:rPr>
        <w:t>As highlighted in Working Together to Safeguard Children 2023, poor collaboration can result in gaps in services and missed opportunities for early intervention. This demonstrates the importance of coordinated working across agencies.</w:t>
      </w:r>
    </w:p>
    <w:p w14:paraId="49AF1010" w14:textId="77777777" w:rsidR="007F6F48" w:rsidRPr="007F6F48" w:rsidRDefault="007F6F48" w:rsidP="007F6F48">
      <w:pPr>
        <w:spacing w:before="100" w:beforeAutospacing="1" w:after="100" w:afterAutospacing="1"/>
        <w:outlineLvl w:val="1"/>
        <w:rPr>
          <w:rFonts w:eastAsia="Times New Roman" w:cs="Arial"/>
          <w:lang w:val="en-GB" w:eastAsia="en-GB"/>
        </w:rPr>
      </w:pPr>
      <w:r w:rsidRPr="007F6F48">
        <w:rPr>
          <w:rFonts w:eastAsia="Times New Roman" w:cs="Arial"/>
          <w:lang w:val="en-GB" w:eastAsia="en-GB"/>
        </w:rPr>
        <w:t>d) Evaluation of Local Authority Websites</w:t>
      </w:r>
    </w:p>
    <w:p w14:paraId="5C080F47" w14:textId="77777777" w:rsidR="007F6F48" w:rsidRPr="007F6F48" w:rsidRDefault="007F6F48" w:rsidP="007F6F48">
      <w:pPr>
        <w:spacing w:before="100" w:beforeAutospacing="1" w:after="100" w:afterAutospacing="1"/>
        <w:outlineLvl w:val="2"/>
        <w:rPr>
          <w:rFonts w:eastAsia="Times New Roman" w:cs="Arial"/>
          <w:lang w:val="en-GB" w:eastAsia="en-GB"/>
        </w:rPr>
      </w:pPr>
      <w:r w:rsidRPr="007F6F48">
        <w:rPr>
          <w:rFonts w:eastAsia="Times New Roman" w:cs="Arial"/>
          <w:lang w:val="en-GB" w:eastAsia="en-GB"/>
        </w:rPr>
        <w:t>Leicestershire County Council</w:t>
      </w:r>
    </w:p>
    <w:p w14:paraId="3C3EEBFD" w14:textId="77777777" w:rsidR="007F6F48" w:rsidRP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t>Leicestershire’s website provides detailed information about Early Help within its Family Support and Children’s Services section. However, the navigation can be difficult, as users need to go through several pages to access relevant information.</w:t>
      </w:r>
    </w:p>
    <w:p w14:paraId="54F0108A" w14:textId="77777777" w:rsidR="007F6F48" w:rsidRP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t>The website relies heavily on long documents rather than clear summaries, which may make it less accessible for families. While the information is thorough, the use of technical language may limit understanding for those without professional knowledge.</w:t>
      </w:r>
    </w:p>
    <w:p w14:paraId="18B770DA" w14:textId="77777777" w:rsidR="007F6F48" w:rsidRP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t>Referral pathways are mainly explained through professionals, such as schools and health visitors. Self-referral options are less visible, which may discourage families from seeking help directly.</w:t>
      </w:r>
    </w:p>
    <w:p w14:paraId="1CD3C815" w14:textId="2DE63209" w:rsidR="007F6F48" w:rsidRPr="007F6F48" w:rsidRDefault="007F6F48" w:rsidP="00635BAD">
      <w:pPr>
        <w:spacing w:before="100" w:beforeAutospacing="1" w:after="100" w:afterAutospacing="1"/>
        <w:rPr>
          <w:rFonts w:eastAsia="Times New Roman" w:cs="Arial"/>
          <w:lang w:val="en-GB" w:eastAsia="en-GB"/>
        </w:rPr>
      </w:pPr>
      <w:r w:rsidRPr="007F6F48">
        <w:rPr>
          <w:rFonts w:eastAsia="Times New Roman" w:cs="Arial"/>
          <w:lang w:val="en-GB" w:eastAsia="en-GB"/>
        </w:rPr>
        <w:t>Although a range of support services is available, these are spread across different pages, making it harder for users to find the help they need quickly.</w:t>
      </w:r>
    </w:p>
    <w:p w14:paraId="03AF7EC9" w14:textId="77777777" w:rsidR="007F6F48" w:rsidRPr="007F6F48" w:rsidRDefault="007F6F48" w:rsidP="007F6F48">
      <w:pPr>
        <w:spacing w:before="100" w:beforeAutospacing="1" w:after="100" w:afterAutospacing="1"/>
        <w:outlineLvl w:val="2"/>
        <w:rPr>
          <w:rFonts w:eastAsia="Times New Roman" w:cs="Arial"/>
          <w:lang w:val="en-GB" w:eastAsia="en-GB"/>
        </w:rPr>
      </w:pPr>
      <w:r w:rsidRPr="007F6F48">
        <w:rPr>
          <w:rFonts w:eastAsia="Times New Roman" w:cs="Arial"/>
          <w:lang w:val="en-GB" w:eastAsia="en-GB"/>
        </w:rPr>
        <w:t>Norfolk County Council</w:t>
      </w:r>
    </w:p>
    <w:p w14:paraId="7E9F9E7C" w14:textId="77777777" w:rsidR="007F6F48" w:rsidRP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t>Norfolk’s website is clear, well organised and easy to navigate. Early Help information is prominently displayed, allowing users to access it quickly.</w:t>
      </w:r>
    </w:p>
    <w:p w14:paraId="4C900776" w14:textId="77777777" w:rsidR="007F6F48" w:rsidRP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t>The language used is simple and accessible, making it suitable for a wide audience. The website clearly explains what Early Help is and how families can access support.</w:t>
      </w:r>
    </w:p>
    <w:p w14:paraId="4C7B22FE" w14:textId="77777777" w:rsidR="007F6F48" w:rsidRP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lastRenderedPageBreak/>
        <w:t>Referral pathways are clearly outlined, with visible self-referral options and direct contact details. This reduces barriers and encourages early engagement.</w:t>
      </w:r>
    </w:p>
    <w:p w14:paraId="5D2B08AE" w14:textId="5156BC2D" w:rsidR="007F6F48" w:rsidRPr="007F6F48" w:rsidRDefault="007F6F48" w:rsidP="00635BAD">
      <w:pPr>
        <w:spacing w:before="100" w:beforeAutospacing="1" w:after="100" w:afterAutospacing="1"/>
        <w:rPr>
          <w:rFonts w:eastAsia="Times New Roman" w:cs="Arial"/>
          <w:lang w:val="en-GB" w:eastAsia="en-GB"/>
        </w:rPr>
      </w:pPr>
      <w:r w:rsidRPr="007F6F48">
        <w:rPr>
          <w:rFonts w:eastAsia="Times New Roman" w:cs="Arial"/>
          <w:lang w:val="en-GB" w:eastAsia="en-GB"/>
        </w:rPr>
        <w:t>In addition, related services are grouped into clear categories, which helps users find relevant support more easily. However, some users may require more detailed information beyond the basic overview provided.</w:t>
      </w:r>
    </w:p>
    <w:p w14:paraId="56F8EF80" w14:textId="77777777" w:rsidR="007F6F48" w:rsidRPr="007F6F48" w:rsidRDefault="007F6F48" w:rsidP="007F6F48">
      <w:pPr>
        <w:spacing w:before="100" w:beforeAutospacing="1" w:after="100" w:afterAutospacing="1"/>
        <w:outlineLvl w:val="2"/>
        <w:rPr>
          <w:rFonts w:eastAsia="Times New Roman" w:cs="Arial"/>
          <w:lang w:val="en-GB" w:eastAsia="en-GB"/>
        </w:rPr>
      </w:pPr>
      <w:r w:rsidRPr="007F6F48">
        <w:rPr>
          <w:rFonts w:eastAsia="Times New Roman" w:cs="Arial"/>
          <w:lang w:val="en-GB" w:eastAsia="en-GB"/>
        </w:rPr>
        <w:t>Staffordshire County Council</w:t>
      </w:r>
    </w:p>
    <w:p w14:paraId="2708D7BF" w14:textId="77777777" w:rsidR="007F6F48" w:rsidRP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t>Staffordshire’s website provides a balanced approach, offering both clear explanations and useful detail. Early Help information is accessible through the Children and Families section, although some navigation is required.</w:t>
      </w:r>
    </w:p>
    <w:p w14:paraId="1949707D" w14:textId="77777777" w:rsidR="007F6F48" w:rsidRP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t>The content is generally easy to understand and includes examples of how services support families. Referral information is available, but self-referral options are less prominent compared to Norfolk.</w:t>
      </w:r>
    </w:p>
    <w:p w14:paraId="431B7291" w14:textId="056842F0" w:rsidR="007F6F48" w:rsidRPr="007F6F48" w:rsidRDefault="007F6F48" w:rsidP="00635BAD">
      <w:pPr>
        <w:spacing w:before="100" w:beforeAutospacing="1" w:after="100" w:afterAutospacing="1"/>
        <w:rPr>
          <w:rFonts w:eastAsia="Times New Roman" w:cs="Arial"/>
          <w:lang w:val="en-GB" w:eastAsia="en-GB"/>
        </w:rPr>
      </w:pPr>
      <w:r w:rsidRPr="007F6F48">
        <w:rPr>
          <w:rFonts w:eastAsia="Times New Roman" w:cs="Arial"/>
          <w:lang w:val="en-GB" w:eastAsia="en-GB"/>
        </w:rPr>
        <w:t>The website includes a range of support services organised under clear headings. While effective, the addition of more visual features could further improve accessibility and user experience.</w:t>
      </w:r>
    </w:p>
    <w:p w14:paraId="0F070004" w14:textId="77777777" w:rsidR="007F6F48" w:rsidRPr="007F6F48" w:rsidRDefault="007F6F48" w:rsidP="007F6F48">
      <w:pPr>
        <w:spacing w:before="100" w:beforeAutospacing="1" w:after="100" w:afterAutospacing="1"/>
        <w:outlineLvl w:val="1"/>
        <w:rPr>
          <w:rFonts w:eastAsia="Times New Roman" w:cs="Arial"/>
          <w:lang w:val="en-GB" w:eastAsia="en-GB"/>
        </w:rPr>
      </w:pPr>
      <w:r w:rsidRPr="007F6F48">
        <w:rPr>
          <w:rFonts w:eastAsia="Times New Roman" w:cs="Arial"/>
          <w:lang w:val="en-GB" w:eastAsia="en-GB"/>
        </w:rPr>
        <w:t>e) Comparative Analysis</w:t>
      </w:r>
    </w:p>
    <w:p w14:paraId="1A985D0B" w14:textId="77777777" w:rsidR="007F6F48" w:rsidRP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t>Overall, Norfolk County Council provides the most accessible and user-friendly website. Its clear layout and simple language make it easier for families to find and understand information.</w:t>
      </w:r>
    </w:p>
    <w:p w14:paraId="62361C53" w14:textId="77777777" w:rsidR="007F6F48" w:rsidRP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t>Staffordshire County Council offers a balanced approach, combining accessibility with useful detail. In contrast, Leicestershire County Council provides more comprehensive information but is less accessible due to complex navigation and technical language.</w:t>
      </w:r>
    </w:p>
    <w:p w14:paraId="50E9983C" w14:textId="77777777" w:rsid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t>This comparison highlights the importance of balancing detail with accessibility. While detailed information is valuable, it must also be easy to understand and navigate, particularly for families who may already be facing challenges.</w:t>
      </w:r>
    </w:p>
    <w:p w14:paraId="079A944C" w14:textId="77777777" w:rsidR="00635BAD" w:rsidRDefault="00635BAD" w:rsidP="007F6F48">
      <w:pPr>
        <w:spacing w:before="100" w:beforeAutospacing="1" w:after="100" w:afterAutospacing="1"/>
        <w:rPr>
          <w:rFonts w:eastAsia="Times New Roman" w:cs="Arial"/>
          <w:lang w:val="en-GB" w:eastAsia="en-GB"/>
        </w:rPr>
      </w:pPr>
    </w:p>
    <w:p w14:paraId="09A8EEFF" w14:textId="77777777" w:rsidR="00635BAD" w:rsidRPr="007F6F48" w:rsidRDefault="00635BAD" w:rsidP="007F6F48">
      <w:pPr>
        <w:spacing w:before="100" w:beforeAutospacing="1" w:after="100" w:afterAutospacing="1"/>
        <w:rPr>
          <w:rFonts w:eastAsia="Times New Roman" w:cs="Arial"/>
          <w:lang w:val="en-GB" w:eastAsia="en-GB"/>
        </w:rPr>
      </w:pPr>
    </w:p>
    <w:p w14:paraId="2C8207D8" w14:textId="0BDCAD82" w:rsidR="007F6F48" w:rsidRPr="007F6F48" w:rsidRDefault="007F6F48" w:rsidP="007F6F48">
      <w:pPr>
        <w:spacing w:after="0"/>
        <w:rPr>
          <w:rFonts w:eastAsia="Times New Roman" w:cs="Arial"/>
          <w:lang w:val="en-GB" w:eastAsia="en-GB"/>
        </w:rPr>
      </w:pPr>
    </w:p>
    <w:p w14:paraId="52568A44" w14:textId="50E2B797" w:rsidR="00647111" w:rsidRPr="00647111" w:rsidRDefault="007F6F48" w:rsidP="00647111">
      <w:pPr>
        <w:pStyle w:val="Heading1"/>
        <w:rPr>
          <w:rFonts w:cs="Arial"/>
          <w:b w:val="0"/>
          <w:bCs/>
        </w:rPr>
      </w:pPr>
      <w:r w:rsidRPr="007F6F48">
        <w:rPr>
          <w:rFonts w:eastAsia="Times New Roman" w:cs="Arial"/>
          <w:sz w:val="22"/>
          <w:szCs w:val="22"/>
          <w:lang w:val="en-GB" w:eastAsia="en-GB"/>
        </w:rPr>
        <w:lastRenderedPageBreak/>
        <w:t xml:space="preserve">f) </w:t>
      </w:r>
      <w:r w:rsidRPr="007F6F48">
        <w:rPr>
          <w:rFonts w:eastAsia="Times New Roman" w:cs="Arial"/>
          <w:b w:val="0"/>
          <w:bCs/>
          <w:sz w:val="22"/>
          <w:szCs w:val="22"/>
          <w:lang w:val="en-GB" w:eastAsia="en-GB"/>
        </w:rPr>
        <w:t>Conclusion and Recommendations</w:t>
      </w:r>
      <w:r w:rsidR="00647111" w:rsidRPr="00647111">
        <w:rPr>
          <w:rFonts w:cs="Arial"/>
          <w:b w:val="0"/>
          <w:bCs/>
        </w:rPr>
        <w:t>)</w:t>
      </w:r>
    </w:p>
    <w:p w14:paraId="1373BF57" w14:textId="116CB9CE" w:rsidR="007F6F48" w:rsidRPr="007F6F48" w:rsidRDefault="007F6F48" w:rsidP="00647111">
      <w:pPr>
        <w:spacing w:line="259" w:lineRule="auto"/>
        <w:jc w:val="left"/>
        <w:rPr>
          <w:rFonts w:eastAsia="Times New Roman" w:cs="Arial"/>
          <w:szCs w:val="24"/>
          <w:lang w:eastAsia="en-IN"/>
        </w:rPr>
      </w:pPr>
    </w:p>
    <w:p w14:paraId="5A802639" w14:textId="77777777" w:rsidR="007F6F48" w:rsidRPr="007F6F48" w:rsidRDefault="007F6F48" w:rsidP="007F6F48">
      <w:pPr>
        <w:spacing w:before="100" w:beforeAutospacing="1" w:after="100" w:afterAutospacing="1"/>
        <w:outlineLvl w:val="2"/>
        <w:rPr>
          <w:rFonts w:eastAsia="Times New Roman" w:cs="Arial"/>
          <w:lang w:val="en-GB" w:eastAsia="en-GB"/>
        </w:rPr>
      </w:pPr>
      <w:r w:rsidRPr="007F6F48">
        <w:rPr>
          <w:rFonts w:eastAsia="Times New Roman" w:cs="Arial"/>
          <w:lang w:val="en-GB" w:eastAsia="en-GB"/>
        </w:rPr>
        <w:t>Conclusion</w:t>
      </w:r>
    </w:p>
    <w:p w14:paraId="01474CB3" w14:textId="77777777" w:rsidR="007F6F48" w:rsidRPr="007F6F48" w:rsidRDefault="007F6F48" w:rsidP="007F6F48">
      <w:pPr>
        <w:spacing w:before="100" w:beforeAutospacing="1" w:after="100" w:afterAutospacing="1"/>
        <w:rPr>
          <w:rFonts w:eastAsia="Times New Roman" w:cs="Arial"/>
          <w:lang w:val="en-GB" w:eastAsia="en-GB"/>
        </w:rPr>
      </w:pPr>
      <w:r w:rsidRPr="007F6F48">
        <w:rPr>
          <w:rFonts w:eastAsia="Times New Roman" w:cs="Arial"/>
          <w:lang w:val="en-GB" w:eastAsia="en-GB"/>
        </w:rPr>
        <w:t>In conclusion, all three local authorities provide access to Early Help, but they differ in how effectively this information is presented. Norfolk County Council offers the most user-friendly experience, while Staffordshire County Council provides a balanced approach. Leicestershire County Council, although detailed, could improve accessibility.</w:t>
      </w:r>
    </w:p>
    <w:p w14:paraId="2F7EF4A4" w14:textId="0CEE2774" w:rsidR="007F6F48" w:rsidRPr="007F6F48" w:rsidRDefault="007F6F48" w:rsidP="00635BAD">
      <w:pPr>
        <w:spacing w:before="100" w:beforeAutospacing="1" w:after="100" w:afterAutospacing="1"/>
        <w:rPr>
          <w:rFonts w:eastAsia="Times New Roman" w:cs="Arial"/>
          <w:sz w:val="24"/>
          <w:szCs w:val="24"/>
          <w:lang w:val="en-GB" w:eastAsia="en-GB"/>
        </w:rPr>
      </w:pPr>
      <w:r w:rsidRPr="007F6F48">
        <w:rPr>
          <w:rFonts w:eastAsia="Times New Roman" w:cs="Arial"/>
          <w:lang w:val="en-GB" w:eastAsia="en-GB"/>
        </w:rPr>
        <w:t>This highlights the importance of clear communication in safeguarding. Even well-</w:t>
      </w:r>
      <w:r w:rsidRPr="007F6F48">
        <w:rPr>
          <w:rFonts w:eastAsia="Times New Roman" w:cs="Arial"/>
          <w:sz w:val="24"/>
          <w:szCs w:val="24"/>
          <w:lang w:val="en-GB" w:eastAsia="en-GB"/>
        </w:rPr>
        <w:t>designed services may not be used if families find them difficult to access or understand.</w:t>
      </w:r>
    </w:p>
    <w:p w14:paraId="347BFA9A" w14:textId="77777777" w:rsidR="007F6F48" w:rsidRPr="007F6F48" w:rsidRDefault="007F6F48" w:rsidP="007F6F48">
      <w:pPr>
        <w:spacing w:before="100" w:beforeAutospacing="1" w:after="100" w:afterAutospacing="1"/>
        <w:outlineLvl w:val="2"/>
        <w:rPr>
          <w:rFonts w:eastAsia="Times New Roman" w:cs="Arial"/>
          <w:lang w:val="en-GB" w:eastAsia="en-GB"/>
        </w:rPr>
      </w:pPr>
      <w:r w:rsidRPr="007F6F48">
        <w:rPr>
          <w:rFonts w:eastAsia="Times New Roman" w:cs="Arial"/>
          <w:lang w:val="en-GB" w:eastAsia="en-GB"/>
        </w:rPr>
        <w:t>Recommendations</w:t>
      </w:r>
    </w:p>
    <w:p w14:paraId="1349BEED" w14:textId="77777777" w:rsidR="007F6F48" w:rsidRPr="007F6F48" w:rsidRDefault="007F6F48" w:rsidP="007F6F48">
      <w:pPr>
        <w:numPr>
          <w:ilvl w:val="0"/>
          <w:numId w:val="3"/>
        </w:numPr>
        <w:spacing w:before="100" w:beforeAutospacing="1" w:after="100" w:afterAutospacing="1"/>
        <w:rPr>
          <w:rFonts w:eastAsia="Times New Roman" w:cs="Arial"/>
          <w:lang w:val="en-GB" w:eastAsia="en-GB"/>
        </w:rPr>
      </w:pPr>
      <w:r w:rsidRPr="007F6F48">
        <w:rPr>
          <w:rFonts w:eastAsia="Times New Roman" w:cs="Arial"/>
          <w:lang w:val="en-GB" w:eastAsia="en-GB"/>
        </w:rPr>
        <w:t xml:space="preserve">Improve visibility of self-referral options </w:t>
      </w:r>
    </w:p>
    <w:p w14:paraId="0F2E452F" w14:textId="77777777" w:rsidR="007F6F48" w:rsidRPr="007F6F48" w:rsidRDefault="007F6F48" w:rsidP="007F6F48">
      <w:pPr>
        <w:numPr>
          <w:ilvl w:val="0"/>
          <w:numId w:val="3"/>
        </w:numPr>
        <w:spacing w:before="100" w:beforeAutospacing="1" w:after="100" w:afterAutospacing="1"/>
        <w:rPr>
          <w:rFonts w:eastAsia="Times New Roman" w:cs="Arial"/>
          <w:lang w:val="en-GB" w:eastAsia="en-GB"/>
        </w:rPr>
      </w:pPr>
      <w:r w:rsidRPr="007F6F48">
        <w:rPr>
          <w:rFonts w:eastAsia="Times New Roman" w:cs="Arial"/>
          <w:lang w:val="en-GB" w:eastAsia="en-GB"/>
        </w:rPr>
        <w:t xml:space="preserve">Use clear, family-centred language </w:t>
      </w:r>
    </w:p>
    <w:p w14:paraId="7D20C4F2" w14:textId="77777777" w:rsidR="007F6F48" w:rsidRPr="007F6F48" w:rsidRDefault="007F6F48" w:rsidP="007F6F48">
      <w:pPr>
        <w:numPr>
          <w:ilvl w:val="0"/>
          <w:numId w:val="3"/>
        </w:numPr>
        <w:spacing w:before="100" w:beforeAutospacing="1" w:after="100" w:afterAutospacing="1"/>
        <w:rPr>
          <w:rFonts w:eastAsia="Times New Roman" w:cs="Arial"/>
          <w:lang w:val="en-GB" w:eastAsia="en-GB"/>
        </w:rPr>
      </w:pPr>
      <w:r w:rsidRPr="007F6F48">
        <w:rPr>
          <w:rFonts w:eastAsia="Times New Roman" w:cs="Arial"/>
          <w:lang w:val="en-GB" w:eastAsia="en-GB"/>
        </w:rPr>
        <w:t xml:space="preserve">Provide short summaries alongside detailed documents </w:t>
      </w:r>
    </w:p>
    <w:p w14:paraId="751A1429" w14:textId="3D046A0F" w:rsidR="007F6F48" w:rsidRPr="00635BAD" w:rsidRDefault="007F6F48" w:rsidP="00635BAD">
      <w:pPr>
        <w:numPr>
          <w:ilvl w:val="0"/>
          <w:numId w:val="3"/>
        </w:numPr>
        <w:spacing w:before="100" w:beforeAutospacing="1" w:after="100" w:afterAutospacing="1"/>
        <w:rPr>
          <w:rFonts w:eastAsia="Times New Roman" w:cs="Arial"/>
          <w:lang w:val="en-GB" w:eastAsia="en-GB"/>
        </w:rPr>
      </w:pPr>
      <w:r w:rsidRPr="007F6F48">
        <w:rPr>
          <w:rFonts w:eastAsia="Times New Roman" w:cs="Arial"/>
          <w:lang w:val="en-GB" w:eastAsia="en-GB"/>
        </w:rPr>
        <w:t xml:space="preserve">Create a centralised Early Help hub for easier navigation </w:t>
      </w:r>
    </w:p>
    <w:p w14:paraId="56DBA87F" w14:textId="77777777" w:rsidR="00635BAD" w:rsidRPr="00635BAD" w:rsidRDefault="00635BAD" w:rsidP="00635BAD">
      <w:pPr>
        <w:spacing w:before="100" w:beforeAutospacing="1" w:after="100" w:afterAutospacing="1"/>
        <w:rPr>
          <w:rFonts w:eastAsia="Times New Roman" w:cs="Arial"/>
          <w:lang w:val="en-GB" w:eastAsia="en-GB"/>
        </w:rPr>
      </w:pPr>
    </w:p>
    <w:p w14:paraId="14BB7FFE" w14:textId="77777777" w:rsidR="00635BAD" w:rsidRDefault="00635BAD" w:rsidP="00635BAD">
      <w:pPr>
        <w:spacing w:before="100" w:beforeAutospacing="1" w:after="100" w:afterAutospacing="1"/>
        <w:rPr>
          <w:rFonts w:eastAsia="Times New Roman" w:cs="Arial"/>
          <w:sz w:val="24"/>
          <w:szCs w:val="24"/>
          <w:lang w:val="en-GB" w:eastAsia="en-GB"/>
        </w:rPr>
      </w:pPr>
    </w:p>
    <w:p w14:paraId="481B1C3D" w14:textId="77777777" w:rsidR="00635BAD" w:rsidRDefault="00635BAD" w:rsidP="00635BAD">
      <w:pPr>
        <w:spacing w:before="100" w:beforeAutospacing="1" w:after="100" w:afterAutospacing="1"/>
        <w:rPr>
          <w:rFonts w:eastAsia="Times New Roman" w:cs="Arial"/>
          <w:sz w:val="24"/>
          <w:szCs w:val="24"/>
          <w:lang w:val="en-GB" w:eastAsia="en-GB"/>
        </w:rPr>
      </w:pPr>
    </w:p>
    <w:p w14:paraId="11F59CA0" w14:textId="77777777" w:rsidR="00635BAD" w:rsidRDefault="00635BAD" w:rsidP="00635BAD">
      <w:pPr>
        <w:spacing w:before="100" w:beforeAutospacing="1" w:after="100" w:afterAutospacing="1"/>
        <w:rPr>
          <w:rFonts w:eastAsia="Times New Roman" w:cs="Arial"/>
          <w:sz w:val="24"/>
          <w:szCs w:val="24"/>
          <w:lang w:val="en-GB" w:eastAsia="en-GB"/>
        </w:rPr>
      </w:pPr>
    </w:p>
    <w:p w14:paraId="3B3E18BC" w14:textId="77777777" w:rsidR="00635BAD" w:rsidRDefault="00635BAD" w:rsidP="00635BAD">
      <w:pPr>
        <w:spacing w:before="100" w:beforeAutospacing="1" w:after="100" w:afterAutospacing="1"/>
        <w:rPr>
          <w:rFonts w:eastAsia="Times New Roman" w:cs="Arial"/>
          <w:sz w:val="24"/>
          <w:szCs w:val="24"/>
          <w:lang w:val="en-GB" w:eastAsia="en-GB"/>
        </w:rPr>
      </w:pPr>
    </w:p>
    <w:p w14:paraId="71A0EE58" w14:textId="77777777" w:rsidR="00635BAD" w:rsidRDefault="00635BAD" w:rsidP="00635BAD">
      <w:pPr>
        <w:spacing w:before="100" w:beforeAutospacing="1" w:after="100" w:afterAutospacing="1"/>
        <w:rPr>
          <w:rFonts w:eastAsia="Times New Roman" w:cs="Arial"/>
          <w:sz w:val="24"/>
          <w:szCs w:val="24"/>
          <w:lang w:val="en-GB" w:eastAsia="en-GB"/>
        </w:rPr>
      </w:pPr>
    </w:p>
    <w:p w14:paraId="7559CF71" w14:textId="77777777" w:rsidR="00635BAD" w:rsidRDefault="00635BAD" w:rsidP="00635BAD">
      <w:pPr>
        <w:spacing w:before="100" w:beforeAutospacing="1" w:after="100" w:afterAutospacing="1"/>
        <w:rPr>
          <w:rFonts w:eastAsia="Times New Roman" w:cs="Arial"/>
          <w:sz w:val="24"/>
          <w:szCs w:val="24"/>
          <w:lang w:val="en-GB" w:eastAsia="en-GB"/>
        </w:rPr>
      </w:pPr>
    </w:p>
    <w:p w14:paraId="0ACF56D5" w14:textId="77777777" w:rsidR="00635BAD" w:rsidRDefault="00635BAD" w:rsidP="00635BAD">
      <w:pPr>
        <w:spacing w:before="100" w:beforeAutospacing="1" w:after="100" w:afterAutospacing="1"/>
        <w:rPr>
          <w:rFonts w:eastAsia="Times New Roman" w:cs="Arial"/>
          <w:sz w:val="24"/>
          <w:szCs w:val="24"/>
          <w:lang w:val="en-GB" w:eastAsia="en-GB"/>
        </w:rPr>
      </w:pPr>
    </w:p>
    <w:p w14:paraId="1DCDB41E" w14:textId="77777777" w:rsidR="00635BAD" w:rsidRDefault="00635BAD" w:rsidP="00635BAD">
      <w:pPr>
        <w:spacing w:before="100" w:beforeAutospacing="1" w:after="100" w:afterAutospacing="1"/>
        <w:rPr>
          <w:rFonts w:eastAsia="Times New Roman" w:cs="Arial"/>
          <w:sz w:val="24"/>
          <w:szCs w:val="24"/>
          <w:lang w:val="en-GB" w:eastAsia="en-GB"/>
        </w:rPr>
      </w:pPr>
    </w:p>
    <w:p w14:paraId="54B050D2" w14:textId="77777777" w:rsidR="00635BAD" w:rsidRDefault="00635BAD" w:rsidP="00635BAD">
      <w:pPr>
        <w:spacing w:before="100" w:beforeAutospacing="1" w:after="100" w:afterAutospacing="1"/>
        <w:rPr>
          <w:rFonts w:eastAsia="Times New Roman" w:cs="Arial"/>
          <w:sz w:val="24"/>
          <w:szCs w:val="24"/>
          <w:lang w:val="en-GB" w:eastAsia="en-GB"/>
        </w:rPr>
      </w:pPr>
    </w:p>
    <w:p w14:paraId="4BD7FE0A" w14:textId="77777777" w:rsidR="00635BAD" w:rsidRDefault="00635BAD" w:rsidP="00635BAD">
      <w:pPr>
        <w:spacing w:before="100" w:beforeAutospacing="1" w:after="100" w:afterAutospacing="1"/>
        <w:rPr>
          <w:rFonts w:eastAsia="Times New Roman" w:cs="Arial"/>
          <w:sz w:val="24"/>
          <w:szCs w:val="24"/>
          <w:lang w:val="en-GB" w:eastAsia="en-GB"/>
        </w:rPr>
      </w:pPr>
    </w:p>
    <w:p w14:paraId="05D449BC" w14:textId="77777777" w:rsidR="00635BAD" w:rsidRPr="007F6F48" w:rsidRDefault="00635BAD" w:rsidP="00635BAD">
      <w:pPr>
        <w:spacing w:before="100" w:beforeAutospacing="1" w:after="100" w:afterAutospacing="1"/>
        <w:rPr>
          <w:rFonts w:eastAsia="Times New Roman" w:cs="Arial"/>
          <w:sz w:val="24"/>
          <w:szCs w:val="24"/>
          <w:lang w:val="en-GB" w:eastAsia="en-GB"/>
        </w:rPr>
      </w:pPr>
    </w:p>
    <w:p w14:paraId="06481C3B" w14:textId="77777777" w:rsidR="006806CE" w:rsidRPr="00841126" w:rsidRDefault="00963C04" w:rsidP="00623C9C">
      <w:pPr>
        <w:pStyle w:val="Heading1"/>
        <w:rPr>
          <w:rFonts w:cs="Arial"/>
          <w:b w:val="0"/>
          <w:bCs/>
          <w:sz w:val="22"/>
          <w:szCs w:val="22"/>
        </w:rPr>
      </w:pPr>
      <w:bookmarkStart w:id="1" w:name="_Toc223018321"/>
      <w:r w:rsidRPr="00841126">
        <w:rPr>
          <w:rFonts w:cs="Arial"/>
          <w:b w:val="0"/>
          <w:bCs/>
          <w:sz w:val="22"/>
          <w:szCs w:val="22"/>
        </w:rPr>
        <w:t>Reference List</w:t>
      </w:r>
      <w:bookmarkEnd w:id="1"/>
      <w:r w:rsidRPr="00841126">
        <w:rPr>
          <w:rFonts w:cs="Arial"/>
          <w:b w:val="0"/>
          <w:bCs/>
          <w:sz w:val="22"/>
          <w:szCs w:val="22"/>
        </w:rPr>
        <w:t xml:space="preserve"> </w:t>
      </w:r>
    </w:p>
    <w:p w14:paraId="176FADEC" w14:textId="77777777" w:rsidR="00623C9C" w:rsidRPr="007F6F48" w:rsidRDefault="00963C04" w:rsidP="00623C9C">
      <w:pPr>
        <w:rPr>
          <w:rFonts w:cs="Arial"/>
          <w:shd w:val="clear" w:color="auto" w:fill="FFFFFF"/>
        </w:rPr>
      </w:pPr>
      <w:r w:rsidRPr="007F6F48">
        <w:rPr>
          <w:rFonts w:cs="Arial"/>
          <w:shd w:val="clear" w:color="auto" w:fill="FFFFFF"/>
        </w:rPr>
        <w:t>Abulaiti, B., Zhang, X., Guan, T., Wang, M., Jia, S. and Wang, A. (2022) ‘The dyadic care experiences of elderly individuals with disabilities and caregivers in the home setting from the perspective of family resilience: A qualitative study.’ </w:t>
      </w:r>
      <w:r w:rsidRPr="007F6F48">
        <w:rPr>
          <w:rFonts w:cs="Arial"/>
          <w:i/>
          <w:iCs/>
          <w:shd w:val="clear" w:color="auto" w:fill="FFFFFF"/>
        </w:rPr>
        <w:t>Frontiers in Psychiatry</w:t>
      </w:r>
      <w:r w:rsidRPr="007F6F48">
        <w:rPr>
          <w:rFonts w:cs="Arial"/>
          <w:shd w:val="clear" w:color="auto" w:fill="FFFFFF"/>
        </w:rPr>
        <w:t>, </w:t>
      </w:r>
      <w:r w:rsidRPr="007F6F48">
        <w:rPr>
          <w:rFonts w:cs="Arial"/>
          <w:i/>
          <w:iCs/>
          <w:shd w:val="clear" w:color="auto" w:fill="FFFFFF"/>
        </w:rPr>
        <w:t>13</w:t>
      </w:r>
      <w:r w:rsidRPr="007F6F48">
        <w:rPr>
          <w:rFonts w:cs="Arial"/>
          <w:shd w:val="clear" w:color="auto" w:fill="FFFFFF"/>
        </w:rPr>
        <w:t xml:space="preserve">, p.963101. Available at: </w:t>
      </w:r>
      <w:hyperlink r:id="rId9" w:history="1">
        <w:r w:rsidRPr="007F6F48">
          <w:rPr>
            <w:rStyle w:val="Hyperlink"/>
            <w:rFonts w:cs="Arial"/>
            <w:shd w:val="clear" w:color="auto" w:fill="FFFFFF"/>
          </w:rPr>
          <w:t>https://doi.org/10.3389/fpsyt.2022.963101</w:t>
        </w:r>
      </w:hyperlink>
      <w:r w:rsidRPr="007F6F48">
        <w:rPr>
          <w:rFonts w:cs="Arial"/>
          <w:shd w:val="clear" w:color="auto" w:fill="FFFFFF"/>
        </w:rPr>
        <w:t xml:space="preserve"> </w:t>
      </w:r>
    </w:p>
    <w:p w14:paraId="326FE9D6" w14:textId="77777777" w:rsidR="00623C9C" w:rsidRPr="007F6F48" w:rsidRDefault="00963C04" w:rsidP="00623C9C">
      <w:pPr>
        <w:rPr>
          <w:rFonts w:eastAsia="Times New Roman" w:cs="Arial"/>
          <w:szCs w:val="24"/>
          <w:lang w:eastAsia="en-IN"/>
        </w:rPr>
      </w:pPr>
      <w:r w:rsidRPr="007F6F48">
        <w:rPr>
          <w:rFonts w:cs="Arial"/>
          <w:shd w:val="clear" w:color="auto" w:fill="FFFFFF"/>
        </w:rPr>
        <w:t>Ashworth, E., Bray, L., Hanlon, C., Stanway, H., Pavlopoulou, G., Moore, D., Donaghy, B., Coen, E. and Firth, E. (2025) ‘Accumulating harm and waiting for crisis’: Parents’ perspectives of accessing Child and Adolescent Mental Health Services for their autistic child experiencing mental health difficulties. </w:t>
      </w:r>
      <w:r w:rsidRPr="007F6F48">
        <w:rPr>
          <w:rFonts w:cs="Arial"/>
          <w:i/>
          <w:iCs/>
          <w:shd w:val="clear" w:color="auto" w:fill="FFFFFF"/>
        </w:rPr>
        <w:t>Autism</w:t>
      </w:r>
      <w:r w:rsidRPr="007F6F48">
        <w:rPr>
          <w:rFonts w:cs="Arial"/>
          <w:shd w:val="clear" w:color="auto" w:fill="FFFFFF"/>
        </w:rPr>
        <w:t>, </w:t>
      </w:r>
      <w:r w:rsidRPr="007F6F48">
        <w:rPr>
          <w:rFonts w:cs="Arial"/>
          <w:i/>
          <w:iCs/>
          <w:shd w:val="clear" w:color="auto" w:fill="FFFFFF"/>
        </w:rPr>
        <w:t>29</w:t>
      </w:r>
      <w:r w:rsidRPr="007F6F48">
        <w:rPr>
          <w:rFonts w:cs="Arial"/>
          <w:shd w:val="clear" w:color="auto" w:fill="FFFFFF"/>
        </w:rPr>
        <w:t xml:space="preserve">(8), pp.2111-2122.Available at: </w:t>
      </w:r>
      <w:hyperlink r:id="rId10" w:history="1">
        <w:r w:rsidRPr="007F6F48">
          <w:rPr>
            <w:rStyle w:val="Hyperlink"/>
            <w:rFonts w:cs="Arial"/>
            <w:shd w:val="clear" w:color="auto" w:fill="FFFFFF"/>
          </w:rPr>
          <w:t>https://doi.org/10.1177/13623613251335715</w:t>
        </w:r>
      </w:hyperlink>
      <w:r w:rsidRPr="007F6F48">
        <w:rPr>
          <w:rFonts w:cs="Arial"/>
          <w:shd w:val="clear" w:color="auto" w:fill="FFFFFF"/>
        </w:rPr>
        <w:t xml:space="preserve"> </w:t>
      </w:r>
    </w:p>
    <w:p w14:paraId="0A6A8BF0" w14:textId="77777777" w:rsidR="00623C9C" w:rsidRPr="007F6F48" w:rsidRDefault="00963C04" w:rsidP="00623C9C">
      <w:pPr>
        <w:rPr>
          <w:rFonts w:cs="Arial"/>
        </w:rPr>
      </w:pPr>
      <w:r w:rsidRPr="007F6F48">
        <w:rPr>
          <w:rFonts w:cs="Arial"/>
          <w:shd w:val="clear" w:color="auto" w:fill="FFFFFF"/>
        </w:rPr>
        <w:t>Aydin, S., Karabacak, M., Vlachos, V. and Margetis, K. (2024) ‘Large language models in patient education: a scoping review of applications in medicine.’ </w:t>
      </w:r>
      <w:r w:rsidRPr="007F6F48">
        <w:rPr>
          <w:rFonts w:cs="Arial"/>
          <w:i/>
          <w:iCs/>
          <w:shd w:val="clear" w:color="auto" w:fill="FFFFFF"/>
        </w:rPr>
        <w:t>Frontiers in medicine</w:t>
      </w:r>
      <w:r w:rsidRPr="007F6F48">
        <w:rPr>
          <w:rFonts w:cs="Arial"/>
          <w:shd w:val="clear" w:color="auto" w:fill="FFFFFF"/>
        </w:rPr>
        <w:t>, </w:t>
      </w:r>
      <w:r w:rsidRPr="007F6F48">
        <w:rPr>
          <w:rFonts w:cs="Arial"/>
          <w:i/>
          <w:iCs/>
          <w:shd w:val="clear" w:color="auto" w:fill="FFFFFF"/>
        </w:rPr>
        <w:t>11</w:t>
      </w:r>
      <w:r w:rsidRPr="007F6F48">
        <w:rPr>
          <w:rFonts w:cs="Arial"/>
          <w:shd w:val="clear" w:color="auto" w:fill="FFFFFF"/>
        </w:rPr>
        <w:t>, p.1477898.</w:t>
      </w:r>
      <w:r w:rsidRPr="007F6F48">
        <w:rPr>
          <w:rFonts w:cs="Arial"/>
        </w:rPr>
        <w:t xml:space="preserve"> Available at: </w:t>
      </w:r>
      <w:hyperlink r:id="rId11" w:history="1">
        <w:r w:rsidRPr="007F6F48">
          <w:rPr>
            <w:rStyle w:val="Hyperlink"/>
            <w:rFonts w:cs="Arial"/>
            <w:shd w:val="clear" w:color="auto" w:fill="FFFFFF"/>
          </w:rPr>
          <w:t>https://doi.org/10.3389/fmed.2024.1477898</w:t>
        </w:r>
      </w:hyperlink>
      <w:r w:rsidRPr="007F6F48">
        <w:rPr>
          <w:rFonts w:cs="Arial"/>
          <w:shd w:val="clear" w:color="auto" w:fill="FFFFFF"/>
        </w:rPr>
        <w:t xml:space="preserve"> </w:t>
      </w:r>
    </w:p>
    <w:p w14:paraId="34873DD2" w14:textId="77777777" w:rsidR="00623C9C" w:rsidRPr="007F6F48" w:rsidRDefault="00963C04" w:rsidP="00623C9C">
      <w:pPr>
        <w:rPr>
          <w:rFonts w:cs="Arial"/>
        </w:rPr>
      </w:pPr>
      <w:r w:rsidRPr="007F6F48">
        <w:rPr>
          <w:rFonts w:cs="Arial"/>
          <w:shd w:val="clear" w:color="auto" w:fill="FFFFFF"/>
        </w:rPr>
        <w:t>Bacon, G., Sweeney, A., Batchelor, R., Grant, C., Mantovani, N., Peter, S., Sin, J. and Lever Taylor, B. (2023) ‘At the edge of care: A systematic review and thematic synthesis of parent and practitioner views and experiences of support for parents with mental health needs and children’s social service involvement.’ </w:t>
      </w:r>
      <w:r w:rsidRPr="007F6F48">
        <w:rPr>
          <w:rFonts w:cs="Arial"/>
          <w:i/>
          <w:iCs/>
          <w:shd w:val="clear" w:color="auto" w:fill="FFFFFF"/>
        </w:rPr>
        <w:t>Health &amp; Social Care in the Community</w:t>
      </w:r>
      <w:r w:rsidRPr="007F6F48">
        <w:rPr>
          <w:rFonts w:cs="Arial"/>
          <w:shd w:val="clear" w:color="auto" w:fill="FFFFFF"/>
        </w:rPr>
        <w:t>, </w:t>
      </w:r>
      <w:r w:rsidRPr="007F6F48">
        <w:rPr>
          <w:rFonts w:cs="Arial"/>
          <w:i/>
          <w:iCs/>
          <w:shd w:val="clear" w:color="auto" w:fill="FFFFFF"/>
        </w:rPr>
        <w:t>2023</w:t>
      </w:r>
      <w:r w:rsidRPr="007F6F48">
        <w:rPr>
          <w:rFonts w:cs="Arial"/>
          <w:shd w:val="clear" w:color="auto" w:fill="FFFFFF"/>
        </w:rPr>
        <w:t>(1), p.6953134.</w:t>
      </w:r>
      <w:r w:rsidRPr="007F6F48">
        <w:rPr>
          <w:rFonts w:cs="Arial"/>
        </w:rPr>
        <w:t xml:space="preserve"> Available at: </w:t>
      </w:r>
      <w:hyperlink r:id="rId12" w:history="1">
        <w:r w:rsidRPr="007F6F48">
          <w:rPr>
            <w:rStyle w:val="Hyperlink"/>
            <w:rFonts w:cs="Arial"/>
          </w:rPr>
          <w:t>https://doi.org/10.1155/2023/6953134</w:t>
        </w:r>
      </w:hyperlink>
      <w:r w:rsidRPr="007F6F48">
        <w:rPr>
          <w:rFonts w:cs="Arial"/>
        </w:rPr>
        <w:t xml:space="preserve"> </w:t>
      </w:r>
    </w:p>
    <w:p w14:paraId="435B6DA4" w14:textId="77777777" w:rsidR="00623C9C" w:rsidRPr="007F6F48" w:rsidRDefault="00963C04" w:rsidP="00623C9C">
      <w:pPr>
        <w:rPr>
          <w:rFonts w:cs="Arial"/>
        </w:rPr>
      </w:pPr>
      <w:r w:rsidRPr="007F6F48">
        <w:rPr>
          <w:rFonts w:cs="Arial"/>
          <w:shd w:val="clear" w:color="auto" w:fill="FFFFFF"/>
        </w:rPr>
        <w:t>Ball, E.J., McElwee, J.D. and McManus, M.A. (2024) ‘Multi-agency safeguarding: From everyone’s responsibility to a collective responsibility.’ </w:t>
      </w:r>
      <w:r w:rsidRPr="007F6F48">
        <w:rPr>
          <w:rFonts w:cs="Arial"/>
          <w:i/>
          <w:iCs/>
          <w:shd w:val="clear" w:color="auto" w:fill="FFFFFF"/>
        </w:rPr>
        <w:t>Journal of Community Safety and Well-Being</w:t>
      </w:r>
      <w:r w:rsidRPr="007F6F48">
        <w:rPr>
          <w:rFonts w:cs="Arial"/>
          <w:shd w:val="clear" w:color="auto" w:fill="FFFFFF"/>
        </w:rPr>
        <w:t>, </w:t>
      </w:r>
      <w:r w:rsidRPr="007F6F48">
        <w:rPr>
          <w:rFonts w:cs="Arial"/>
          <w:i/>
          <w:iCs/>
          <w:shd w:val="clear" w:color="auto" w:fill="FFFFFF"/>
        </w:rPr>
        <w:t>9</w:t>
      </w:r>
      <w:r w:rsidRPr="007F6F48">
        <w:rPr>
          <w:rFonts w:cs="Arial"/>
          <w:shd w:val="clear" w:color="auto" w:fill="FFFFFF"/>
        </w:rPr>
        <w:t>(2), pp.104-108.</w:t>
      </w:r>
      <w:r w:rsidRPr="007F6F48">
        <w:rPr>
          <w:rFonts w:cs="Arial"/>
        </w:rPr>
        <w:t xml:space="preserve"> Available at: </w:t>
      </w:r>
      <w:hyperlink r:id="rId13" w:history="1">
        <w:r w:rsidRPr="007F6F48">
          <w:rPr>
            <w:rStyle w:val="Hyperlink"/>
            <w:rFonts w:cs="Arial"/>
          </w:rPr>
          <w:t>https://doi.org/10.35502/jcswb.371</w:t>
        </w:r>
      </w:hyperlink>
      <w:r w:rsidRPr="007F6F48">
        <w:rPr>
          <w:rFonts w:cs="Arial"/>
        </w:rPr>
        <w:t xml:space="preserve"> </w:t>
      </w:r>
    </w:p>
    <w:p w14:paraId="258A09F1" w14:textId="77777777" w:rsidR="00623C9C" w:rsidRPr="007F6F48" w:rsidRDefault="00963C04" w:rsidP="00623C9C">
      <w:pPr>
        <w:rPr>
          <w:rFonts w:cs="Arial"/>
        </w:rPr>
      </w:pPr>
      <w:r w:rsidRPr="007F6F48">
        <w:rPr>
          <w:rFonts w:cs="Arial"/>
          <w:shd w:val="clear" w:color="auto" w:fill="FFFFFF"/>
        </w:rPr>
        <w:t>Davis, A., Chen, A., Chen, M. and Davis, J. (2025) ‘Use of mobile forms in low-resource areas for population health surveys: interview and field test study.’ </w:t>
      </w:r>
      <w:r w:rsidRPr="007F6F48">
        <w:rPr>
          <w:rFonts w:cs="Arial"/>
          <w:i/>
          <w:iCs/>
          <w:shd w:val="clear" w:color="auto" w:fill="FFFFFF"/>
        </w:rPr>
        <w:t>Jmirx med</w:t>
      </w:r>
      <w:r w:rsidRPr="007F6F48">
        <w:rPr>
          <w:rFonts w:cs="Arial"/>
          <w:shd w:val="clear" w:color="auto" w:fill="FFFFFF"/>
        </w:rPr>
        <w:t>, </w:t>
      </w:r>
      <w:r w:rsidRPr="007F6F48">
        <w:rPr>
          <w:rFonts w:cs="Arial"/>
          <w:i/>
          <w:iCs/>
          <w:shd w:val="clear" w:color="auto" w:fill="FFFFFF"/>
        </w:rPr>
        <w:t>6</w:t>
      </w:r>
      <w:r w:rsidRPr="007F6F48">
        <w:rPr>
          <w:rFonts w:cs="Arial"/>
          <w:shd w:val="clear" w:color="auto" w:fill="FFFFFF"/>
        </w:rPr>
        <w:t>(1), p.e53715.</w:t>
      </w:r>
      <w:r w:rsidRPr="007F6F48">
        <w:rPr>
          <w:rFonts w:cs="Arial"/>
        </w:rPr>
        <w:t xml:space="preserve"> Available at: </w:t>
      </w:r>
      <w:hyperlink r:id="rId14" w:history="1">
        <w:r w:rsidRPr="007F6F48">
          <w:rPr>
            <w:rStyle w:val="Hyperlink"/>
            <w:rFonts w:cs="Arial"/>
          </w:rPr>
          <w:t>https://doi.org/10.2196/53715</w:t>
        </w:r>
      </w:hyperlink>
      <w:r w:rsidRPr="007F6F48">
        <w:rPr>
          <w:rFonts w:cs="Arial"/>
        </w:rPr>
        <w:t xml:space="preserve"> </w:t>
      </w:r>
    </w:p>
    <w:p w14:paraId="3BAC2277" w14:textId="77777777" w:rsidR="00623C9C" w:rsidRPr="007F6F48" w:rsidRDefault="00963C04" w:rsidP="00623C9C">
      <w:pPr>
        <w:rPr>
          <w:rFonts w:cs="Arial"/>
        </w:rPr>
      </w:pPr>
      <w:r w:rsidRPr="007F6F48">
        <w:rPr>
          <w:rFonts w:cs="Arial"/>
        </w:rPr>
        <w:t>gov.uk (2022). Early Help System Guide. A toolkit to assist local strategic partnerships responsible for their Early Help System.  Available at: https://assets.publishing.service.gov.uk/media/628de13be90e071f5f7e1bd2/Early_Help_System_Guide.pdf (Accessed: 26 February 2026).</w:t>
      </w:r>
    </w:p>
    <w:p w14:paraId="55B306BF" w14:textId="77777777" w:rsidR="00623C9C" w:rsidRPr="007F6F48" w:rsidRDefault="00963C04" w:rsidP="00623C9C">
      <w:pPr>
        <w:rPr>
          <w:rFonts w:cs="Arial"/>
          <w:color w:val="222222"/>
          <w:shd w:val="clear" w:color="auto" w:fill="FFFFFF"/>
        </w:rPr>
      </w:pPr>
      <w:r w:rsidRPr="007F6F48">
        <w:rPr>
          <w:rFonts w:cs="Arial"/>
          <w:shd w:val="clear" w:color="auto" w:fill="FFFFFF"/>
        </w:rPr>
        <w:t xml:space="preserve">Hale, H., Bracewell, K., Bellussi, L., Jenkins, R., Alexander, J., Devaney, J. and Callaghan, J.E. (2024) ‘The child protection response to domestic violence and abuse: A scoping review </w:t>
      </w:r>
      <w:r w:rsidRPr="007F6F48">
        <w:rPr>
          <w:rFonts w:cs="Arial"/>
          <w:shd w:val="clear" w:color="auto" w:fill="FFFFFF"/>
        </w:rPr>
        <w:lastRenderedPageBreak/>
        <w:t>of interagency interventions, models and collaboration.’ </w:t>
      </w:r>
      <w:r w:rsidRPr="007F6F48">
        <w:rPr>
          <w:rFonts w:cs="Arial"/>
          <w:i/>
          <w:iCs/>
          <w:shd w:val="clear" w:color="auto" w:fill="FFFFFF"/>
        </w:rPr>
        <w:t>Journal of Family Violence</w:t>
      </w:r>
      <w:r w:rsidRPr="007F6F48">
        <w:rPr>
          <w:rFonts w:cs="Arial"/>
          <w:shd w:val="clear" w:color="auto" w:fill="FFFFFF"/>
        </w:rPr>
        <w:t>, pp.1-21.</w:t>
      </w:r>
      <w:r w:rsidRPr="007F6F48">
        <w:rPr>
          <w:rFonts w:cs="Arial"/>
        </w:rPr>
        <w:t xml:space="preserve"> Available at: </w:t>
      </w:r>
      <w:hyperlink r:id="rId15" w:history="1">
        <w:r w:rsidRPr="007F6F48">
          <w:rPr>
            <w:rStyle w:val="Hyperlink"/>
            <w:rFonts w:cs="Arial"/>
            <w:shd w:val="clear" w:color="auto" w:fill="FFFFFF"/>
          </w:rPr>
          <w:t>https://doi.org/10.1007/s10896-024-00681-4</w:t>
        </w:r>
      </w:hyperlink>
      <w:r w:rsidRPr="007F6F48">
        <w:rPr>
          <w:rFonts w:cs="Arial"/>
          <w:color w:val="222222"/>
          <w:shd w:val="clear" w:color="auto" w:fill="FFFFFF"/>
        </w:rPr>
        <w:t xml:space="preserve"> </w:t>
      </w:r>
    </w:p>
    <w:p w14:paraId="5016AD38" w14:textId="77777777" w:rsidR="00623C9C" w:rsidRPr="005173C4" w:rsidRDefault="00963C04" w:rsidP="00623C9C">
      <w:pPr>
        <w:rPr>
          <w:rFonts w:cs="Arial"/>
        </w:rPr>
      </w:pPr>
      <w:r w:rsidRPr="007F6F48">
        <w:rPr>
          <w:rFonts w:cs="Arial"/>
          <w:shd w:val="clear" w:color="auto" w:fill="FFFFFF"/>
        </w:rPr>
        <w:t>Isla</w:t>
      </w:r>
      <w:r w:rsidRPr="005173C4">
        <w:rPr>
          <w:rFonts w:cs="Arial"/>
          <w:shd w:val="clear" w:color="auto" w:fill="FFFFFF"/>
        </w:rPr>
        <w:t>m, Z., Pollock, K., Patterson, A., Hanjari, M., Wallace, L., Mururajani, I., Conroy, S. and Faull, C. (2023) ‘Thinking ahead about medical treatments in advanced illness: a qualitative study of barriers and enablers in end-of-life care planning with patients and families from ethnically diverse backgrounds.’ </w:t>
      </w:r>
      <w:r w:rsidRPr="005173C4">
        <w:rPr>
          <w:rFonts w:cs="Arial"/>
          <w:i/>
          <w:iCs/>
          <w:shd w:val="clear" w:color="auto" w:fill="FFFFFF"/>
        </w:rPr>
        <w:t>Health and Social Care Delivery Research</w:t>
      </w:r>
      <w:r w:rsidRPr="005173C4">
        <w:rPr>
          <w:rFonts w:cs="Arial"/>
          <w:shd w:val="clear" w:color="auto" w:fill="FFFFFF"/>
        </w:rPr>
        <w:t>, </w:t>
      </w:r>
      <w:r w:rsidRPr="005173C4">
        <w:rPr>
          <w:rFonts w:cs="Arial"/>
          <w:i/>
          <w:iCs/>
          <w:shd w:val="clear" w:color="auto" w:fill="FFFFFF"/>
        </w:rPr>
        <w:t>11</w:t>
      </w:r>
      <w:r w:rsidRPr="005173C4">
        <w:rPr>
          <w:rFonts w:cs="Arial"/>
          <w:shd w:val="clear" w:color="auto" w:fill="FFFFFF"/>
        </w:rPr>
        <w:t>(7), pp.1-135.</w:t>
      </w:r>
      <w:r w:rsidRPr="005173C4">
        <w:rPr>
          <w:rFonts w:cs="Arial"/>
        </w:rPr>
        <w:t xml:space="preserve"> Available at: </w:t>
      </w:r>
      <w:hyperlink r:id="rId16" w:history="1">
        <w:r w:rsidRPr="005173C4">
          <w:rPr>
            <w:rStyle w:val="Hyperlink"/>
            <w:rFonts w:cs="Arial"/>
          </w:rPr>
          <w:t>https://www.journalslibrary.nihr.ac.uk/hsdr/JVFW4781</w:t>
        </w:r>
      </w:hyperlink>
      <w:r w:rsidRPr="005173C4">
        <w:rPr>
          <w:rFonts w:cs="Arial"/>
        </w:rPr>
        <w:t xml:space="preserve"> </w:t>
      </w:r>
    </w:p>
    <w:p w14:paraId="11002366" w14:textId="77777777" w:rsidR="00623C9C" w:rsidRPr="005173C4" w:rsidRDefault="00963C04" w:rsidP="00623C9C">
      <w:pPr>
        <w:rPr>
          <w:rFonts w:cs="Arial"/>
        </w:rPr>
      </w:pPr>
      <w:r w:rsidRPr="005173C4">
        <w:rPr>
          <w:rFonts w:cs="Arial"/>
        </w:rPr>
        <w:t>leicestershire.gov.uk (2025)</w:t>
      </w:r>
      <w:r w:rsidRPr="005173C4">
        <w:rPr>
          <w:rFonts w:cs="Arial"/>
          <w:i/>
          <w:iCs/>
        </w:rPr>
        <w:t xml:space="preserve"> Welcome</w:t>
      </w:r>
      <w:r w:rsidRPr="005173C4">
        <w:rPr>
          <w:rFonts w:cs="Arial"/>
        </w:rPr>
        <w:t> (1970) </w:t>
      </w:r>
      <w:r w:rsidRPr="005173C4">
        <w:rPr>
          <w:rFonts w:cs="Arial"/>
          <w:i/>
          <w:iCs/>
        </w:rPr>
        <w:t>Welcome | Leicestershire County Council</w:t>
      </w:r>
      <w:r w:rsidRPr="005173C4">
        <w:rPr>
          <w:rFonts w:cs="Arial"/>
        </w:rPr>
        <w:t>. Available at: https://www.leicestershire.gov.uk/ (Accessed: 26 February 2026).</w:t>
      </w:r>
    </w:p>
    <w:p w14:paraId="4D5AC2AA" w14:textId="77777777" w:rsidR="00623C9C" w:rsidRPr="005173C4" w:rsidRDefault="00963C04" w:rsidP="00623C9C">
      <w:pPr>
        <w:rPr>
          <w:rFonts w:cs="Arial"/>
        </w:rPr>
      </w:pPr>
      <w:r w:rsidRPr="005173C4">
        <w:rPr>
          <w:rFonts w:cs="Arial"/>
          <w:shd w:val="clear" w:color="auto" w:fill="FFFFFF"/>
        </w:rPr>
        <w:t>Mageto, J. and Luke, R. (2024) ‘Freight logistics in Africa: information and technology as beacons.’ </w:t>
      </w:r>
      <w:r w:rsidRPr="005173C4">
        <w:rPr>
          <w:rFonts w:cs="Arial"/>
          <w:i/>
          <w:iCs/>
          <w:shd w:val="clear" w:color="auto" w:fill="FFFFFF"/>
        </w:rPr>
        <w:t>The Business &amp; Management Review</w:t>
      </w:r>
      <w:r w:rsidRPr="005173C4">
        <w:rPr>
          <w:rFonts w:cs="Arial"/>
          <w:shd w:val="clear" w:color="auto" w:fill="FFFFFF"/>
        </w:rPr>
        <w:t>, </w:t>
      </w:r>
      <w:r w:rsidRPr="005173C4">
        <w:rPr>
          <w:rFonts w:cs="Arial"/>
          <w:i/>
          <w:iCs/>
          <w:shd w:val="clear" w:color="auto" w:fill="FFFFFF"/>
        </w:rPr>
        <w:t>15</w:t>
      </w:r>
      <w:r w:rsidRPr="005173C4">
        <w:rPr>
          <w:rFonts w:cs="Arial"/>
          <w:shd w:val="clear" w:color="auto" w:fill="FFFFFF"/>
        </w:rPr>
        <w:t>(1), pp.106-115.</w:t>
      </w:r>
      <w:r w:rsidRPr="005173C4">
        <w:rPr>
          <w:rFonts w:cs="Arial"/>
        </w:rPr>
        <w:t xml:space="preserve"> Available at: </w:t>
      </w:r>
      <w:hyperlink r:id="rId17" w:anchor="page=114" w:history="1">
        <w:r w:rsidRPr="005173C4">
          <w:rPr>
            <w:rStyle w:val="Hyperlink"/>
            <w:rFonts w:cs="Arial"/>
          </w:rPr>
          <w:t>https://cberuk.com/cdn/publications/2024-06-01-17-41-17-PM.pdf#page=114</w:t>
        </w:r>
      </w:hyperlink>
      <w:r w:rsidRPr="005173C4">
        <w:rPr>
          <w:rFonts w:cs="Arial"/>
        </w:rPr>
        <w:t xml:space="preserve"> </w:t>
      </w:r>
    </w:p>
    <w:p w14:paraId="2DEADFF5" w14:textId="77777777" w:rsidR="00623C9C" w:rsidRPr="005173C4" w:rsidRDefault="00963C04" w:rsidP="00623C9C">
      <w:pPr>
        <w:rPr>
          <w:rFonts w:cs="Arial"/>
        </w:rPr>
      </w:pPr>
      <w:r w:rsidRPr="005173C4">
        <w:rPr>
          <w:rFonts w:cs="Arial"/>
        </w:rPr>
        <w:t>norfolk.gov.uk (2025) </w:t>
      </w:r>
      <w:r w:rsidRPr="005173C4">
        <w:rPr>
          <w:rFonts w:cs="Arial"/>
          <w:i/>
          <w:iCs/>
        </w:rPr>
        <w:t>Home | Contact us</w:t>
      </w:r>
      <w:r w:rsidRPr="005173C4">
        <w:rPr>
          <w:rFonts w:cs="Arial"/>
        </w:rPr>
        <w:t>. Available at: https://www.north-norfolk.gov.uk/contact-us/ (Accessed: 26 February 2026).</w:t>
      </w:r>
    </w:p>
    <w:p w14:paraId="269E7892" w14:textId="77777777" w:rsidR="00623C9C" w:rsidRPr="005173C4" w:rsidRDefault="00963C04" w:rsidP="00623C9C">
      <w:pPr>
        <w:rPr>
          <w:rFonts w:cs="Arial"/>
          <w:shd w:val="clear" w:color="auto" w:fill="FFFFFF"/>
        </w:rPr>
      </w:pPr>
      <w:r w:rsidRPr="005173C4">
        <w:rPr>
          <w:rFonts w:cs="Arial"/>
          <w:shd w:val="clear" w:color="auto" w:fill="FFFFFF"/>
        </w:rPr>
        <w:t>Salkauskiene, I., Husby, I.S.D. and Juul, R. (2026) ‘Building trust with children in collaborative processes within in-home child welfare services.’ </w:t>
      </w:r>
      <w:r w:rsidRPr="005173C4">
        <w:rPr>
          <w:rFonts w:cs="Arial"/>
          <w:i/>
          <w:iCs/>
          <w:shd w:val="clear" w:color="auto" w:fill="FFFFFF"/>
        </w:rPr>
        <w:t>Journal of Public Child Welfare</w:t>
      </w:r>
      <w:r w:rsidRPr="005173C4">
        <w:rPr>
          <w:rFonts w:cs="Arial"/>
          <w:shd w:val="clear" w:color="auto" w:fill="FFFFFF"/>
        </w:rPr>
        <w:t>, </w:t>
      </w:r>
      <w:r w:rsidRPr="005173C4">
        <w:rPr>
          <w:rFonts w:cs="Arial"/>
          <w:i/>
          <w:iCs/>
          <w:shd w:val="clear" w:color="auto" w:fill="FFFFFF"/>
        </w:rPr>
        <w:t>20</w:t>
      </w:r>
      <w:r w:rsidRPr="005173C4">
        <w:rPr>
          <w:rFonts w:cs="Arial"/>
          <w:shd w:val="clear" w:color="auto" w:fill="FFFFFF"/>
        </w:rPr>
        <w:t>(1), pp.1-30.</w:t>
      </w:r>
      <w:r w:rsidRPr="005173C4">
        <w:rPr>
          <w:rFonts w:cs="Arial"/>
        </w:rPr>
        <w:t xml:space="preserve"> Available at: </w:t>
      </w:r>
      <w:hyperlink r:id="rId18" w:history="1">
        <w:r w:rsidRPr="005173C4">
          <w:rPr>
            <w:rStyle w:val="Hyperlink"/>
            <w:rFonts w:cs="Arial"/>
            <w:shd w:val="clear" w:color="auto" w:fill="FFFFFF"/>
          </w:rPr>
          <w:t>https://doi.org/10.1080/15548732.2024.2411047</w:t>
        </w:r>
      </w:hyperlink>
      <w:r w:rsidRPr="005173C4">
        <w:rPr>
          <w:rFonts w:cs="Arial"/>
          <w:shd w:val="clear" w:color="auto" w:fill="FFFFFF"/>
        </w:rPr>
        <w:t xml:space="preserve"> </w:t>
      </w:r>
    </w:p>
    <w:p w14:paraId="28844638" w14:textId="77777777" w:rsidR="00623C9C" w:rsidRPr="005173C4" w:rsidRDefault="00963C04" w:rsidP="00623C9C">
      <w:pPr>
        <w:rPr>
          <w:rFonts w:cs="Arial"/>
        </w:rPr>
      </w:pPr>
      <w:r w:rsidRPr="005173C4">
        <w:rPr>
          <w:rFonts w:cs="Arial"/>
        </w:rPr>
        <w:t>service.gov.uk (2023). Working Together to Safeguard Children 2023. Available at: https://assets.publishing.service.gov.uk/media/6849a7b67cba25f610c7db3f/Working_together_to_safeguard_children_2023_-_statutory_guidance.pdf (Accessed: 26 February 2026).</w:t>
      </w:r>
    </w:p>
    <w:p w14:paraId="75868943" w14:textId="77777777" w:rsidR="00623C9C" w:rsidRPr="005173C4" w:rsidRDefault="00963C04" w:rsidP="00623C9C">
      <w:pPr>
        <w:rPr>
          <w:rFonts w:cs="Arial"/>
        </w:rPr>
      </w:pPr>
      <w:r w:rsidRPr="005173C4">
        <w:rPr>
          <w:rFonts w:cs="Arial"/>
        </w:rPr>
        <w:t>service.gov.uk (2025). Available at: https://assets.publishing.service.gov.uk/media/5a748870ed915d0e8e398f35/from-waste-to-resource-productivity-evidence-case-studies.pdf (Accessed: 26 February 2026).</w:t>
      </w:r>
    </w:p>
    <w:p w14:paraId="454CD503" w14:textId="77777777" w:rsidR="00623C9C" w:rsidRPr="005173C4" w:rsidRDefault="00963C04" w:rsidP="00623C9C">
      <w:pPr>
        <w:rPr>
          <w:rFonts w:cs="Arial"/>
        </w:rPr>
      </w:pPr>
      <w:r w:rsidRPr="005173C4">
        <w:rPr>
          <w:rFonts w:cs="Arial"/>
          <w:shd w:val="clear" w:color="auto" w:fill="FFFFFF"/>
        </w:rPr>
        <w:t>Smith, N., Rand, S., Morgan, S., Jones, K., Hogan, H. and Dargan, A. (2023) ‘The scope of safety in English older adult care homes: a qualitative analysis of Safeguarding Adult Reviews.’ </w:t>
      </w:r>
      <w:r w:rsidRPr="005173C4">
        <w:rPr>
          <w:rFonts w:cs="Arial"/>
          <w:i/>
          <w:iCs/>
          <w:shd w:val="clear" w:color="auto" w:fill="FFFFFF"/>
        </w:rPr>
        <w:t>The Journal of Adult Protection</w:t>
      </w:r>
      <w:r w:rsidRPr="005173C4">
        <w:rPr>
          <w:rFonts w:cs="Arial"/>
          <w:shd w:val="clear" w:color="auto" w:fill="FFFFFF"/>
        </w:rPr>
        <w:t>, </w:t>
      </w:r>
      <w:r w:rsidRPr="005173C4">
        <w:rPr>
          <w:rFonts w:cs="Arial"/>
          <w:i/>
          <w:iCs/>
          <w:shd w:val="clear" w:color="auto" w:fill="FFFFFF"/>
        </w:rPr>
        <w:t>25</w:t>
      </w:r>
      <w:r w:rsidRPr="005173C4">
        <w:rPr>
          <w:rFonts w:cs="Arial"/>
          <w:shd w:val="clear" w:color="auto" w:fill="FFFFFF"/>
        </w:rPr>
        <w:t>(1), pp.3-13.</w:t>
      </w:r>
      <w:r w:rsidRPr="005173C4">
        <w:rPr>
          <w:rFonts w:cs="Arial"/>
        </w:rPr>
        <w:t xml:space="preserve"> Available at: </w:t>
      </w:r>
      <w:hyperlink r:id="rId19" w:history="1">
        <w:r w:rsidRPr="005173C4">
          <w:rPr>
            <w:rStyle w:val="Hyperlink"/>
            <w:rFonts w:cs="Arial"/>
          </w:rPr>
          <w:t>https://doi.org/10.1108/JAP-03-2022-0006</w:t>
        </w:r>
      </w:hyperlink>
      <w:r w:rsidRPr="005173C4">
        <w:rPr>
          <w:rFonts w:cs="Arial"/>
        </w:rPr>
        <w:t xml:space="preserve"> </w:t>
      </w:r>
    </w:p>
    <w:p w14:paraId="2F94AFBA" w14:textId="77777777" w:rsidR="00623C9C" w:rsidRPr="005173C4" w:rsidRDefault="00963C04" w:rsidP="00623C9C">
      <w:pPr>
        <w:rPr>
          <w:rFonts w:cs="Arial"/>
        </w:rPr>
      </w:pPr>
      <w:r w:rsidRPr="005173C4">
        <w:rPr>
          <w:rFonts w:cs="Arial"/>
        </w:rPr>
        <w:t>staffordshire.gov.uk (2026) </w:t>
      </w:r>
      <w:r w:rsidRPr="005173C4">
        <w:rPr>
          <w:rFonts w:cs="Arial"/>
          <w:i/>
          <w:iCs/>
        </w:rPr>
        <w:t>Staffordshire County Council</w:t>
      </w:r>
      <w:r w:rsidRPr="005173C4">
        <w:rPr>
          <w:rFonts w:cs="Arial"/>
        </w:rPr>
        <w:t>. Available at: https://www.staffordshire.gov.uk/ (Accessed: 26 February 2026).</w:t>
      </w:r>
    </w:p>
    <w:p w14:paraId="3725C01E" w14:textId="77777777" w:rsidR="001B1EAC" w:rsidRPr="005173C4" w:rsidRDefault="001B1EAC" w:rsidP="005923B5">
      <w:pPr>
        <w:rPr>
          <w:rFonts w:cs="Arial"/>
        </w:rPr>
      </w:pPr>
    </w:p>
    <w:sectPr w:rsidR="001B1EAC" w:rsidRPr="005173C4">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605DAD" w14:textId="77777777" w:rsidR="004A41A2" w:rsidRDefault="004A41A2">
      <w:pPr>
        <w:spacing w:after="0" w:line="240" w:lineRule="auto"/>
      </w:pPr>
      <w:r>
        <w:separator/>
      </w:r>
    </w:p>
  </w:endnote>
  <w:endnote w:type="continuationSeparator" w:id="0">
    <w:p w14:paraId="390A2393" w14:textId="77777777" w:rsidR="004A41A2" w:rsidRDefault="004A41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5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6290008"/>
      <w:docPartObj>
        <w:docPartGallery w:val="Page Numbers (Bottom of Page)"/>
        <w:docPartUnique/>
      </w:docPartObj>
    </w:sdtPr>
    <w:sdtEndPr>
      <w:rPr>
        <w:color w:val="7F7F7F" w:themeColor="background1" w:themeShade="7F"/>
        <w:spacing w:val="60"/>
      </w:rPr>
    </w:sdtEndPr>
    <w:sdtContent>
      <w:p w14:paraId="1D99720B" w14:textId="77777777" w:rsidR="00683027" w:rsidRDefault="00963C04">
        <w:pPr>
          <w:pStyle w:val="Footer"/>
          <w:pBdr>
            <w:top w:val="single" w:sz="4" w:space="1" w:color="D9D9D9" w:themeColor="background1" w:themeShade="D9"/>
          </w:pBdr>
          <w:jc w:val="right"/>
        </w:pPr>
        <w:r>
          <w:fldChar w:fldCharType="begin"/>
        </w:r>
        <w:r>
          <w:instrText xml:space="preserve"> PAGE   \* MERGEFORMAT </w:instrText>
        </w:r>
        <w:r>
          <w:fldChar w:fldCharType="separate"/>
        </w:r>
        <w:r w:rsidR="008D57DA">
          <w:rPr>
            <w:noProof/>
          </w:rPr>
          <w:t>12</w:t>
        </w:r>
        <w:r>
          <w:rPr>
            <w:noProof/>
          </w:rPr>
          <w:fldChar w:fldCharType="end"/>
        </w:r>
        <w:r>
          <w:t xml:space="preserve"> | </w:t>
        </w:r>
        <w:r>
          <w:rPr>
            <w:color w:val="7F7F7F" w:themeColor="background1" w:themeShade="7F"/>
            <w:spacing w:val="60"/>
          </w:rPr>
          <w:t>Page</w:t>
        </w:r>
      </w:p>
    </w:sdtContent>
  </w:sdt>
  <w:p w14:paraId="22B8D48F" w14:textId="77777777" w:rsidR="00683027" w:rsidRDefault="006830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DBB7F5" w14:textId="77777777" w:rsidR="004A41A2" w:rsidRDefault="004A41A2">
      <w:pPr>
        <w:spacing w:after="0" w:line="240" w:lineRule="auto"/>
      </w:pPr>
      <w:r>
        <w:separator/>
      </w:r>
    </w:p>
  </w:footnote>
  <w:footnote w:type="continuationSeparator" w:id="0">
    <w:p w14:paraId="03C7BF2E" w14:textId="77777777" w:rsidR="004A41A2" w:rsidRDefault="004A41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2D7C0F"/>
    <w:multiLevelType w:val="hybridMultilevel"/>
    <w:tmpl w:val="075CCFA8"/>
    <w:lvl w:ilvl="0" w:tplc="8B1A06B4">
      <w:start w:val="1"/>
      <w:numFmt w:val="bullet"/>
      <w:lvlText w:val=""/>
      <w:lvlJc w:val="left"/>
      <w:pPr>
        <w:ind w:left="360" w:hanging="360"/>
      </w:pPr>
      <w:rPr>
        <w:rFonts w:ascii="Symbol" w:hAnsi="Symbol" w:hint="default"/>
      </w:rPr>
    </w:lvl>
    <w:lvl w:ilvl="1" w:tplc="79A89F18" w:tentative="1">
      <w:start w:val="1"/>
      <w:numFmt w:val="bullet"/>
      <w:lvlText w:val="o"/>
      <w:lvlJc w:val="left"/>
      <w:pPr>
        <w:ind w:left="1080" w:hanging="360"/>
      </w:pPr>
      <w:rPr>
        <w:rFonts w:ascii="Courier New" w:hAnsi="Courier New" w:cs="Courier New" w:hint="default"/>
      </w:rPr>
    </w:lvl>
    <w:lvl w:ilvl="2" w:tplc="08FE3566" w:tentative="1">
      <w:start w:val="1"/>
      <w:numFmt w:val="bullet"/>
      <w:lvlText w:val=""/>
      <w:lvlJc w:val="left"/>
      <w:pPr>
        <w:ind w:left="1800" w:hanging="360"/>
      </w:pPr>
      <w:rPr>
        <w:rFonts w:ascii="Wingdings" w:hAnsi="Wingdings" w:hint="default"/>
      </w:rPr>
    </w:lvl>
    <w:lvl w:ilvl="3" w:tplc="EFE48032" w:tentative="1">
      <w:start w:val="1"/>
      <w:numFmt w:val="bullet"/>
      <w:lvlText w:val=""/>
      <w:lvlJc w:val="left"/>
      <w:pPr>
        <w:ind w:left="2520" w:hanging="360"/>
      </w:pPr>
      <w:rPr>
        <w:rFonts w:ascii="Symbol" w:hAnsi="Symbol" w:hint="default"/>
      </w:rPr>
    </w:lvl>
    <w:lvl w:ilvl="4" w:tplc="9934E69C" w:tentative="1">
      <w:start w:val="1"/>
      <w:numFmt w:val="bullet"/>
      <w:lvlText w:val="o"/>
      <w:lvlJc w:val="left"/>
      <w:pPr>
        <w:ind w:left="3240" w:hanging="360"/>
      </w:pPr>
      <w:rPr>
        <w:rFonts w:ascii="Courier New" w:hAnsi="Courier New" w:cs="Courier New" w:hint="default"/>
      </w:rPr>
    </w:lvl>
    <w:lvl w:ilvl="5" w:tplc="6CDE08DC" w:tentative="1">
      <w:start w:val="1"/>
      <w:numFmt w:val="bullet"/>
      <w:lvlText w:val=""/>
      <w:lvlJc w:val="left"/>
      <w:pPr>
        <w:ind w:left="3960" w:hanging="360"/>
      </w:pPr>
      <w:rPr>
        <w:rFonts w:ascii="Wingdings" w:hAnsi="Wingdings" w:hint="default"/>
      </w:rPr>
    </w:lvl>
    <w:lvl w:ilvl="6" w:tplc="65224262" w:tentative="1">
      <w:start w:val="1"/>
      <w:numFmt w:val="bullet"/>
      <w:lvlText w:val=""/>
      <w:lvlJc w:val="left"/>
      <w:pPr>
        <w:ind w:left="4680" w:hanging="360"/>
      </w:pPr>
      <w:rPr>
        <w:rFonts w:ascii="Symbol" w:hAnsi="Symbol" w:hint="default"/>
      </w:rPr>
    </w:lvl>
    <w:lvl w:ilvl="7" w:tplc="0A2EC110" w:tentative="1">
      <w:start w:val="1"/>
      <w:numFmt w:val="bullet"/>
      <w:lvlText w:val="o"/>
      <w:lvlJc w:val="left"/>
      <w:pPr>
        <w:ind w:left="5400" w:hanging="360"/>
      </w:pPr>
      <w:rPr>
        <w:rFonts w:ascii="Courier New" w:hAnsi="Courier New" w:cs="Courier New" w:hint="default"/>
      </w:rPr>
    </w:lvl>
    <w:lvl w:ilvl="8" w:tplc="FE62BA48" w:tentative="1">
      <w:start w:val="1"/>
      <w:numFmt w:val="bullet"/>
      <w:lvlText w:val=""/>
      <w:lvlJc w:val="left"/>
      <w:pPr>
        <w:ind w:left="6120" w:hanging="360"/>
      </w:pPr>
      <w:rPr>
        <w:rFonts w:ascii="Wingdings" w:hAnsi="Wingdings" w:hint="default"/>
      </w:rPr>
    </w:lvl>
  </w:abstractNum>
  <w:abstractNum w:abstractNumId="1" w15:restartNumberingAfterBreak="0">
    <w:nsid w:val="6A5A5AF7"/>
    <w:multiLevelType w:val="multilevel"/>
    <w:tmpl w:val="0F941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E1F50FB"/>
    <w:multiLevelType w:val="hybridMultilevel"/>
    <w:tmpl w:val="00981F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04290853">
    <w:abstractNumId w:val="0"/>
  </w:num>
  <w:num w:numId="2" w16cid:durableId="1005593572">
    <w:abstractNumId w:val="2"/>
  </w:num>
  <w:num w:numId="3" w16cid:durableId="10407425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7752"/>
    <w:rsid w:val="0001019E"/>
    <w:rsid w:val="00024CA9"/>
    <w:rsid w:val="000346DD"/>
    <w:rsid w:val="00036816"/>
    <w:rsid w:val="00065B33"/>
    <w:rsid w:val="000A70C5"/>
    <w:rsid w:val="000D1F8A"/>
    <w:rsid w:val="000F696A"/>
    <w:rsid w:val="00153339"/>
    <w:rsid w:val="00154FA6"/>
    <w:rsid w:val="001A3278"/>
    <w:rsid w:val="001A4EAA"/>
    <w:rsid w:val="001B1EAC"/>
    <w:rsid w:val="00234E61"/>
    <w:rsid w:val="00292552"/>
    <w:rsid w:val="002A5422"/>
    <w:rsid w:val="002A7637"/>
    <w:rsid w:val="002C4C0E"/>
    <w:rsid w:val="002D0686"/>
    <w:rsid w:val="002D7A85"/>
    <w:rsid w:val="00314147"/>
    <w:rsid w:val="00345CCE"/>
    <w:rsid w:val="00377627"/>
    <w:rsid w:val="003F7C15"/>
    <w:rsid w:val="00406ED7"/>
    <w:rsid w:val="004206A5"/>
    <w:rsid w:val="004554D8"/>
    <w:rsid w:val="004A1C6F"/>
    <w:rsid w:val="004A41A2"/>
    <w:rsid w:val="004B1F5B"/>
    <w:rsid w:val="004D2D24"/>
    <w:rsid w:val="004D7F1B"/>
    <w:rsid w:val="00500182"/>
    <w:rsid w:val="00512B0B"/>
    <w:rsid w:val="005173C4"/>
    <w:rsid w:val="005228D2"/>
    <w:rsid w:val="005322B5"/>
    <w:rsid w:val="00557C2F"/>
    <w:rsid w:val="0058132C"/>
    <w:rsid w:val="005923B5"/>
    <w:rsid w:val="005A2C46"/>
    <w:rsid w:val="005B10C6"/>
    <w:rsid w:val="005C4352"/>
    <w:rsid w:val="005C5321"/>
    <w:rsid w:val="0061246E"/>
    <w:rsid w:val="00623C9C"/>
    <w:rsid w:val="006322D7"/>
    <w:rsid w:val="00635BAD"/>
    <w:rsid w:val="00647111"/>
    <w:rsid w:val="00660F00"/>
    <w:rsid w:val="006806CE"/>
    <w:rsid w:val="00683027"/>
    <w:rsid w:val="00683B2F"/>
    <w:rsid w:val="006855D7"/>
    <w:rsid w:val="006920B5"/>
    <w:rsid w:val="006C7B71"/>
    <w:rsid w:val="00733357"/>
    <w:rsid w:val="00757DA3"/>
    <w:rsid w:val="00764462"/>
    <w:rsid w:val="007F582C"/>
    <w:rsid w:val="007F6F48"/>
    <w:rsid w:val="008153DD"/>
    <w:rsid w:val="00822391"/>
    <w:rsid w:val="008243C3"/>
    <w:rsid w:val="00833331"/>
    <w:rsid w:val="00835D74"/>
    <w:rsid w:val="00841126"/>
    <w:rsid w:val="008521D4"/>
    <w:rsid w:val="0088483E"/>
    <w:rsid w:val="008A60E3"/>
    <w:rsid w:val="008D57DA"/>
    <w:rsid w:val="0092438A"/>
    <w:rsid w:val="0093211C"/>
    <w:rsid w:val="0094692E"/>
    <w:rsid w:val="009507AA"/>
    <w:rsid w:val="00963C04"/>
    <w:rsid w:val="009A429F"/>
    <w:rsid w:val="009D61E8"/>
    <w:rsid w:val="00A05110"/>
    <w:rsid w:val="00A13CFE"/>
    <w:rsid w:val="00A43F54"/>
    <w:rsid w:val="00A77752"/>
    <w:rsid w:val="00AB5A4B"/>
    <w:rsid w:val="00AC147D"/>
    <w:rsid w:val="00AC3CBD"/>
    <w:rsid w:val="00AD3CF8"/>
    <w:rsid w:val="00AD7871"/>
    <w:rsid w:val="00B42BE9"/>
    <w:rsid w:val="00B6324E"/>
    <w:rsid w:val="00BB3713"/>
    <w:rsid w:val="00BC615B"/>
    <w:rsid w:val="00BF1D54"/>
    <w:rsid w:val="00C01AF7"/>
    <w:rsid w:val="00C14E7F"/>
    <w:rsid w:val="00C36B5B"/>
    <w:rsid w:val="00C36C22"/>
    <w:rsid w:val="00C7032F"/>
    <w:rsid w:val="00C72531"/>
    <w:rsid w:val="00CD530A"/>
    <w:rsid w:val="00CF2A6F"/>
    <w:rsid w:val="00D62DC8"/>
    <w:rsid w:val="00D769F5"/>
    <w:rsid w:val="00D81689"/>
    <w:rsid w:val="00DA0F3A"/>
    <w:rsid w:val="00DA5E9F"/>
    <w:rsid w:val="00DB016B"/>
    <w:rsid w:val="00DD0576"/>
    <w:rsid w:val="00DD0EC5"/>
    <w:rsid w:val="00E171A5"/>
    <w:rsid w:val="00E25E9C"/>
    <w:rsid w:val="00EA11CE"/>
    <w:rsid w:val="00EA60AD"/>
    <w:rsid w:val="00EA6232"/>
    <w:rsid w:val="00ED2238"/>
    <w:rsid w:val="00EF3BF1"/>
    <w:rsid w:val="00F35B2C"/>
    <w:rsid w:val="00F40869"/>
    <w:rsid w:val="00F47668"/>
    <w:rsid w:val="00F559AB"/>
    <w:rsid w:val="00F65A10"/>
    <w:rsid w:val="00F90D9F"/>
    <w:rsid w:val="00F9203F"/>
    <w:rsid w:val="00FC066C"/>
    <w:rsid w:val="00FD5957"/>
    <w:rsid w:val="00FE38E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1639D"/>
  <w15:chartTrackingRefBased/>
  <w15:docId w15:val="{7C8EAFDF-BEF7-4C06-9582-18D1E8896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5A10"/>
    <w:pPr>
      <w:spacing w:line="360" w:lineRule="auto"/>
      <w:jc w:val="both"/>
    </w:pPr>
    <w:rPr>
      <w:rFonts w:ascii="Arial" w:hAnsi="Arial"/>
    </w:rPr>
  </w:style>
  <w:style w:type="paragraph" w:styleId="Heading1">
    <w:name w:val="heading 1"/>
    <w:basedOn w:val="Normal"/>
    <w:next w:val="Normal"/>
    <w:link w:val="Heading1Char"/>
    <w:uiPriority w:val="9"/>
    <w:qFormat/>
    <w:rsid w:val="005173C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7F6F4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7F6F4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24CA9"/>
    <w:rPr>
      <w:color w:val="0563C1" w:themeColor="hyperlink"/>
      <w:u w:val="single"/>
    </w:rPr>
  </w:style>
  <w:style w:type="character" w:customStyle="1" w:styleId="whitespace-normal">
    <w:name w:val="whitespace-normal"/>
    <w:basedOn w:val="DefaultParagraphFont"/>
    <w:rsid w:val="00024CA9"/>
  </w:style>
  <w:style w:type="paragraph" w:styleId="ListParagraph">
    <w:name w:val="List Paragraph"/>
    <w:basedOn w:val="Normal"/>
    <w:uiPriority w:val="34"/>
    <w:qFormat/>
    <w:rsid w:val="00500182"/>
    <w:pPr>
      <w:ind w:left="720"/>
      <w:contextualSpacing/>
    </w:pPr>
  </w:style>
  <w:style w:type="table" w:styleId="TableGrid">
    <w:name w:val="Table Grid"/>
    <w:basedOn w:val="TableNormal"/>
    <w:uiPriority w:val="39"/>
    <w:rsid w:val="00F559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173C4"/>
    <w:rPr>
      <w:rFonts w:ascii="Arial" w:eastAsiaTheme="majorEastAsia" w:hAnsi="Arial" w:cstheme="majorBidi"/>
      <w:b/>
      <w:sz w:val="28"/>
      <w:szCs w:val="32"/>
    </w:rPr>
  </w:style>
  <w:style w:type="paragraph" w:styleId="Header">
    <w:name w:val="header"/>
    <w:basedOn w:val="Normal"/>
    <w:link w:val="HeaderChar"/>
    <w:uiPriority w:val="99"/>
    <w:unhideWhenUsed/>
    <w:rsid w:val="006830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3027"/>
    <w:rPr>
      <w:rFonts w:ascii="Arial" w:hAnsi="Arial"/>
    </w:rPr>
  </w:style>
  <w:style w:type="paragraph" w:styleId="Footer">
    <w:name w:val="footer"/>
    <w:basedOn w:val="Normal"/>
    <w:link w:val="FooterChar"/>
    <w:uiPriority w:val="99"/>
    <w:unhideWhenUsed/>
    <w:rsid w:val="006830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3027"/>
    <w:rPr>
      <w:rFonts w:ascii="Arial" w:hAnsi="Arial"/>
    </w:rPr>
  </w:style>
  <w:style w:type="paragraph" w:styleId="TOCHeading">
    <w:name w:val="TOC Heading"/>
    <w:basedOn w:val="Heading1"/>
    <w:next w:val="Normal"/>
    <w:uiPriority w:val="39"/>
    <w:unhideWhenUsed/>
    <w:qFormat/>
    <w:rsid w:val="005173C4"/>
    <w:pPr>
      <w:spacing w:line="259" w:lineRule="auto"/>
      <w:jc w:val="left"/>
      <w:outlineLvl w:val="9"/>
    </w:pPr>
    <w:rPr>
      <w:lang w:val="en-US"/>
    </w:rPr>
  </w:style>
  <w:style w:type="paragraph" w:styleId="TOC1">
    <w:name w:val="toc 1"/>
    <w:basedOn w:val="Normal"/>
    <w:next w:val="Normal"/>
    <w:autoRedefine/>
    <w:uiPriority w:val="39"/>
    <w:unhideWhenUsed/>
    <w:rsid w:val="005173C4"/>
    <w:pPr>
      <w:spacing w:after="100"/>
    </w:pPr>
  </w:style>
  <w:style w:type="character" w:customStyle="1" w:styleId="Heading2Char">
    <w:name w:val="Heading 2 Char"/>
    <w:basedOn w:val="DefaultParagraphFont"/>
    <w:link w:val="Heading2"/>
    <w:uiPriority w:val="9"/>
    <w:semiHidden/>
    <w:rsid w:val="007F6F4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7F6F48"/>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5502/jcswb.371" TargetMode="External"/><Relationship Id="rId18" Type="http://schemas.openxmlformats.org/officeDocument/2006/relationships/hyperlink" Target="https://doi.org/10.1080/15548732.2024.2411047"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155/2023/6953134" TargetMode="External"/><Relationship Id="rId17" Type="http://schemas.openxmlformats.org/officeDocument/2006/relationships/hyperlink" Target="https://cberuk.com/cdn/publications/2024-06-01-17-41-17-PM.pdf" TargetMode="External"/><Relationship Id="rId2" Type="http://schemas.openxmlformats.org/officeDocument/2006/relationships/numbering" Target="numbering.xml"/><Relationship Id="rId16" Type="http://schemas.openxmlformats.org/officeDocument/2006/relationships/hyperlink" Target="https://www.journalslibrary.nihr.ac.uk/hsdr/JVFW4781"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89/fmed.2024.1477898" TargetMode="External"/><Relationship Id="rId5" Type="http://schemas.openxmlformats.org/officeDocument/2006/relationships/webSettings" Target="webSettings.xml"/><Relationship Id="rId15" Type="http://schemas.openxmlformats.org/officeDocument/2006/relationships/hyperlink" Target="https://doi.org/10.1007/s10896-024-00681-4" TargetMode="External"/><Relationship Id="rId10" Type="http://schemas.openxmlformats.org/officeDocument/2006/relationships/hyperlink" Target="https://doi.org/10.1177/13623613251335715" TargetMode="External"/><Relationship Id="rId19" Type="http://schemas.openxmlformats.org/officeDocument/2006/relationships/hyperlink" Target="https://doi.org/10.1108/JAP-03-2022-0006" TargetMode="External"/><Relationship Id="rId4" Type="http://schemas.openxmlformats.org/officeDocument/2006/relationships/settings" Target="settings.xml"/><Relationship Id="rId9" Type="http://schemas.openxmlformats.org/officeDocument/2006/relationships/hyperlink" Target="https://doi.org/10.3389/fpsyt.2022.963101" TargetMode="External"/><Relationship Id="rId14" Type="http://schemas.openxmlformats.org/officeDocument/2006/relationships/hyperlink" Target="https://doi.org/10.2196/53715"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B46CE6-5FC2-4772-9657-A3B2F29E7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2080</TotalTime>
  <Pages>10</Pages>
  <Words>2379</Words>
  <Characters>14395</Characters>
  <Application>Microsoft Office Word</Application>
  <DocSecurity>0</DocSecurity>
  <Lines>239</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AOC</dc:creator>
  <cp:lastModifiedBy>Affoue Denise Kouadio (2412968)</cp:lastModifiedBy>
  <cp:revision>4</cp:revision>
  <dcterms:created xsi:type="dcterms:W3CDTF">2026-03-28T00:43:00Z</dcterms:created>
  <dcterms:modified xsi:type="dcterms:W3CDTF">2026-03-29T10:19:00Z</dcterms:modified>
</cp:coreProperties>
</file>