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3C91B" w14:textId="77777777" w:rsidR="00F208A5" w:rsidRPr="00F208A5" w:rsidRDefault="00F208A5" w:rsidP="00F208A5">
      <w:r w:rsidRPr="00F208A5">
        <w:t>5HR03  - Melanie Warne 2419781</w:t>
      </w:r>
      <w:r w:rsidRPr="00F208A5">
        <w:br/>
        <w:t>Reward for performance and contribution</w:t>
      </w:r>
    </w:p>
    <w:p w14:paraId="28A6F2D1" w14:textId="77777777" w:rsidR="00F208A5" w:rsidRPr="00F208A5" w:rsidRDefault="00F208A5" w:rsidP="00F208A5">
      <w:r w:rsidRPr="00F208A5">
        <w:t>AC 1.1</w:t>
      </w:r>
    </w:p>
    <w:p w14:paraId="27BE05E2" w14:textId="77777777" w:rsidR="00F208A5" w:rsidRPr="00F208A5" w:rsidRDefault="00F208A5" w:rsidP="00F208A5">
      <w:r w:rsidRPr="00F208A5">
        <w:t>Reward plays a central role in shaping organisational culture and supporting performance management, particularly in organisations such as ParcelCare that are struggling to attract, recruit and retain staff. The principles of reward provide a framework for ensuring reward practices are fair, motivating and aligned with organisational objectives (Armstrong and Taylor, 2023).</w:t>
      </w:r>
    </w:p>
    <w:p w14:paraId="3FF46D4B" w14:textId="77777777" w:rsidR="00F208A5" w:rsidRPr="00F208A5" w:rsidRDefault="00F208A5" w:rsidP="00F208A5">
      <w:r w:rsidRPr="00F208A5">
        <w:t>A core principle of reward is fairness and equity. Employees are more likely to be engaged and committed when reward outcomes are perceived as fair in relation to role demands, contribution and market value. Armstrong and Taylor (2023) argue that perceived unfairness in pay or benefits can quickly undermine trust and employee relations. For ParcelCare, where operational employees may directly compare pay and conditions with competitors, ensuring both internal and external equity is essential. </w:t>
      </w:r>
      <w:r w:rsidRPr="00F208A5">
        <w:rPr>
          <w:i/>
          <w:iCs/>
        </w:rPr>
        <w:t>HR Magazine</w:t>
      </w:r>
      <w:r w:rsidRPr="00F208A5">
        <w:t> (2022) highlights that fairness in reward is closely linked to organisational culture, with transparent pay practices supporting trust and engagement. This principle underpins performance management by reinforcing consistent standards and expectations.</w:t>
      </w:r>
    </w:p>
    <w:p w14:paraId="1F11A6F2" w14:textId="77777777" w:rsidR="00F208A5" w:rsidRPr="00F208A5" w:rsidRDefault="00F208A5" w:rsidP="00F208A5">
      <w:r w:rsidRPr="00F208A5">
        <w:t>Another key principle is alignment with organisational goals. Reward systems should reinforce behaviours and performance that contribute to business objectives. CIPD (2023) states that reward should encourage the right outcomes rather than simply rewarding activity. At ParcelCare, linking reward to delivery accuracy, customer satisfaction or safety performance can help embed a performance-focused culture. </w:t>
      </w:r>
      <w:r w:rsidRPr="00F208A5">
        <w:rPr>
          <w:i/>
          <w:iCs/>
        </w:rPr>
        <w:t>Harvard Business Review</w:t>
      </w:r>
      <w:r w:rsidRPr="00F208A5">
        <w:t> (HBR, 2019) suggests that reward systems aligned to strategy are more effective in sustaining performance than those focused solely on short-term incentives.</w:t>
      </w:r>
    </w:p>
    <w:p w14:paraId="033E5D72" w14:textId="77777777" w:rsidR="00F208A5" w:rsidRPr="00F208A5" w:rsidRDefault="00F208A5" w:rsidP="00F208A5">
      <w:r w:rsidRPr="00F208A5">
        <w:t>Transparency and consistency are also fundamental principles of reward. Employees need to understand how reward decisions are made and how performance is assessed. Armstrong and Taylor (2023) note that transparent reward structures reduce perceptions of bias and support constructive performance discussions. For ParcelCare, clear communication around pay progression, bonuses and recognition schemes can help managers apply performance management processes consistently across sites.</w:t>
      </w:r>
    </w:p>
    <w:p w14:paraId="0A93957D" w14:textId="77777777" w:rsidR="00F208A5" w:rsidRPr="00F208A5" w:rsidRDefault="00F208A5" w:rsidP="00F208A5">
      <w:r w:rsidRPr="00F208A5">
        <w:t>The principle of total reward recognises that employees value more than pay alone. Total reward includes benefits, development opportunities, recognition and work–life balance (CIPD, 2023). HBR (2018) highlights that non-financial rewards such as development and meaningful work are strongly linked to long-term motivation. For ParcelCare, offering training pathways, recognition and flexible working where possible can strengthen organisational culture and support sustained performance.</w:t>
      </w:r>
    </w:p>
    <w:p w14:paraId="5ADAA34B" w14:textId="77777777" w:rsidR="00F208A5" w:rsidRPr="00F208A5" w:rsidRDefault="00F208A5" w:rsidP="00F208A5">
      <w:r w:rsidRPr="00F208A5">
        <w:lastRenderedPageBreak/>
        <w:t>Overall, applying reward principles effectively helps create a culture where performance is recognised, expectations are clear and employees feel valued. For ParcelCare, a fair, transparent and strategically aligned reward approach is essential to strengthening organisational culture and improving performance management outcomes.</w:t>
      </w:r>
    </w:p>
    <w:p w14:paraId="10B75EA3" w14:textId="77777777" w:rsidR="00F208A5" w:rsidRPr="00F208A5" w:rsidRDefault="00F208A5" w:rsidP="00F208A5">
      <w:r w:rsidRPr="00F208A5">
        <w:t>AC 1.2</w:t>
      </w:r>
    </w:p>
    <w:p w14:paraId="65B65B12" w14:textId="77777777" w:rsidR="00F208A5" w:rsidRPr="00F208A5" w:rsidRDefault="00F208A5" w:rsidP="00F208A5">
      <w:r w:rsidRPr="00F208A5">
        <w:t>Extrinsic and intrinsic rewards both contribute to improving employee contribution and sustaining organisational performance, but they influence motivation in different ways. For ParcelCare, which is experiencing recruitment and retention difficulties, understanding how these reward types operate is essential to developing an effective and balanced reward strategy.</w:t>
      </w:r>
    </w:p>
    <w:p w14:paraId="1FD0A2CC" w14:textId="77777777" w:rsidR="00F208A5" w:rsidRPr="00F208A5" w:rsidRDefault="00F208A5" w:rsidP="00F208A5">
      <w:r w:rsidRPr="00F208A5">
        <w:t>Extrinsic rewards are tangible and typically financial in nature, including pay, bonuses, allowances and benefits. These rewards play a significant role in attracting employees and meeting basic expectations, particularly in competitive labour markets. Armstrong and Taylor (2023) argue that pay remains a critical factor in recruitment and short-term motivation, especially in operational roles with high turnover. For ParcelCare, competitive base pay, overtime premiums and attendance-related incentives may improve employee contribution by encouraging reliability and output. CIPD (2023) similarly notes that extrinsic rewards are effective in reinforcing measurable performance outcomes, although their motivational impact can be limited if used in isolation.</w:t>
      </w:r>
    </w:p>
    <w:p w14:paraId="22023D1C" w14:textId="77777777" w:rsidR="00F208A5" w:rsidRPr="00F208A5" w:rsidRDefault="00F208A5" w:rsidP="00F208A5">
      <w:r w:rsidRPr="00F208A5">
        <w:t>However, research suggests that extrinsic rewards alone rarely sustain long-term performance. </w:t>
      </w:r>
      <w:r w:rsidRPr="00F208A5">
        <w:rPr>
          <w:i/>
          <w:iCs/>
        </w:rPr>
        <w:t>Harvard Business Review</w:t>
      </w:r>
      <w:r w:rsidRPr="00F208A5">
        <w:t> (2017) highlights that financial incentives can lead to compliance rather than commitment, particularly where work is repetitive or target-driven. In the context of ParcelCare, an over-reliance on financial incentives may improve short-term productivity but fail to address underlying engagement or retention issues, limiting their contribution to sustained organisational performance.</w:t>
      </w:r>
    </w:p>
    <w:p w14:paraId="4AEF1C36" w14:textId="77777777" w:rsidR="00F208A5" w:rsidRPr="00F208A5" w:rsidRDefault="00F208A5" w:rsidP="00F208A5">
      <w:r w:rsidRPr="00F208A5">
        <w:t>In contrast, intrinsic rewards relate to the satisfaction gained from the work itself, including recognition, development opportunities, autonomy and a sense of purpose. CIPD (2023) emphasises that intrinsic rewards are strongly linked to engagement, discretionary effort and long-term retention. For ParcelCare, opportunities for training, progression into supervisory roles and meaningful recognition for customer service or safety behaviours may enhance employees’ sense of value and commitment. HBR (2018) argues that intrinsic motivation is closely associated with sustained performance, as employees are motivated by mastery, growth and contribution rather than purely financial gain.</w:t>
      </w:r>
    </w:p>
    <w:p w14:paraId="521A1091" w14:textId="77777777" w:rsidR="00F208A5" w:rsidRPr="00F208A5" w:rsidRDefault="00F208A5" w:rsidP="00F208A5">
      <w:r w:rsidRPr="00F208A5">
        <w:t>From an organisational perspective, intrinsic rewards also support a positive culture and stronger performance management outcomes. </w:t>
      </w:r>
      <w:r w:rsidRPr="00F208A5">
        <w:rPr>
          <w:i/>
          <w:iCs/>
        </w:rPr>
        <w:t>HR Magazine</w:t>
      </w:r>
      <w:r w:rsidRPr="00F208A5">
        <w:t xml:space="preserve"> (2022) notes that </w:t>
      </w:r>
      <w:r w:rsidRPr="00F208A5">
        <w:lastRenderedPageBreak/>
        <w:t>organisations investing in development and recognition are more likely to experience lower turnover and higher engagement. However, intrinsic rewards are less effective if extrinsic rewards are perceived as unfair or insufficient, particularly in lower-paid operational roles (Armstrong and Taylor, 2023).</w:t>
      </w:r>
    </w:p>
    <w:p w14:paraId="4CFA796B" w14:textId="77777777" w:rsidR="00F208A5" w:rsidRPr="00F208A5" w:rsidRDefault="00F208A5" w:rsidP="00F208A5">
      <w:r w:rsidRPr="00F208A5">
        <w:t>Overall, extrinsic and intrinsic rewards contribute most effectively to employee contribution and sustained performance when combined within a total reward approach. For ParcelCare, ensuring fair pay while investing in recognition, development and meaningful work can support both immediate performance outcomes and long-term organisational sustainability (CIPD, 2023).</w:t>
      </w:r>
    </w:p>
    <w:p w14:paraId="4010E98B" w14:textId="77777777" w:rsidR="00F208A5" w:rsidRPr="00F208A5" w:rsidRDefault="00F208A5" w:rsidP="00F208A5"/>
    <w:p w14:paraId="63DC5402" w14:textId="77777777" w:rsidR="00F208A5" w:rsidRPr="00F208A5" w:rsidRDefault="00F208A5" w:rsidP="00F208A5">
      <w:r w:rsidRPr="00F208A5">
        <w:t>AC 2.1</w:t>
      </w:r>
    </w:p>
    <w:p w14:paraId="168FBAC1" w14:textId="77777777" w:rsidR="00F208A5" w:rsidRPr="00F208A5" w:rsidRDefault="00F208A5" w:rsidP="00F208A5">
      <w:r w:rsidRPr="00F208A5">
        <w:t>Grade and pay structures provide a formal framework for determining how jobs are valued and rewarded within an organisation. They play an important role in supporting fairness, transparency and consistency in reward management. Different types of grade and pay structures vary in complexity and suitability depending on organisational size, strategy and workforce composition.</w:t>
      </w:r>
    </w:p>
    <w:p w14:paraId="22FC326A" w14:textId="77777777" w:rsidR="00F208A5" w:rsidRPr="00F208A5" w:rsidRDefault="00F208A5" w:rsidP="00F208A5">
      <w:r w:rsidRPr="00F208A5">
        <w:t>A graded pay structure is one of the most common approaches and consists of a hierarchy of job grades, each with a corresponding pay range. Jobs are evaluated and allocated to grades based on factors such as responsibility, skills and contribution. Armstrong and Taylor (2023) note that graded structures support internal equity and provide clear progression opportunities. For ParcelCare, a traditional graded structure could help ensure consistency across operational roles such as drivers, warehouse staff and supervisors. However, rigid grading may limit flexibility in responding to labour market pressures, particularly where certain roles are harder to recruit.</w:t>
      </w:r>
    </w:p>
    <w:p w14:paraId="4026DE1B" w14:textId="77777777" w:rsidR="00F208A5" w:rsidRPr="00F208A5" w:rsidRDefault="00F208A5" w:rsidP="00F208A5">
      <w:r w:rsidRPr="00F208A5">
        <w:t>A broadbanded pay structure reduces the number of grades by combining several into wider pay bands. This allows greater flexibility in pay progression and role development. According to the Chartered Institute of Personnel and Development (CIPD, 2023), broadbanding can support more fluid career paths and encourage skill development. For ParcelCare, broadbanding may be beneficial in operational or technical roles where employees take on varied responsibilities. However, wider bands can reduce transparency and increase the risk of perceived unfairness if pay decisions are not clearly explained.</w:t>
      </w:r>
    </w:p>
    <w:p w14:paraId="2E23843B" w14:textId="77777777" w:rsidR="00F208A5" w:rsidRPr="00F208A5" w:rsidRDefault="00F208A5" w:rsidP="00F208A5">
      <w:r w:rsidRPr="00F208A5">
        <w:t xml:space="preserve">A job family structure groups roles by function or discipline, such as operations, customer service or logistics management, with separate grading and pay ranges for each family. Armstrong and Taylor (2023) suggest that this approach supports market alignment by recognising different external pay rates for different job types. For ParcelCare, job family structures could help address recruitment challenges by allowing </w:t>
      </w:r>
      <w:r w:rsidRPr="00F208A5">
        <w:lastRenderedPageBreak/>
        <w:t>higher pay rates for scarce skills, such as HGV drivers, without disrupting the wider pay framework. The main limitation is increased complexity, which may be harder to manage consistently across a large workforce.</w:t>
      </w:r>
    </w:p>
    <w:p w14:paraId="23949DC8" w14:textId="77777777" w:rsidR="00F208A5" w:rsidRPr="00F208A5" w:rsidRDefault="00F208A5" w:rsidP="00F208A5">
      <w:r w:rsidRPr="00F208A5">
        <w:t>A spot rate or market-based structure sets pay based primarily on external market rates rather than internal grading. This approach is often used for roles where skills are scarce or turnover is high. CIPD (2023) notes that spot rates can improve attraction and retention but may undermine internal equity. At ParcelCare, spot rates could be effective for hard-to-fill delivery roles but risk creating pay disparities if not carefully controlled.</w:t>
      </w:r>
    </w:p>
    <w:p w14:paraId="1775CD09" w14:textId="77777777" w:rsidR="00F208A5" w:rsidRPr="00F208A5" w:rsidRDefault="00F208A5" w:rsidP="00F208A5">
      <w:r w:rsidRPr="00F208A5">
        <w:t>Overall, each type of grade and pay structure has advantages and limitations. For ParcelCare, selecting the most appropriate approach requires balancing fairness, flexibility and market competitiveness to support both operational performance and employee engagement.</w:t>
      </w:r>
    </w:p>
    <w:p w14:paraId="1D47A1C5" w14:textId="77777777" w:rsidR="00F208A5" w:rsidRPr="00F208A5" w:rsidRDefault="00F208A5" w:rsidP="00F208A5">
      <w:r w:rsidRPr="00F208A5">
        <w:t>AC 2.2</w:t>
      </w:r>
    </w:p>
    <w:p w14:paraId="6015D1B0" w14:textId="77777777" w:rsidR="00F208A5" w:rsidRPr="00F208A5" w:rsidRDefault="00F208A5" w:rsidP="00F208A5"/>
    <w:p w14:paraId="401A45F2" w14:textId="77777777" w:rsidR="00F208A5" w:rsidRPr="00F208A5" w:rsidRDefault="00F208A5" w:rsidP="00F208A5">
      <w:r w:rsidRPr="00F208A5">
        <w:t>Contingent rewards are rewards that are directly linked to performance outcomes or the achievement of specific objectives. They are commonly used within performance management systems to reinforce desired behaviours and can influence performance at individual, team and organisational levels when applied consistently and transparently.</w:t>
      </w:r>
    </w:p>
    <w:p w14:paraId="4AFA3C2A" w14:textId="77777777" w:rsidR="00F208A5" w:rsidRPr="00F208A5" w:rsidRDefault="00F208A5" w:rsidP="00F208A5">
      <w:r w:rsidRPr="00F208A5">
        <w:t>At an individual level, contingent rewards are typically linked to personal targets or behaviours, such as productivity, attendance or quality standards. Examples include performance-related pay, bonuses or recognition awards. Armstrong and Taylor (2023) explain that contingent rewards help clarify performance expectations by explicitly linking effort and results to reward outcomes. For ParcelCare, individual incentives such as attendance bonuses, safe-driving rewards or delivery accuracy payments may encourage reliability and personal accountability in operational roles. </w:t>
      </w:r>
      <w:r w:rsidRPr="00F208A5">
        <w:rPr>
          <w:i/>
          <w:iCs/>
        </w:rPr>
        <w:t>HR Magazine</w:t>
      </w:r>
      <w:r w:rsidRPr="00F208A5">
        <w:t>(2022) notes that clear links between performance and reward can improve short-term motivation, particularly in roles with measurable outputs.</w:t>
      </w:r>
    </w:p>
    <w:p w14:paraId="7CE2FCA2" w14:textId="77777777" w:rsidR="00F208A5" w:rsidRPr="00F208A5" w:rsidRDefault="00F208A5" w:rsidP="00F208A5">
      <w:r w:rsidRPr="00F208A5">
        <w:t>At a team level, contingent rewards are based on collective performance rather than individual achievement. These may include team bonuses or shared incentives linked to operational targets. The CIPD  (CIPD, 2023) suggests that team-based contingent rewards can encourage cooperation and reduce unhealthy competition between employees. For ParcelCare, team rewards linked to depot-level outcomes such as on-time delivery rates or customer satisfaction scores may reinforce collaboration across drivers, warehouse staff and supervisors. </w:t>
      </w:r>
      <w:r w:rsidRPr="00F208A5">
        <w:rPr>
          <w:i/>
          <w:iCs/>
        </w:rPr>
        <w:t>People Management</w:t>
      </w:r>
      <w:r w:rsidRPr="00F208A5">
        <w:t xml:space="preserve"> (2023) highlights that </w:t>
      </w:r>
      <w:r w:rsidRPr="00F208A5">
        <w:lastRenderedPageBreak/>
        <w:t>team incentives are particularly effective in operational environments where performance depends on interdependent roles.</w:t>
      </w:r>
    </w:p>
    <w:p w14:paraId="2B02C9D7" w14:textId="77777777" w:rsidR="00F208A5" w:rsidRPr="00F208A5" w:rsidRDefault="00F208A5" w:rsidP="00F208A5">
      <w:r w:rsidRPr="00F208A5">
        <w:t>At an organisational level, contingent rewards are linked to overall business performance, such as profit-related pay or organisation-wide bonus schemes. Armstrong and Taylor (2023) argue that these rewards can help employees see the connection between their contribution and organisational success. For ParcelCare, organisation-wide rewards linked to service performance or efficiency targets may help strengthen alignment with business objectives. </w:t>
      </w:r>
      <w:r w:rsidRPr="00F208A5">
        <w:rPr>
          <w:i/>
          <w:iCs/>
        </w:rPr>
        <w:t>Harvard Business Review</w:t>
      </w:r>
      <w:r w:rsidRPr="00F208A5">
        <w:t> (HBR, 2017) suggests that organisation-level incentives can reinforce a shared sense of purpose when employees understand how collective performance is measured.</w:t>
      </w:r>
    </w:p>
    <w:p w14:paraId="250601AB" w14:textId="77777777" w:rsidR="00F208A5" w:rsidRPr="00F208A5" w:rsidRDefault="00F208A5" w:rsidP="00F208A5">
      <w:r w:rsidRPr="00F208A5">
        <w:t>Across all levels, the effectiveness of contingent rewards depends on how clearly performance criteria are defined and communicated. CIPD (2023) stresses that poorly designed contingent reward schemes may lead to confusion or disengagement if employees perceive targets as unclear or unachievable. Transparency and consistency are therefore essential to ensure contingent rewards support performance management.</w:t>
      </w:r>
    </w:p>
    <w:p w14:paraId="727AB850" w14:textId="77777777" w:rsidR="00F208A5" w:rsidRPr="00F208A5" w:rsidRDefault="00F208A5" w:rsidP="00F208A5">
      <w:r w:rsidRPr="00F208A5">
        <w:t>Overall, contingent rewards influence individual, team and organisational performance by reinforcing specific behaviours and outcomes. For ParcelCare, their effective use can support motivation, collaboration and alignment with organisational goals when embedded within a clear and well-communicated reward framework.</w:t>
      </w:r>
    </w:p>
    <w:p w14:paraId="68FDC1EE" w14:textId="77777777" w:rsidR="00F208A5" w:rsidRPr="00F208A5" w:rsidRDefault="00F208A5" w:rsidP="00F208A5"/>
    <w:p w14:paraId="6A05C4D0" w14:textId="77777777" w:rsidR="00F208A5" w:rsidRPr="00F208A5" w:rsidRDefault="00F208A5" w:rsidP="00F208A5"/>
    <w:p w14:paraId="7A5C5B57" w14:textId="77777777" w:rsidR="00F208A5" w:rsidRPr="00F208A5" w:rsidRDefault="00F208A5" w:rsidP="00F208A5"/>
    <w:p w14:paraId="44291B81" w14:textId="77777777" w:rsidR="00F208A5" w:rsidRPr="00F208A5" w:rsidRDefault="00F208A5" w:rsidP="00F208A5"/>
    <w:p w14:paraId="78110A4A" w14:textId="77777777" w:rsidR="00F208A5" w:rsidRPr="00F208A5" w:rsidRDefault="00F208A5" w:rsidP="00F208A5">
      <w:r w:rsidRPr="00F208A5">
        <w:t>AC 2.3</w:t>
      </w:r>
    </w:p>
    <w:p w14:paraId="40C49E56" w14:textId="77777777" w:rsidR="00F208A5" w:rsidRPr="00F208A5" w:rsidRDefault="00F208A5" w:rsidP="00F208A5">
      <w:r w:rsidRPr="00F208A5">
        <w:t>Employee benefits form a key component of the total reward package and play an important role in supporting attraction, retention and employee wellbeing. Different types of benefits offer distinct advantages to both employees and organisations, depending on workforce needs and organisational strategy.</w:t>
      </w:r>
    </w:p>
    <w:p w14:paraId="51FB20FC" w14:textId="77777777" w:rsidR="00F208A5" w:rsidRPr="00F208A5" w:rsidRDefault="00F208A5" w:rsidP="00F208A5">
      <w:r w:rsidRPr="00F208A5">
        <w:t xml:space="preserve">Financial benefits are among the most commonly offered and include pensions, life assurance, sick pay and employee discounts. These benefits provide employees with financial security and stability, which can improve commitment and reduce financial stress. Armstrong and Taylor (2023) note that pensions and enhanced sick pay are often viewed as core benefits that signal organisational support and long-term investment in employees. For ParcelCare, where many roles are physically demanding, enhanced sick </w:t>
      </w:r>
      <w:r w:rsidRPr="00F208A5">
        <w:lastRenderedPageBreak/>
        <w:t>pay and income protection may be particularly valued and help reduce presenteeism and turnover.</w:t>
      </w:r>
    </w:p>
    <w:p w14:paraId="2A2D31EC" w14:textId="77777777" w:rsidR="00F208A5" w:rsidRPr="00F208A5" w:rsidRDefault="00F208A5" w:rsidP="00F208A5">
      <w:r w:rsidRPr="00F208A5">
        <w:t>Health and wellbeing benefits are increasingly important in modern reward strategies. These may include private medical insurance, employee assistance programmes (EAPs), mental health support and wellbeing initiatives. CIPD (2023) highlights that wellbeing benefits can improve engagement and reduce absence by supporting employees’ physical and mental health. For ParcelCare, access to wellbeing support could help employees manage the pressures associated with shift work, tight delivery schedules and physically demanding roles. Such benefits also reinforce a culture that values employee welfare, which can positively influence retention.</w:t>
      </w:r>
    </w:p>
    <w:p w14:paraId="22E1046D" w14:textId="77777777" w:rsidR="00F208A5" w:rsidRPr="00F208A5" w:rsidRDefault="00F208A5" w:rsidP="00F208A5">
      <w:r w:rsidRPr="00F208A5">
        <w:t>Work–life balance benefits include flexible working arrangements, additional leave, parental benefits and shift flexibility. These benefits help employees balance work with personal responsibilities, which can enhance job satisfaction and engagement. </w:t>
      </w:r>
      <w:r w:rsidRPr="00F208A5">
        <w:rPr>
          <w:i/>
          <w:iCs/>
        </w:rPr>
        <w:t>HR Magazine</w:t>
      </w:r>
      <w:r w:rsidRPr="00F208A5">
        <w:t> (2022) notes that flexible working and leave benefits are increasingly valued across all age groups, not just parents. For ParcelCare, offering flexible shift patterns or predictable rotas where operationally possible may improve retention, particularly in hard-to-fill roles.</w:t>
      </w:r>
    </w:p>
    <w:p w14:paraId="2D738D56" w14:textId="77777777" w:rsidR="00F208A5" w:rsidRPr="00F208A5" w:rsidRDefault="00F208A5" w:rsidP="00F208A5">
      <w:r w:rsidRPr="00F208A5">
        <w:t>Lifestyle and voluntary benefits such as retail discounts, cycle-to-work schemes and salary sacrifice arrangements offer employees choice and personalisation. Armstrong and Taylor (2023) suggest that voluntary benefits can enhance perceived reward value at relatively low cost to the employer. For ParcelCare, these benefits may be attractive in a workforce with varied demographics and preferences, supporting engagement without significantly increasing pay costs.</w:t>
      </w:r>
    </w:p>
    <w:p w14:paraId="4501D783" w14:textId="77777777" w:rsidR="00F208A5" w:rsidRPr="00F208A5" w:rsidRDefault="00F208A5" w:rsidP="00F208A5">
      <w:r w:rsidRPr="00F208A5">
        <w:t>Overall, the merit of different benefit types lies in their ability to meet diverse employee needs while supporting organisational objectives. For ParcelCare, a well-designed benefits offering can strengthen the overall reward proposition, enhance employee wellbeing and support sustained performance when aligned with workforce priorities.</w:t>
      </w:r>
    </w:p>
    <w:p w14:paraId="72B58A10" w14:textId="77777777" w:rsidR="00F208A5" w:rsidRPr="00F208A5" w:rsidRDefault="00F208A5" w:rsidP="00F208A5"/>
    <w:p w14:paraId="397E80F9" w14:textId="77777777" w:rsidR="00F208A5" w:rsidRPr="00F208A5" w:rsidRDefault="00F208A5" w:rsidP="00F208A5"/>
    <w:p w14:paraId="45269F5B" w14:textId="77777777" w:rsidR="00F208A5" w:rsidRPr="00F208A5" w:rsidRDefault="00F208A5" w:rsidP="00F208A5"/>
    <w:p w14:paraId="75BC4A29" w14:textId="77777777" w:rsidR="00F208A5" w:rsidRPr="00F208A5" w:rsidRDefault="00F208A5" w:rsidP="00F208A5">
      <w:r w:rsidRPr="00F208A5">
        <w:t>AC 2.4</w:t>
      </w:r>
    </w:p>
    <w:p w14:paraId="5375FA82" w14:textId="77777777" w:rsidR="00F208A5" w:rsidRPr="00F208A5" w:rsidRDefault="00F208A5" w:rsidP="00F208A5">
      <w:r w:rsidRPr="00F208A5">
        <w:t>Recognition schemes are a key element of total reward and play an important role in reinforcing positive behaviours, improving motivation and supporting organisational culture. Unlike pay, recognition focuses on acknowledging effort, contribution and values-driven behaviour, often in a timely and personal way. Different types of recognition schemes offer distinct benefits to organisations and employees.</w:t>
      </w:r>
    </w:p>
    <w:p w14:paraId="7018318E" w14:textId="77777777" w:rsidR="00F208A5" w:rsidRPr="00F208A5" w:rsidRDefault="00F208A5" w:rsidP="00F208A5">
      <w:r w:rsidRPr="00F208A5">
        <w:lastRenderedPageBreak/>
        <w:t>Formal recognition schemes are structured programmes that recognise achievement against defined criteria. These may include employee of the month awards, long-service awards or performance-based recognition linked to organisational values. Armstrong and Taylor (2023) suggest that formal recognition schemes help ensure consistency and fairness by applying clear standards. For ParcelCare, formal recognition for safe driving, customer service excellence or reliability could reinforce performance expectations and support a culture of accountability across operational roles.</w:t>
      </w:r>
    </w:p>
    <w:p w14:paraId="6B31F6BD" w14:textId="77777777" w:rsidR="00F208A5" w:rsidRPr="00F208A5" w:rsidRDefault="00F208A5" w:rsidP="00F208A5">
      <w:r w:rsidRPr="00F208A5">
        <w:t>Informal recognition involves day-to-day acknowledgement from managers or peers, such as verbal praise, thank-you messages or small gestures of appreciation. CIPD (2023) highlights that informal recognition is often highly valued because it is immediate and personal. At ParcelCare, line managers recognising effort during peak delivery periods can help maintain morale and motivation. Informal recognition is particularly effective in fast-paced environments, where timely feedback can reinforce positive behaviour without complex processes.</w:t>
      </w:r>
    </w:p>
    <w:p w14:paraId="76D3AF10" w14:textId="77777777" w:rsidR="00F208A5" w:rsidRPr="00F208A5" w:rsidRDefault="00F208A5" w:rsidP="00F208A5">
      <w:r w:rsidRPr="00F208A5">
        <w:t>Peer-to-peer recognition schemes allow employees to recognise each other’s contributions, often through digital platforms or nomination systems. </w:t>
      </w:r>
      <w:r w:rsidRPr="00F208A5">
        <w:rPr>
          <w:i/>
          <w:iCs/>
        </w:rPr>
        <w:t>HR Magazine</w:t>
      </w:r>
      <w:r w:rsidRPr="00F208A5">
        <w:t> (2022) notes that peer recognition can strengthen teamwork and encourage positive working relationships. For ParcelCare, peer recognition may help build collaboration between drivers, warehouse staff and support teams, reinforcing shared responsibility for service delivery. Such schemes can also empower employees and support an inclusive culture by giving staff a voice in recognising success.</w:t>
      </w:r>
    </w:p>
    <w:p w14:paraId="31EFE323" w14:textId="77777777" w:rsidR="00F208A5" w:rsidRPr="00F208A5" w:rsidRDefault="00F208A5" w:rsidP="00F208A5">
      <w:r w:rsidRPr="00F208A5">
        <w:t>Values-based recognition schemes link recognition to behaviours that reflect organisational values, such as customer focus, safety or teamwork. Armstrong and Taylor (2023) argue that aligning recognition with values helps embed desired behaviours and strengthen organisational culture. For ParcelCare, recognising employees who demonstrate commitment to customer service or safety standards can reinforce cultural expectations and support long-term performance.</w:t>
      </w:r>
    </w:p>
    <w:p w14:paraId="5AE985F6" w14:textId="77777777" w:rsidR="00F208A5" w:rsidRPr="00F208A5" w:rsidRDefault="00F208A5" w:rsidP="00F208A5">
      <w:r w:rsidRPr="00F208A5">
        <w:t>Overall, the merit of recognition schemes lies in their ability to motivate employees, reinforce organisational values and enhance engagement. For ParcelCare, using a mix of formal, informal and peer-led recognition schemes can help create a positive and supportive culture that complements financial rewards and supports sustained performance.</w:t>
      </w:r>
    </w:p>
    <w:p w14:paraId="4BC51CD0" w14:textId="77777777" w:rsidR="00F208A5" w:rsidRPr="00F208A5" w:rsidRDefault="00F208A5" w:rsidP="00F208A5"/>
    <w:p w14:paraId="63EF275C" w14:textId="77777777" w:rsidR="00F208A5" w:rsidRPr="00F208A5" w:rsidRDefault="00F208A5" w:rsidP="00F208A5"/>
    <w:p w14:paraId="68C5DF6B" w14:textId="77777777" w:rsidR="00F208A5" w:rsidRPr="00F208A5" w:rsidRDefault="00F208A5" w:rsidP="00F208A5"/>
    <w:p w14:paraId="0A18F466" w14:textId="77777777" w:rsidR="00F208A5" w:rsidRPr="00F208A5" w:rsidRDefault="00F208A5" w:rsidP="00F208A5">
      <w:r w:rsidRPr="00F208A5">
        <w:t>AC 3.1</w:t>
      </w:r>
    </w:p>
    <w:p w14:paraId="7A64AF70" w14:textId="77777777" w:rsidR="00F208A5" w:rsidRPr="00F208A5" w:rsidRDefault="00F208A5" w:rsidP="00F208A5">
      <w:r w:rsidRPr="00F208A5">
        <w:lastRenderedPageBreak/>
        <w:t>The reward environment is shaped by a range of internal and external business factors that influence how organisations design, implement and sustain reward strategies. For ParcelCare, understanding this business context is essential in addressing ongoing challenges with attraction, recruitment and retention while remaining operationally and financially sustainable.</w:t>
      </w:r>
    </w:p>
    <w:p w14:paraId="03AB5959" w14:textId="77777777" w:rsidR="00F208A5" w:rsidRPr="00F208A5" w:rsidRDefault="00F208A5" w:rsidP="00F208A5">
      <w:r w:rsidRPr="00F208A5">
        <w:t>A key external influence is the labour market. The logistics and delivery sector operates in a highly competitive labour market, with shortages of drivers and warehouse staff placing upward pressure on pay. Armstrong and Taylor (2023) note that organisations must balance market competitiveness with affordability when setting reward levels. For ParcelCare, failure to respond to market pay rates risks continued attrition, while excessive reliance on pay increases could undermine cost control. This highlights the need for a broader reward proposition rather than pay alone.</w:t>
      </w:r>
    </w:p>
    <w:p w14:paraId="5F8F4FF8" w14:textId="77777777" w:rsidR="00F208A5" w:rsidRPr="00F208A5" w:rsidRDefault="00F208A5" w:rsidP="00F208A5">
      <w:r w:rsidRPr="00F208A5">
        <w:t>Economic conditions also shape the reward environment. Factors such as inflation, fuel costs and cost-of-living pressures affect both organisational budgets and employee expectations. CIPD (2023) highlights that during periods of economic uncertainty, employees place greater emphasis on pay security and benefits. For ParcelCare, this increases pressure to maintain fair and predictable reward structures while managing rising operational costs. The reward strategy must therefore support employee stability without creating unsustainable long-term commitments.</w:t>
      </w:r>
    </w:p>
    <w:p w14:paraId="17FBD67B" w14:textId="77777777" w:rsidR="00F208A5" w:rsidRPr="00F208A5" w:rsidRDefault="00F208A5" w:rsidP="00F208A5">
      <w:r w:rsidRPr="00F208A5">
        <w:t>The regulatory and legal context further constrains reward decisions. Compliance with minimum wage legislation, working time rules and equality requirements limits flexibility in pay design but also protects fairness and consistency. Daniels (2022) emphasises that reward systems must be legally compliant to avoid reputational and financial risk. For ParcelCare, operating nationally increases the importance of consistent application of reward policies across sites.</w:t>
      </w:r>
    </w:p>
    <w:p w14:paraId="335FEA0D" w14:textId="77777777" w:rsidR="00F208A5" w:rsidRPr="00F208A5" w:rsidRDefault="00F208A5" w:rsidP="00F208A5">
      <w:r w:rsidRPr="00F208A5">
        <w:t>Internal business factors are equally significant. Organisational strategy and performance influence how reward is positioned. </w:t>
      </w:r>
      <w:r w:rsidRPr="00F208A5">
        <w:rPr>
          <w:i/>
          <w:iCs/>
        </w:rPr>
        <w:t>Harvard Business Review</w:t>
      </w:r>
      <w:r w:rsidRPr="00F208A5">
        <w:t> (HBR, 2019) suggests that reward systems are most effective when aligned to strategic priorities rather than short-term cost reduction. For ParcelCare, a strategy focused on service reliability and customer satisfaction requires reward mechanisms that reinforce quality, safety and retention, not just volume or speed.</w:t>
      </w:r>
    </w:p>
    <w:p w14:paraId="01A2C580" w14:textId="77777777" w:rsidR="00F208A5" w:rsidRPr="00F208A5" w:rsidRDefault="00F208A5" w:rsidP="00F208A5">
      <w:r w:rsidRPr="00F208A5">
        <w:t>Finally, organisational culture and workforce demographics shape reward expectations. HR Magazine (2022) notes that employees increasingly value transparency, wellbeing and development alongside pay. ParcelCare’s operational workforce may prioritise financial security, predictable shifts and recognition, while managers may value progression and performance-related rewards. A one-size-fits-all approach is therefore unlikely to be effective.</w:t>
      </w:r>
    </w:p>
    <w:p w14:paraId="5C7F6BA2" w14:textId="77777777" w:rsidR="00F208A5" w:rsidRPr="00F208A5" w:rsidRDefault="00F208A5" w:rsidP="00F208A5">
      <w:r w:rsidRPr="00F208A5">
        <w:lastRenderedPageBreak/>
        <w:t>Overall, the business context of the reward environment at ParcelCare is characterised by labour market competition, economic pressure, regulatory requirements and strategic priorities. An effective reward approach must balance these competing demands to remain competitive, compliant and aligned with long-term organisational performance.</w:t>
      </w:r>
    </w:p>
    <w:p w14:paraId="1F50FF2B" w14:textId="77777777" w:rsidR="00F208A5" w:rsidRPr="00F208A5" w:rsidRDefault="00F208A5" w:rsidP="00F208A5">
      <w:r w:rsidRPr="00F208A5">
        <w:t>AC 3.2</w:t>
      </w:r>
    </w:p>
    <w:p w14:paraId="0159E759" w14:textId="77777777" w:rsidR="00F208A5" w:rsidRPr="00F208A5" w:rsidRDefault="00F208A5" w:rsidP="00F208A5">
      <w:r w:rsidRPr="00F208A5">
        <w:t>Benchmarking enables organisations to compare reward practices, costs and outcomes against external and internal standards in order to inform decision-making. For ParcelCare, which is experiencing difficulties with attraction and retention, benchmarking data provides valuable insight into pay competitiveness, benefits effectiveness and overall reward positioning. However, the usefulness of benchmarking depends on how data is gathered and measured.</w:t>
      </w:r>
    </w:p>
    <w:p w14:paraId="710CE2D3" w14:textId="77777777" w:rsidR="00F208A5" w:rsidRPr="00F208A5" w:rsidRDefault="00F208A5" w:rsidP="00F208A5">
      <w:r w:rsidRPr="00F208A5">
        <w:t>One of the most common approaches is external market benchmarking, using salary surveys and reward reports produced by professional bodies or consultancies. Sources such as the CIPD (2023) provide sector-specific reward data that can help ParcelCare assess whether pay rates for drivers and warehouse staff are aligned with competitors. This approach is particularly appropriate in tight labour markets, as it supports evidence-based decisions on pay adjustments. However, Armstrong and Taylor (2023) caution that market data can quickly become outdated and may not reflect regional variations or differences in job design, limiting its accuracy if used in isolation.</w:t>
      </w:r>
    </w:p>
    <w:p w14:paraId="166699EA" w14:textId="77777777" w:rsidR="00F208A5" w:rsidRPr="00F208A5" w:rsidRDefault="00F208A5" w:rsidP="00F208A5">
      <w:r w:rsidRPr="00F208A5">
        <w:t>Industry benchmarking allows organisations to compare reward practices with similar employers operating in the same sector. For ParcelCare, benchmarking against other national logistics or delivery organisations can provide insight into common pay structures, benefits and incentive schemes. </w:t>
      </w:r>
      <w:r w:rsidRPr="00F208A5">
        <w:rPr>
          <w:i/>
          <w:iCs/>
        </w:rPr>
        <w:t>HR Magazine</w:t>
      </w:r>
      <w:r w:rsidRPr="00F208A5">
        <w:t> (2022) notes that industry benchmarking helps organisations remain competitive while maintaining sector norms. Its limitation is that it can encourage conformity rather than innovation, particularly if the wider sector is also experiencing retention challenges.</w:t>
      </w:r>
    </w:p>
    <w:p w14:paraId="792B5C2E" w14:textId="77777777" w:rsidR="00F208A5" w:rsidRPr="00F208A5" w:rsidRDefault="00F208A5" w:rsidP="00F208A5">
      <w:r w:rsidRPr="00F208A5">
        <w:t>Internal benchmarking compares reward outcomes across departments, roles or locations within the organisation. This approach helps identify inconsistencies in pay, benefits or reward outcomes and supports internal equity. For ParcelCare, comparing turnover rates, absence levels and performance outcomes across depots can highlight where reward practices may be contributing to disengagement. While internal benchmarking supports fairness, it does not provide insight into external competitiveness and therefore must be complemented by market data.</w:t>
      </w:r>
    </w:p>
    <w:p w14:paraId="0F7C3711" w14:textId="77777777" w:rsidR="00F208A5" w:rsidRPr="00F208A5" w:rsidRDefault="00F208A5" w:rsidP="00F208A5">
      <w:r w:rsidRPr="00F208A5">
        <w:t>Benchmarking insight is strengthened when quantitative and qualitative measures are combined. Quantitative data such as pay medians, turnover rates and reward costs provide objective comparison, while qualitative data from employee surveys, exit interviews and engagement scores explain how reward is perceived. </w:t>
      </w:r>
      <w:r w:rsidRPr="00F208A5">
        <w:rPr>
          <w:i/>
          <w:iCs/>
        </w:rPr>
        <w:t xml:space="preserve">Harvard Business </w:t>
      </w:r>
      <w:r w:rsidRPr="00F208A5">
        <w:rPr>
          <w:i/>
          <w:iCs/>
        </w:rPr>
        <w:lastRenderedPageBreak/>
        <w:t>Review</w:t>
      </w:r>
      <w:r w:rsidRPr="00F208A5">
        <w:t>(2019) suggests that combining metrics with employee feedback enables organisations to understand not just what differs, but why it matters. However, qualitative data can be subjective and requires careful interpretation.</w:t>
      </w:r>
    </w:p>
    <w:p w14:paraId="2B593F73" w14:textId="77777777" w:rsidR="00F208A5" w:rsidRPr="00F208A5" w:rsidRDefault="00F208A5" w:rsidP="00F208A5">
      <w:r w:rsidRPr="00F208A5">
        <w:t>Overall, the most appropriate benchmarking approach for ParcelCare is a blended one, combining external market data, sector benchmarking and internal metrics. When measured carefully and reviewed regularly, benchmarking provides meaningful insight that supports informed reward decisions and long-term workforce sustainability.</w:t>
      </w:r>
    </w:p>
    <w:p w14:paraId="19E3E211" w14:textId="77777777" w:rsidR="00F208A5" w:rsidRPr="00F208A5" w:rsidRDefault="00F208A5" w:rsidP="00F208A5"/>
    <w:p w14:paraId="56645DFF" w14:textId="77777777" w:rsidR="00F208A5" w:rsidRPr="00F208A5" w:rsidRDefault="00F208A5" w:rsidP="00F208A5">
      <w:r w:rsidRPr="00F208A5">
        <w:t>AC 3.3</w:t>
      </w:r>
    </w:p>
    <w:p w14:paraId="6376E5D6" w14:textId="77777777" w:rsidR="00F208A5" w:rsidRPr="00F208A5" w:rsidRDefault="00F208A5" w:rsidP="00F208A5">
      <w:r w:rsidRPr="00F208A5">
        <w:t>Job evaluation is a systematic process used to determine the relative value of jobs within an organisation. Its purpose is to support fair and consistent pay structures by assessing roles based on their content rather than the individual performing them. Different approaches to job evaluation vary in complexity, objectivity and suitability depending on organisational needs.</w:t>
      </w:r>
    </w:p>
    <w:p w14:paraId="635C39A7" w14:textId="77777777" w:rsidR="00F208A5" w:rsidRPr="00F208A5" w:rsidRDefault="00F208A5" w:rsidP="00F208A5">
      <w:r w:rsidRPr="00F208A5">
        <w:t>One commonly used approach is analytical job evaluation, which breaks jobs down into defined factors such as skills, responsibility, effort and working conditions. Each factor is weighted and scored, allowing roles to be compared objectively. Armstrong and Taylor (2023) explain that analytical methods are widely regarded as more robust and defensible, particularly in large organisations. For ParcelCare, analytical job evaluation could support fairness across operational and supervisory roles by ensuring pay decisions are based on consistent criteria. This approach is also useful in supporting equal pay compliance, as it provides a clear audit trail.</w:t>
      </w:r>
    </w:p>
    <w:p w14:paraId="641C9F9F" w14:textId="77777777" w:rsidR="00F208A5" w:rsidRPr="00F208A5" w:rsidRDefault="00F208A5" w:rsidP="00F208A5">
      <w:r w:rsidRPr="00F208A5">
        <w:t>In contrast, non-analytical job evaluation methods assess jobs as a whole rather than by individual factors. Examples include job ranking and job classification. Job ranking involves placing roles in a hierarchy from highest to lowest value, while job classification matches roles to pre-defined grade descriptions. CIPD (2023) notes that non-analytical methods are simpler and quicker to apply but rely more heavily on judgement. For ParcelCare, these approaches may be suitable for smaller teams or less complex roles, though they may lack the precision needed in a large, operationally diverse organisation.</w:t>
      </w:r>
    </w:p>
    <w:p w14:paraId="39247C71" w14:textId="77777777" w:rsidR="00F208A5" w:rsidRPr="00F208A5" w:rsidRDefault="00F208A5" w:rsidP="00F208A5">
      <w:r w:rsidRPr="00F208A5">
        <w:t>A further approach is market-based job evaluation, which uses external pay data to assess job value. This involves comparing roles against similar jobs in the external labour market. Armstrong and Taylor (2023) highlight that market pricing can be useful where recruitment and retention pressures are high. For ParcelCare, market-based evaluation may be appropriate for hard-to-fill roles such as drivers, where external competitiveness is critical. However, this approach focuses on external value rather than internal relativities and is therefore often used alongside other methods.</w:t>
      </w:r>
    </w:p>
    <w:p w14:paraId="47C6C12F" w14:textId="77777777" w:rsidR="00F208A5" w:rsidRPr="00F208A5" w:rsidRDefault="00F208A5" w:rsidP="00F208A5">
      <w:r w:rsidRPr="00F208A5">
        <w:lastRenderedPageBreak/>
        <w:t>Hybrid approaches combine analytical evaluation with market data to balance internal fairness and external competitiveness. </w:t>
      </w:r>
      <w:r w:rsidRPr="00F208A5">
        <w:rPr>
          <w:i/>
          <w:iCs/>
        </w:rPr>
        <w:t>HR Magazine</w:t>
      </w:r>
      <w:r w:rsidRPr="00F208A5">
        <w:t> (2022) suggests that hybrid models are increasingly common, particularly in sectors facing labour shortages. For ParcelCare, combining analytical evaluation with market benchmarking could support equitable pay structures while responding to labour market realities.</w:t>
      </w:r>
    </w:p>
    <w:p w14:paraId="2EEE0284" w14:textId="77777777" w:rsidR="00F208A5" w:rsidRPr="00F208A5" w:rsidRDefault="00F208A5" w:rsidP="00F208A5">
      <w:r w:rsidRPr="00F208A5">
        <w:t>Overall, different job evaluation approaches offer varying levels of objectivity, flexibility and complexity. Selecting the most appropriate approach depends on organisational size, workforce diversity and strategic priorities, with many organisations adopting blended methods to meet multiple reward objectives.</w:t>
      </w:r>
    </w:p>
    <w:p w14:paraId="7BE33EA4" w14:textId="77777777" w:rsidR="00F208A5" w:rsidRPr="00F208A5" w:rsidRDefault="00F208A5" w:rsidP="00F208A5"/>
    <w:p w14:paraId="57E71EB9" w14:textId="77777777" w:rsidR="00F208A5" w:rsidRPr="00F208A5" w:rsidRDefault="00F208A5" w:rsidP="00F208A5"/>
    <w:p w14:paraId="589296DE" w14:textId="77777777" w:rsidR="00F208A5" w:rsidRPr="00F208A5" w:rsidRDefault="00F208A5" w:rsidP="00F208A5"/>
    <w:p w14:paraId="0AB29F90" w14:textId="77777777" w:rsidR="00F208A5" w:rsidRPr="00F208A5" w:rsidRDefault="00F208A5" w:rsidP="00F208A5">
      <w:r w:rsidRPr="00F208A5">
        <w:t>AC 3.4</w:t>
      </w:r>
    </w:p>
    <w:p w14:paraId="01A013C9" w14:textId="77777777" w:rsidR="00F208A5" w:rsidRPr="00F208A5" w:rsidRDefault="00F208A5" w:rsidP="00F208A5">
      <w:r w:rsidRPr="00F208A5">
        <w:t>Reward practice is shaped by a range of legislative requirements designed to ensure fairness, transparency and legal compliance. For organisations such as ParcelCare, operating across the UK with a large operational workforce, understanding and complying with these requirements is essential to avoid legal risk and maintain employee trust.</w:t>
      </w:r>
    </w:p>
    <w:p w14:paraId="7523A988" w14:textId="77777777" w:rsidR="00F208A5" w:rsidRPr="00F208A5" w:rsidRDefault="00F208A5" w:rsidP="00F208A5">
      <w:r w:rsidRPr="00F208A5">
        <w:t>One of the most significant areas of legislation affecting reward is pay and wage regulation. The National Minimum Wage and National Living Wage set statutory minimum pay levels that employers must meet. Daniels (2022) explains that failure to comply can result in financial penalties, reputational damage and employee claims. For ParcelCare, where many employees are paid hourly, ensuring that basic pay, overtime and deductions do not reduce earnings below statutory thresholds is critical.</w:t>
      </w:r>
    </w:p>
    <w:p w14:paraId="742BCA5A" w14:textId="77777777" w:rsidR="00F208A5" w:rsidRPr="00F208A5" w:rsidRDefault="00F208A5" w:rsidP="00F208A5">
      <w:r w:rsidRPr="00F208A5">
        <w:t>Equality legislation also has a major impact on reward practice. The Equality Act 2010 requires organisations to provide equal pay for equal work, preventing discrimination on the grounds of protected characteristics such as sex, race, age or disability. Armstrong and Taylor (2023) note that pay systems must be transparent and based on objective criteria to reduce the risk of unequal pay claims. For ParcelCare, consistent job evaluation and grading structures help ensure reward decisions are fair and defensible across roles and locations.</w:t>
      </w:r>
    </w:p>
    <w:p w14:paraId="4EFEE57E" w14:textId="77777777" w:rsidR="00F208A5" w:rsidRPr="00F208A5" w:rsidRDefault="00F208A5" w:rsidP="00F208A5">
      <w:r w:rsidRPr="00F208A5">
        <w:t xml:space="preserve">Legislation governing working time and pay for working hours further influences reward. The Working Time Regulations 1998 set limits on weekly working hours and entitle employees to paid annual leave. Pay calculations must correctly reflect holiday pay, including regular overtime where applicable. Daniels (2022) highlights that incorrect holiday pay calculations are a common source of legal challenge. For ParcelCare, </w:t>
      </w:r>
      <w:r w:rsidRPr="00F208A5">
        <w:lastRenderedPageBreak/>
        <w:t>accurate payroll systems are essential given shift patterns, overtime and variable working hours.</w:t>
      </w:r>
    </w:p>
    <w:p w14:paraId="23B6E3EC" w14:textId="77777777" w:rsidR="00F208A5" w:rsidRPr="00F208A5" w:rsidRDefault="00F208A5" w:rsidP="00F208A5">
      <w:r w:rsidRPr="00F208A5">
        <w:t>Reward practices are also affected by taxation and pension legislation. Employers must comply with PAYE and National Insurance requirements, as well as automatic enrolment pension duties. Armstrong and Taylor (2023) emphasise that pension contributions form a core part of the reward package and must meet minimum statutory levels. For ParcelCare, compliance with pension legislation supports financial wellbeing while ensuring legal obligations are met.</w:t>
      </w:r>
    </w:p>
    <w:p w14:paraId="3A52A3B6" w14:textId="77777777" w:rsidR="00F208A5" w:rsidRPr="00F208A5" w:rsidRDefault="00F208A5" w:rsidP="00F208A5">
      <w:r w:rsidRPr="00F208A5">
        <w:t>Finally, contract law influences how reward changes are implemented. Pay rates, bonuses and benefits that are contractual cannot be changed unilaterally without employee agreement. CIPD (2023) highlights that improper changes to reward can result in breach of contract or constructive dismissal claims. This is particularly relevant for ParcelCare if reward structures are reviewed to address retention challenges.</w:t>
      </w:r>
    </w:p>
    <w:p w14:paraId="0F5F41D4" w14:textId="77777777" w:rsidR="00F208A5" w:rsidRPr="00F208A5" w:rsidRDefault="00F208A5" w:rsidP="00F208A5">
      <w:r w:rsidRPr="00F208A5">
        <w:t>Overall, legislative requirements set clear boundaries for reward practice. For ParcelCare, ensuring compliance supports fairness, protects employees and enables reward strategies to be implemented lawfully and sustainably.</w:t>
      </w:r>
    </w:p>
    <w:p w14:paraId="546D2B25" w14:textId="77777777" w:rsidR="00F208A5" w:rsidRPr="00F208A5" w:rsidRDefault="00F208A5" w:rsidP="00F208A5"/>
    <w:p w14:paraId="7B1D0F11" w14:textId="77777777" w:rsidR="00F208A5" w:rsidRPr="00F208A5" w:rsidRDefault="00F208A5" w:rsidP="00F208A5"/>
    <w:p w14:paraId="24D7FD35" w14:textId="77777777" w:rsidR="00F208A5" w:rsidRPr="00F208A5" w:rsidRDefault="00F208A5" w:rsidP="00F208A5"/>
    <w:p w14:paraId="0D19A1D0" w14:textId="77777777" w:rsidR="00F208A5" w:rsidRPr="00F208A5" w:rsidRDefault="00F208A5" w:rsidP="00F208A5">
      <w:r w:rsidRPr="00F208A5">
        <w:t>Bibliography</w:t>
      </w:r>
    </w:p>
    <w:p w14:paraId="2B616DF3" w14:textId="77777777" w:rsidR="00F208A5" w:rsidRPr="00F208A5" w:rsidRDefault="00F208A5" w:rsidP="00F208A5">
      <w:r w:rsidRPr="00F208A5">
        <w:t>Armstrong, M. and Taylor, S. (2023) </w:t>
      </w:r>
      <w:r w:rsidRPr="00F208A5">
        <w:rPr>
          <w:i/>
          <w:iCs/>
        </w:rPr>
        <w:t>Armstrong’s Handbook of Human Resource Management Practice</w:t>
      </w:r>
      <w:r w:rsidRPr="00F208A5">
        <w:t>. 16th edn. London: Kogan Page.</w:t>
      </w:r>
    </w:p>
    <w:p w14:paraId="53C3BE65" w14:textId="77777777" w:rsidR="00F208A5" w:rsidRPr="00F208A5" w:rsidRDefault="00F208A5" w:rsidP="00F208A5">
      <w:r w:rsidRPr="00F208A5">
        <w:t>CIPD (2023) </w:t>
      </w:r>
      <w:r w:rsidRPr="00F208A5">
        <w:rPr>
          <w:i/>
          <w:iCs/>
        </w:rPr>
        <w:t>Reward management factsheet</w:t>
      </w:r>
      <w:r w:rsidRPr="00F208A5">
        <w:t>. Available at:</w:t>
      </w:r>
      <w:r w:rsidRPr="00F208A5">
        <w:br/>
      </w:r>
      <w:hyperlink r:id="rId4" w:tgtFrame="_new" w:history="1">
        <w:r w:rsidRPr="00F208A5">
          <w:rPr>
            <w:rStyle w:val="Hyperlink"/>
          </w:rPr>
          <w:t>https://www.cipd.org/uk/knowledge/factsheets/reward-factsheet/</w:t>
        </w:r>
      </w:hyperlink>
      <w:r w:rsidRPr="00F208A5">
        <w:br/>
        <w:t>(Accessed: 10/01/26).</w:t>
      </w:r>
    </w:p>
    <w:p w14:paraId="176C0E99" w14:textId="77777777" w:rsidR="00F208A5" w:rsidRPr="00F208A5" w:rsidRDefault="00F208A5" w:rsidP="00F208A5">
      <w:r w:rsidRPr="00F208A5">
        <w:t>CIPD (2023) </w:t>
      </w:r>
      <w:r w:rsidRPr="00F208A5">
        <w:rPr>
          <w:i/>
          <w:iCs/>
        </w:rPr>
        <w:t>Total reward factsheet</w:t>
      </w:r>
      <w:r w:rsidRPr="00F208A5">
        <w:t>. Available at:</w:t>
      </w:r>
      <w:r w:rsidRPr="00F208A5">
        <w:br/>
      </w:r>
      <w:hyperlink r:id="rId5" w:tgtFrame="_new" w:history="1">
        <w:r w:rsidRPr="00F208A5">
          <w:rPr>
            <w:rStyle w:val="Hyperlink"/>
          </w:rPr>
          <w:t>https://www.cipd.org/uk/knowledge/factsheets/total-reward-factsheet/</w:t>
        </w:r>
      </w:hyperlink>
      <w:r w:rsidRPr="00F208A5">
        <w:br/>
        <w:t>(Accessed: 03/01/26).</w:t>
      </w:r>
    </w:p>
    <w:p w14:paraId="2778B842" w14:textId="77777777" w:rsidR="00F208A5" w:rsidRPr="00F208A5" w:rsidRDefault="00F208A5" w:rsidP="00F208A5">
      <w:r w:rsidRPr="00F208A5">
        <w:t>CIPD (2023) </w:t>
      </w:r>
      <w:r w:rsidRPr="00F208A5">
        <w:rPr>
          <w:i/>
          <w:iCs/>
        </w:rPr>
        <w:t>Employee benefits factsheet</w:t>
      </w:r>
      <w:r w:rsidRPr="00F208A5">
        <w:t>. Available at:</w:t>
      </w:r>
      <w:r w:rsidRPr="00F208A5">
        <w:br/>
        <w:t>https://www.cipd.org/uk/knowledge/factsheets/employee-benefits-factsheet/</w:t>
      </w:r>
      <w:r w:rsidRPr="00F208A5">
        <w:br/>
        <w:t>(Accessed: 28/12/25).</w:t>
      </w:r>
    </w:p>
    <w:p w14:paraId="5D418A0D" w14:textId="77777777" w:rsidR="00F208A5" w:rsidRPr="00F208A5" w:rsidRDefault="00F208A5" w:rsidP="00F208A5">
      <w:r w:rsidRPr="00F208A5">
        <w:t>CIPD (2023) </w:t>
      </w:r>
      <w:r w:rsidRPr="00F208A5">
        <w:rPr>
          <w:i/>
          <w:iCs/>
        </w:rPr>
        <w:t>Employee recognition factsheet</w:t>
      </w:r>
      <w:r w:rsidRPr="00F208A5">
        <w:t>. Available at:</w:t>
      </w:r>
      <w:r w:rsidRPr="00F208A5">
        <w:br/>
        <w:t>https://www.cipd.org/uk/knowledge/factsheets/employee-recognition-factsheet/</w:t>
      </w:r>
      <w:r w:rsidRPr="00F208A5">
        <w:br/>
        <w:t>(Accessed: 28/12/25).</w:t>
      </w:r>
    </w:p>
    <w:p w14:paraId="3659F8E7" w14:textId="77777777" w:rsidR="00F208A5" w:rsidRPr="00F208A5" w:rsidRDefault="00F208A5" w:rsidP="00F208A5">
      <w:r w:rsidRPr="00F208A5">
        <w:lastRenderedPageBreak/>
        <w:t>CIPD (2023) </w:t>
      </w:r>
      <w:r w:rsidRPr="00F208A5">
        <w:rPr>
          <w:i/>
          <w:iCs/>
        </w:rPr>
        <w:t>Pay structures factsheet</w:t>
      </w:r>
      <w:r w:rsidRPr="00F208A5">
        <w:t>. Available at:</w:t>
      </w:r>
      <w:r w:rsidRPr="00F208A5">
        <w:br/>
      </w:r>
      <w:hyperlink r:id="rId6" w:tgtFrame="_new" w:history="1">
        <w:r w:rsidRPr="00F208A5">
          <w:rPr>
            <w:rStyle w:val="Hyperlink"/>
          </w:rPr>
          <w:t>https://www.cipd.org/uk/knowledge/factsheets/pay-structures-factsheet/</w:t>
        </w:r>
      </w:hyperlink>
      <w:r w:rsidRPr="00F208A5">
        <w:br/>
        <w:t>(Accessed:29/12/25 ).</w:t>
      </w:r>
    </w:p>
    <w:p w14:paraId="34AE8A23" w14:textId="77777777" w:rsidR="00F208A5" w:rsidRPr="00F208A5" w:rsidRDefault="00F208A5" w:rsidP="00F208A5">
      <w:r w:rsidRPr="00F208A5">
        <w:t>CIPD (2023) </w:t>
      </w:r>
      <w:r w:rsidRPr="00F208A5">
        <w:rPr>
          <w:i/>
          <w:iCs/>
        </w:rPr>
        <w:t>Job evaluation factsheet</w:t>
      </w:r>
      <w:r w:rsidRPr="00F208A5">
        <w:t>. Available at:</w:t>
      </w:r>
      <w:r w:rsidRPr="00F208A5">
        <w:br/>
        <w:t>https://www.cipd.org/uk/knowledge/factsheets/job-evaluation-factsheet/</w:t>
      </w:r>
      <w:r w:rsidRPr="00F208A5">
        <w:br/>
        <w:t>(Accessed: 06/01/26).</w:t>
      </w:r>
    </w:p>
    <w:p w14:paraId="26F640DA" w14:textId="77777777" w:rsidR="00F208A5" w:rsidRPr="00F208A5" w:rsidRDefault="00F208A5" w:rsidP="00F208A5">
      <w:r w:rsidRPr="00F208A5">
        <w:t>CIPD (2023) </w:t>
      </w:r>
      <w:r w:rsidRPr="00F208A5">
        <w:rPr>
          <w:i/>
          <w:iCs/>
        </w:rPr>
        <w:t>Reward benchmarking factsheet</w:t>
      </w:r>
      <w:r w:rsidRPr="00F208A5">
        <w:t>. Available at:</w:t>
      </w:r>
      <w:r w:rsidRPr="00F208A5">
        <w:br/>
        <w:t>https://www.cipd.org/uk/knowledge/factsheets/reward-benchmarking-factsheet/</w:t>
      </w:r>
      <w:r w:rsidRPr="00F208A5">
        <w:br/>
        <w:t>(Accessed: 04/01/26).</w:t>
      </w:r>
    </w:p>
    <w:p w14:paraId="5022A065" w14:textId="77777777" w:rsidR="00F208A5" w:rsidRPr="00F208A5" w:rsidRDefault="00F208A5" w:rsidP="00F208A5">
      <w:r w:rsidRPr="00F208A5">
        <w:t>CIPD (2023) </w:t>
      </w:r>
      <w:r w:rsidRPr="00F208A5">
        <w:rPr>
          <w:i/>
          <w:iCs/>
        </w:rPr>
        <w:t>Performance management factsheet</w:t>
      </w:r>
      <w:r w:rsidRPr="00F208A5">
        <w:t>. Available at:</w:t>
      </w:r>
      <w:r w:rsidRPr="00F208A5">
        <w:br/>
        <w:t>https://www.cipd.org/uk/knowledge/factsheets/performance-management-factsheet/</w:t>
      </w:r>
      <w:r w:rsidRPr="00F208A5">
        <w:br/>
        <w:t>(Accessed: 03/01/26).</w:t>
      </w:r>
    </w:p>
    <w:p w14:paraId="5B701B2E" w14:textId="77777777" w:rsidR="00F208A5" w:rsidRPr="00F208A5" w:rsidRDefault="00F208A5" w:rsidP="00F208A5">
      <w:r w:rsidRPr="00F208A5">
        <w:t>Daniels, K. (2022) </w:t>
      </w:r>
      <w:r w:rsidRPr="00F208A5">
        <w:rPr>
          <w:i/>
          <w:iCs/>
        </w:rPr>
        <w:t>Introduction to Employment Law: Fundamentals for HR and Business Students</w:t>
      </w:r>
      <w:r w:rsidRPr="00F208A5">
        <w:t>. 6th edn. London: Kogan Page.</w:t>
      </w:r>
    </w:p>
    <w:p w14:paraId="76CFA167" w14:textId="77777777" w:rsidR="00F208A5" w:rsidRPr="00F208A5" w:rsidRDefault="00F208A5" w:rsidP="00F208A5">
      <w:r w:rsidRPr="00F208A5">
        <w:t>Equality Act 2010. Available at:</w:t>
      </w:r>
      <w:r w:rsidRPr="00F208A5">
        <w:br/>
      </w:r>
      <w:hyperlink r:id="rId7" w:tgtFrame="_new" w:history="1">
        <w:r w:rsidRPr="00F208A5">
          <w:rPr>
            <w:rStyle w:val="Hyperlink"/>
          </w:rPr>
          <w:t>https://www.legislation.gov.uk/ukpga/2010/15</w:t>
        </w:r>
      </w:hyperlink>
      <w:r w:rsidRPr="00F208A5">
        <w:br/>
        <w:t>(Accessed: 29/12/25).</w:t>
      </w:r>
    </w:p>
    <w:p w14:paraId="166FE9A0" w14:textId="77777777" w:rsidR="00F208A5" w:rsidRPr="00F208A5" w:rsidRDefault="00F208A5" w:rsidP="00F208A5">
      <w:r w:rsidRPr="00F208A5">
        <w:t>Harvard Business Review (2017) ‘The problem with financial incentives’. Available at:</w:t>
      </w:r>
      <w:r w:rsidRPr="00F208A5">
        <w:br/>
        <w:t>https://hbr.org/2017/04/the-problem-with-financial-incentives</w:t>
      </w:r>
      <w:r w:rsidRPr="00F208A5">
        <w:br/>
        <w:t>(Accessed: 28/12/25).</w:t>
      </w:r>
    </w:p>
    <w:p w14:paraId="5E6266AE" w14:textId="77777777" w:rsidR="00F208A5" w:rsidRPr="00F208A5" w:rsidRDefault="00F208A5" w:rsidP="00F208A5">
      <w:r w:rsidRPr="00F208A5">
        <w:t>Harvard Business Review (2018) ‘The power of intrinsic motivation’. Available at:</w:t>
      </w:r>
      <w:r w:rsidRPr="00F208A5">
        <w:br/>
        <w:t>https://hbr.org/2018/01/the-power-of-intrinsic-motivation</w:t>
      </w:r>
      <w:r w:rsidRPr="00F208A5">
        <w:br/>
        <w:t>(Accessed: 30/12/25).</w:t>
      </w:r>
    </w:p>
    <w:p w14:paraId="000A0CF6" w14:textId="77777777" w:rsidR="00F208A5" w:rsidRPr="00F208A5" w:rsidRDefault="00F208A5" w:rsidP="00F208A5">
      <w:r w:rsidRPr="00F208A5">
        <w:t>Harvard Business Review (2019) ‘How to design a reward system that actually motivates’. Available at:</w:t>
      </w:r>
      <w:r w:rsidRPr="00F208A5">
        <w:br/>
        <w:t>https://hbr.org/2019/03/how-to-design-a-reward-system-that-actually-motivates</w:t>
      </w:r>
      <w:r w:rsidRPr="00F208A5">
        <w:br/>
        <w:t>(Accessed: 03/01/26).</w:t>
      </w:r>
    </w:p>
    <w:p w14:paraId="1C9FF47D" w14:textId="77777777" w:rsidR="00F208A5" w:rsidRPr="00F208A5" w:rsidRDefault="00F208A5" w:rsidP="00F208A5">
      <w:r w:rsidRPr="00F208A5">
        <w:t>Harvard Business Review (2019) ‘Using people analytics to improve decision making’. Available at:</w:t>
      </w:r>
      <w:r w:rsidRPr="00F208A5">
        <w:br/>
        <w:t>https://hbr.org/2019/09/using-people-analytics-to-improve-decision-making</w:t>
      </w:r>
      <w:r w:rsidRPr="00F208A5">
        <w:br/>
        <w:t>(Accessed: 03/01/26).</w:t>
      </w:r>
    </w:p>
    <w:p w14:paraId="3F731EF3" w14:textId="77777777" w:rsidR="00F208A5" w:rsidRPr="00F208A5" w:rsidRDefault="00F208A5" w:rsidP="00F208A5">
      <w:r w:rsidRPr="00F208A5">
        <w:t>Harvard Business Review (2020) ‘Using scenario planning strategically’. Available at:</w:t>
      </w:r>
      <w:r w:rsidRPr="00F208A5">
        <w:br/>
      </w:r>
      <w:hyperlink r:id="rId8" w:tgtFrame="_new" w:history="1">
        <w:r w:rsidRPr="00F208A5">
          <w:rPr>
            <w:rStyle w:val="Hyperlink"/>
          </w:rPr>
          <w:t>https://hbr.org/2020/06/using-scenario-planning-strategically</w:t>
        </w:r>
      </w:hyperlink>
      <w:r w:rsidRPr="00F208A5">
        <w:br/>
        <w:t>(Accessed: 10/01/26).</w:t>
      </w:r>
    </w:p>
    <w:p w14:paraId="3E7738F4" w14:textId="77777777" w:rsidR="00F208A5" w:rsidRPr="00F208A5" w:rsidRDefault="00F208A5" w:rsidP="00F208A5">
      <w:r w:rsidRPr="00F208A5">
        <w:lastRenderedPageBreak/>
        <w:t>HR Magazine (2022) ‘Fair pay and organisational culture’. Available at:</w:t>
      </w:r>
      <w:r w:rsidRPr="00F208A5">
        <w:br/>
      </w:r>
      <w:hyperlink r:id="rId9" w:tgtFrame="_new" w:history="1">
        <w:r w:rsidRPr="00F208A5">
          <w:rPr>
            <w:rStyle w:val="Hyperlink"/>
          </w:rPr>
          <w:t>https://www.hrmagazine.co.uk</w:t>
        </w:r>
      </w:hyperlink>
      <w:r w:rsidRPr="00F208A5">
        <w:br/>
        <w:t>(Accessed: 29/12/25).</w:t>
      </w:r>
    </w:p>
    <w:p w14:paraId="7ED0B8F6" w14:textId="77777777" w:rsidR="00F208A5" w:rsidRPr="00F208A5" w:rsidRDefault="00F208A5" w:rsidP="00F208A5">
      <w:r w:rsidRPr="00F208A5">
        <w:t>HR Magazine (2022) ‘Reward strategies in a high-cost economy’. Available at:</w:t>
      </w:r>
      <w:r w:rsidRPr="00F208A5">
        <w:br/>
      </w:r>
      <w:hyperlink r:id="rId10" w:tgtFrame="_new" w:history="1">
        <w:r w:rsidRPr="00F208A5">
          <w:rPr>
            <w:rStyle w:val="Hyperlink"/>
          </w:rPr>
          <w:t>https://www.hrmagazine.co.uk</w:t>
        </w:r>
      </w:hyperlink>
      <w:r w:rsidRPr="00F208A5">
        <w:br/>
        <w:t>(Accessed: 03/01/26).</w:t>
      </w:r>
    </w:p>
    <w:p w14:paraId="2854AAC8" w14:textId="77777777" w:rsidR="00F208A5" w:rsidRPr="00F208A5" w:rsidRDefault="00F208A5" w:rsidP="00F208A5">
      <w:r w:rsidRPr="00F208A5">
        <w:t>HR Magazine (2022) ‘Reward, engagement and retention’. Available at:</w:t>
      </w:r>
      <w:r w:rsidRPr="00F208A5">
        <w:br/>
      </w:r>
      <w:hyperlink r:id="rId11" w:tgtFrame="_new" w:history="1">
        <w:r w:rsidRPr="00F208A5">
          <w:rPr>
            <w:rStyle w:val="Hyperlink"/>
          </w:rPr>
          <w:t>https://www.hrmagazine.co.uk</w:t>
        </w:r>
      </w:hyperlink>
      <w:r w:rsidRPr="00F208A5">
        <w:br/>
        <w:t>(Accessed: 03/01/26).</w:t>
      </w:r>
    </w:p>
    <w:p w14:paraId="53288668" w14:textId="77777777" w:rsidR="00F208A5" w:rsidRPr="00F208A5" w:rsidRDefault="00F208A5" w:rsidP="00F208A5">
      <w:r w:rsidRPr="00F208A5">
        <w:t>HR Magazine (2022) ‘Job evaluation in practice’. Available at:</w:t>
      </w:r>
      <w:r w:rsidRPr="00F208A5">
        <w:br/>
      </w:r>
      <w:hyperlink r:id="rId12" w:tgtFrame="_new" w:history="1">
        <w:r w:rsidRPr="00F208A5">
          <w:rPr>
            <w:rStyle w:val="Hyperlink"/>
          </w:rPr>
          <w:t>https://www.hrmagazine.co.uk</w:t>
        </w:r>
      </w:hyperlink>
      <w:r w:rsidRPr="00F208A5">
        <w:br/>
        <w:t>(Accessed: 06/01/26).</w:t>
      </w:r>
    </w:p>
    <w:p w14:paraId="54B9361F" w14:textId="77777777" w:rsidR="00F208A5" w:rsidRPr="00F208A5" w:rsidRDefault="00F208A5" w:rsidP="00F208A5">
      <w:r w:rsidRPr="00F208A5">
        <w:t>People Management (2023) ‘Using incentives to drive team performance’. Available at:</w:t>
      </w:r>
      <w:r w:rsidRPr="00F208A5">
        <w:br/>
      </w:r>
      <w:hyperlink r:id="rId13" w:tgtFrame="_new" w:history="1">
        <w:r w:rsidRPr="00F208A5">
          <w:rPr>
            <w:rStyle w:val="Hyperlink"/>
          </w:rPr>
          <w:t>https://www.peoplemanagement.co.uk</w:t>
        </w:r>
      </w:hyperlink>
      <w:r w:rsidRPr="00F208A5">
        <w:br/>
        <w:t>(Accessed: 28/12/25).</w:t>
      </w:r>
    </w:p>
    <w:p w14:paraId="605E2424" w14:textId="77777777" w:rsidR="00F208A5" w:rsidRPr="00F208A5" w:rsidRDefault="00F208A5" w:rsidP="00F208A5">
      <w:r w:rsidRPr="00F208A5">
        <w:t>People Management (2023) ‘Benchmarking reward in competitive labour markets’. Available at:</w:t>
      </w:r>
      <w:r w:rsidRPr="00F208A5">
        <w:br/>
      </w:r>
      <w:hyperlink r:id="rId14" w:tgtFrame="_new" w:history="1">
        <w:r w:rsidRPr="00F208A5">
          <w:rPr>
            <w:rStyle w:val="Hyperlink"/>
          </w:rPr>
          <w:t>https://www.peoplemanagement.co.uk</w:t>
        </w:r>
      </w:hyperlink>
      <w:r w:rsidRPr="00F208A5">
        <w:br/>
        <w:t>(Accessed: 04/01/26).</w:t>
      </w:r>
    </w:p>
    <w:p w14:paraId="0BA3168A" w14:textId="77777777" w:rsidR="0078072F" w:rsidRDefault="0078072F"/>
    <w:sectPr w:rsidR="00780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8A5"/>
    <w:rsid w:val="0048501D"/>
    <w:rsid w:val="0078072F"/>
    <w:rsid w:val="008F5B89"/>
    <w:rsid w:val="00A15226"/>
    <w:rsid w:val="00F20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0B87"/>
  <w15:chartTrackingRefBased/>
  <w15:docId w15:val="{D78EC1BD-D783-474D-9F58-FCAE0F2F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8A5"/>
    <w:rPr>
      <w:rFonts w:eastAsiaTheme="majorEastAsia" w:cstheme="majorBidi"/>
      <w:color w:val="272727" w:themeColor="text1" w:themeTint="D8"/>
    </w:rPr>
  </w:style>
  <w:style w:type="paragraph" w:styleId="Title">
    <w:name w:val="Title"/>
    <w:basedOn w:val="Normal"/>
    <w:next w:val="Normal"/>
    <w:link w:val="TitleChar"/>
    <w:uiPriority w:val="10"/>
    <w:qFormat/>
    <w:rsid w:val="00F20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8A5"/>
    <w:pPr>
      <w:spacing w:before="160"/>
      <w:jc w:val="center"/>
    </w:pPr>
    <w:rPr>
      <w:i/>
      <w:iCs/>
      <w:color w:val="404040" w:themeColor="text1" w:themeTint="BF"/>
    </w:rPr>
  </w:style>
  <w:style w:type="character" w:customStyle="1" w:styleId="QuoteChar">
    <w:name w:val="Quote Char"/>
    <w:basedOn w:val="DefaultParagraphFont"/>
    <w:link w:val="Quote"/>
    <w:uiPriority w:val="29"/>
    <w:rsid w:val="00F208A5"/>
    <w:rPr>
      <w:i/>
      <w:iCs/>
      <w:color w:val="404040" w:themeColor="text1" w:themeTint="BF"/>
    </w:rPr>
  </w:style>
  <w:style w:type="paragraph" w:styleId="ListParagraph">
    <w:name w:val="List Paragraph"/>
    <w:basedOn w:val="Normal"/>
    <w:uiPriority w:val="34"/>
    <w:qFormat/>
    <w:rsid w:val="00F208A5"/>
    <w:pPr>
      <w:ind w:left="720"/>
      <w:contextualSpacing/>
    </w:pPr>
  </w:style>
  <w:style w:type="character" w:styleId="IntenseEmphasis">
    <w:name w:val="Intense Emphasis"/>
    <w:basedOn w:val="DefaultParagraphFont"/>
    <w:uiPriority w:val="21"/>
    <w:qFormat/>
    <w:rsid w:val="00F208A5"/>
    <w:rPr>
      <w:i/>
      <w:iCs/>
      <w:color w:val="0F4761" w:themeColor="accent1" w:themeShade="BF"/>
    </w:rPr>
  </w:style>
  <w:style w:type="paragraph" w:styleId="IntenseQuote">
    <w:name w:val="Intense Quote"/>
    <w:basedOn w:val="Normal"/>
    <w:next w:val="Normal"/>
    <w:link w:val="IntenseQuoteChar"/>
    <w:uiPriority w:val="30"/>
    <w:qFormat/>
    <w:rsid w:val="00F20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8A5"/>
    <w:rPr>
      <w:i/>
      <w:iCs/>
      <w:color w:val="0F4761" w:themeColor="accent1" w:themeShade="BF"/>
    </w:rPr>
  </w:style>
  <w:style w:type="character" w:styleId="IntenseReference">
    <w:name w:val="Intense Reference"/>
    <w:basedOn w:val="DefaultParagraphFont"/>
    <w:uiPriority w:val="32"/>
    <w:qFormat/>
    <w:rsid w:val="00F208A5"/>
    <w:rPr>
      <w:b/>
      <w:bCs/>
      <w:smallCaps/>
      <w:color w:val="0F4761" w:themeColor="accent1" w:themeShade="BF"/>
      <w:spacing w:val="5"/>
    </w:rPr>
  </w:style>
  <w:style w:type="character" w:styleId="Hyperlink">
    <w:name w:val="Hyperlink"/>
    <w:basedOn w:val="DefaultParagraphFont"/>
    <w:uiPriority w:val="99"/>
    <w:unhideWhenUsed/>
    <w:rsid w:val="00F208A5"/>
    <w:rPr>
      <w:color w:val="467886" w:themeColor="hyperlink"/>
      <w:u w:val="single"/>
    </w:rPr>
  </w:style>
  <w:style w:type="character" w:styleId="UnresolvedMention">
    <w:name w:val="Unresolved Mention"/>
    <w:basedOn w:val="DefaultParagraphFont"/>
    <w:uiPriority w:val="99"/>
    <w:semiHidden/>
    <w:unhideWhenUsed/>
    <w:rsid w:val="00F20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0/06/using-scenario-planning-strategically" TargetMode="External"/><Relationship Id="rId13" Type="http://schemas.openxmlformats.org/officeDocument/2006/relationships/hyperlink" Target="https://www.peoplemanagement.co.uk/" TargetMode="External"/><Relationship Id="rId3" Type="http://schemas.openxmlformats.org/officeDocument/2006/relationships/webSettings" Target="webSettings.xml"/><Relationship Id="rId7" Type="http://schemas.openxmlformats.org/officeDocument/2006/relationships/hyperlink" Target="https://www.legislation.gov.uk/ukpga/2010/15" TargetMode="External"/><Relationship Id="rId12" Type="http://schemas.openxmlformats.org/officeDocument/2006/relationships/hyperlink" Target="https://www.hrmagazine.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ipd.org/uk/knowledge/factsheets/pay-structures-factsheet/" TargetMode="External"/><Relationship Id="rId11" Type="http://schemas.openxmlformats.org/officeDocument/2006/relationships/hyperlink" Target="https://www.hrmagazine.co.uk/" TargetMode="External"/><Relationship Id="rId5" Type="http://schemas.openxmlformats.org/officeDocument/2006/relationships/hyperlink" Target="https://www.cipd.org/uk/knowledge/factsheets/total-reward-factsheet/" TargetMode="External"/><Relationship Id="rId15" Type="http://schemas.openxmlformats.org/officeDocument/2006/relationships/fontTable" Target="fontTable.xml"/><Relationship Id="rId10" Type="http://schemas.openxmlformats.org/officeDocument/2006/relationships/hyperlink" Target="https://www.hrmagazine.co.uk/" TargetMode="External"/><Relationship Id="rId4" Type="http://schemas.openxmlformats.org/officeDocument/2006/relationships/hyperlink" Target="https://www.cipd.org/uk/knowledge/factsheets/reward-factsheet/" TargetMode="External"/><Relationship Id="rId9" Type="http://schemas.openxmlformats.org/officeDocument/2006/relationships/hyperlink" Target="https://www.hrmagazine.co.uk/" TargetMode="External"/><Relationship Id="rId14" Type="http://schemas.openxmlformats.org/officeDocument/2006/relationships/hyperlink" Target="https://www.peoplemanagem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5160</Words>
  <Characters>29414</Characters>
  <Application>Microsoft Office Word</Application>
  <DocSecurity>0</DocSecurity>
  <Lines>245</Lines>
  <Paragraphs>69</Paragraphs>
  <ScaleCrop>false</ScaleCrop>
  <Company/>
  <LinksUpToDate>false</LinksUpToDate>
  <CharactersWithSpaces>34505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Warne</dc:creator>
  <cp:keywords/>
  <dc:description/>
  <cp:lastModifiedBy>Melanie Warne</cp:lastModifiedBy>
  <cp:revision>1</cp:revision>
  <dcterms:created xsi:type="dcterms:W3CDTF">2026-02-07T13:39:00Z</dcterms:created>
  <dcterms:modified xsi:type="dcterms:W3CDTF">2026-02-07T13:40:00Z</dcterms:modified>
</cp:coreProperties>
</file>