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9BFCE00" w14:textId="77777777" w:rsidR="007915A8" w:rsidRDefault="005E38CF">
      <w:pPr>
        <w:spacing w:after="80"/>
      </w:pPr>
      <w:r>
        <w:rPr>
          <w:rFonts w:ascii="Calibri" w:eastAsia="Calibri" w:hAnsi="Calibri" w:cs="Calibri"/>
          <w:b/>
          <w:bCs/>
          <w:sz w:val="32"/>
          <w:szCs w:val="32"/>
        </w:rPr>
        <w:t>Marriott International: Financial Ratio Benchmark Comparison</w:t>
      </w:r>
    </w:p>
    <w:p w14:paraId="4E4EBE13" w14:textId="77777777" w:rsidR="007915A8" w:rsidRDefault="005E38CF">
      <w:pPr>
        <w:spacing w:after="300"/>
      </w:pPr>
      <w:r>
        <w:rPr>
          <w:rFonts w:ascii="Calibri" w:eastAsia="Calibri" w:hAnsi="Calibri" w:cs="Calibri"/>
          <w:i/>
          <w:iCs/>
          <w:color w:val="595959"/>
          <w:sz w:val="22"/>
          <w:szCs w:val="22"/>
        </w:rPr>
        <w:t>Comparison against direct competitors Hilton Worldwide Holdings and Hyatt Hotels Corporation, FY2025</w:t>
      </w:r>
    </w:p>
    <w:p w14:paraId="3DDEC448" w14:textId="77777777" w:rsidR="007915A8" w:rsidRDefault="005E38CF">
      <w:pPr>
        <w:pStyle w:val="Heading1"/>
        <w:spacing w:before="240" w:after="120"/>
      </w:pPr>
      <w:r>
        <w:t>1. Overview</w:t>
      </w:r>
    </w:p>
    <w:p w14:paraId="261CCEC8" w14:textId="615D1D85" w:rsidR="007915A8" w:rsidRDefault="005E38CF">
      <w:pPr>
        <w:spacing w:after="160"/>
      </w:pPr>
      <w:r>
        <w:rPr>
          <w:rFonts w:ascii="Calibri" w:eastAsia="Calibri" w:hAnsi="Calibri" w:cs="Calibri"/>
          <w:sz w:val="22"/>
          <w:szCs w:val="22"/>
        </w:rPr>
        <w:t xml:space="preserve">This note compares Marriott International's latest full-year (FY2025) financial ratios against its two closest listed competitors in the global hotel management/franchise industry, Hilton Worldwide Holdings (HLT) and Hyatt Hotels Corporation (H). All three companies operate broadly similar ‘asset-light’ business models, earning </w:t>
      </w:r>
      <w:proofErr w:type="gramStart"/>
      <w:r>
        <w:rPr>
          <w:rFonts w:ascii="Calibri" w:eastAsia="Calibri" w:hAnsi="Calibri" w:cs="Calibri"/>
          <w:sz w:val="22"/>
          <w:szCs w:val="22"/>
        </w:rPr>
        <w:t>the majority of</w:t>
      </w:r>
      <w:proofErr w:type="gramEnd"/>
      <w:r>
        <w:rPr>
          <w:rFonts w:ascii="Calibri" w:eastAsia="Calibri" w:hAnsi="Calibri" w:cs="Calibri"/>
          <w:sz w:val="22"/>
          <w:szCs w:val="22"/>
        </w:rPr>
        <w:t xml:space="preserve"> revenue from management and franchise fees rather than hotel ownership, which makes the ratios directly comparabl</w:t>
      </w:r>
      <w:r w:rsidR="006B7E6D">
        <w:rPr>
          <w:rFonts w:ascii="Calibri" w:eastAsia="Calibri" w:hAnsi="Calibri" w:cs="Calibri"/>
          <w:sz w:val="22"/>
          <w:szCs w:val="22"/>
        </w:rPr>
        <w:t xml:space="preserve">e. </w:t>
      </w:r>
    </w:p>
    <w:p w14:paraId="3A359337" w14:textId="77777777" w:rsidR="007915A8" w:rsidRDefault="005E38CF">
      <w:pPr>
        <w:pStyle w:val="Heading1"/>
        <w:spacing w:before="240" w:after="120"/>
      </w:pPr>
      <w:r>
        <w:t>2. Ratio Comparison Table</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2000"/>
        <w:gridCol w:w="2000"/>
        <w:gridCol w:w="2000"/>
      </w:tblGrid>
      <w:tr w:rsidR="007915A8" w14:paraId="1CA61428" w14:textId="77777777">
        <w:tc>
          <w:tcPr>
            <w:tcW w:w="3200" w:type="dxa"/>
            <w:shd w:val="clear" w:color="auto" w:fill="1F4E78"/>
          </w:tcPr>
          <w:p w14:paraId="345D868A" w14:textId="77777777" w:rsidR="007915A8" w:rsidRDefault="005E38CF">
            <w:r>
              <w:rPr>
                <w:rFonts w:ascii="Calibri" w:eastAsia="Calibri" w:hAnsi="Calibri" w:cs="Calibri"/>
                <w:b/>
                <w:bCs/>
                <w:color w:val="FFFFFF"/>
              </w:rPr>
              <w:t>Metric (FY2025)</w:t>
            </w:r>
          </w:p>
        </w:tc>
        <w:tc>
          <w:tcPr>
            <w:tcW w:w="2000" w:type="dxa"/>
            <w:shd w:val="clear" w:color="auto" w:fill="1F4E78"/>
          </w:tcPr>
          <w:p w14:paraId="02FF22A5" w14:textId="77777777" w:rsidR="007915A8" w:rsidRDefault="005E38CF">
            <w:pPr>
              <w:jc w:val="center"/>
            </w:pPr>
            <w:r>
              <w:rPr>
                <w:rFonts w:ascii="Calibri" w:eastAsia="Calibri" w:hAnsi="Calibri" w:cs="Calibri"/>
                <w:b/>
                <w:bCs/>
                <w:color w:val="FFFFFF"/>
              </w:rPr>
              <w:t>Marriott</w:t>
            </w:r>
          </w:p>
        </w:tc>
        <w:tc>
          <w:tcPr>
            <w:tcW w:w="2000" w:type="dxa"/>
            <w:shd w:val="clear" w:color="auto" w:fill="1F4E78"/>
          </w:tcPr>
          <w:p w14:paraId="10E0C480" w14:textId="77777777" w:rsidR="007915A8" w:rsidRDefault="005E38CF">
            <w:pPr>
              <w:jc w:val="center"/>
            </w:pPr>
            <w:r>
              <w:rPr>
                <w:rFonts w:ascii="Calibri" w:eastAsia="Calibri" w:hAnsi="Calibri" w:cs="Calibri"/>
                <w:b/>
                <w:bCs/>
                <w:color w:val="FFFFFF"/>
              </w:rPr>
              <w:t>Hilton</w:t>
            </w:r>
          </w:p>
        </w:tc>
        <w:tc>
          <w:tcPr>
            <w:tcW w:w="2000" w:type="dxa"/>
            <w:shd w:val="clear" w:color="auto" w:fill="1F4E78"/>
          </w:tcPr>
          <w:p w14:paraId="19DF0A97" w14:textId="77777777" w:rsidR="007915A8" w:rsidRDefault="005E38CF">
            <w:pPr>
              <w:jc w:val="center"/>
            </w:pPr>
            <w:r>
              <w:rPr>
                <w:rFonts w:ascii="Calibri" w:eastAsia="Calibri" w:hAnsi="Calibri" w:cs="Calibri"/>
                <w:b/>
                <w:bCs/>
                <w:color w:val="FFFFFF"/>
              </w:rPr>
              <w:t>Hyatt</w:t>
            </w:r>
          </w:p>
        </w:tc>
      </w:tr>
      <w:tr w:rsidR="007915A8" w14:paraId="55A97275" w14:textId="77777777">
        <w:tc>
          <w:tcPr>
            <w:tcW w:w="3200" w:type="dxa"/>
          </w:tcPr>
          <w:p w14:paraId="2A5FF915" w14:textId="77777777" w:rsidR="007915A8" w:rsidRDefault="005E38CF">
            <w:r>
              <w:rPr>
                <w:rFonts w:ascii="Calibri" w:eastAsia="Calibri" w:hAnsi="Calibri" w:cs="Calibri"/>
                <w:color w:val="000000"/>
              </w:rPr>
              <w:t>Return on Assets (ROA)</w:t>
            </w:r>
          </w:p>
        </w:tc>
        <w:tc>
          <w:tcPr>
            <w:tcW w:w="2000" w:type="dxa"/>
          </w:tcPr>
          <w:p w14:paraId="3EE35719" w14:textId="77777777" w:rsidR="007915A8" w:rsidRDefault="005E38CF">
            <w:pPr>
              <w:jc w:val="center"/>
            </w:pPr>
            <w:r>
              <w:rPr>
                <w:rFonts w:ascii="Calibri" w:eastAsia="Calibri" w:hAnsi="Calibri" w:cs="Calibri"/>
                <w:color w:val="000000"/>
              </w:rPr>
              <w:t>9.4%</w:t>
            </w:r>
          </w:p>
        </w:tc>
        <w:tc>
          <w:tcPr>
            <w:tcW w:w="2000" w:type="dxa"/>
          </w:tcPr>
          <w:p w14:paraId="329123F6" w14:textId="77777777" w:rsidR="007915A8" w:rsidRDefault="005E38CF">
            <w:pPr>
              <w:jc w:val="center"/>
            </w:pPr>
            <w:r>
              <w:rPr>
                <w:rFonts w:ascii="Calibri" w:eastAsia="Calibri" w:hAnsi="Calibri" w:cs="Calibri"/>
                <w:color w:val="000000"/>
              </w:rPr>
              <w:t>8.7%</w:t>
            </w:r>
          </w:p>
        </w:tc>
        <w:tc>
          <w:tcPr>
            <w:tcW w:w="2000" w:type="dxa"/>
          </w:tcPr>
          <w:p w14:paraId="051D71F5" w14:textId="77777777" w:rsidR="007915A8" w:rsidRDefault="005E38CF">
            <w:pPr>
              <w:jc w:val="center"/>
            </w:pPr>
            <w:r>
              <w:rPr>
                <w:rFonts w:ascii="Calibri" w:eastAsia="Calibri" w:hAnsi="Calibri" w:cs="Calibri"/>
                <w:color w:val="000000"/>
              </w:rPr>
              <w:t>-0.4%</w:t>
            </w:r>
          </w:p>
        </w:tc>
      </w:tr>
      <w:tr w:rsidR="007915A8" w14:paraId="1CD46326" w14:textId="77777777">
        <w:tc>
          <w:tcPr>
            <w:tcW w:w="3200" w:type="dxa"/>
          </w:tcPr>
          <w:p w14:paraId="6098E405" w14:textId="77777777" w:rsidR="007915A8" w:rsidRDefault="005E38CF">
            <w:r>
              <w:rPr>
                <w:rFonts w:ascii="Calibri" w:eastAsia="Calibri" w:hAnsi="Calibri" w:cs="Calibri"/>
                <w:color w:val="000000"/>
              </w:rPr>
              <w:t>Return on Equity (ROE)</w:t>
            </w:r>
          </w:p>
        </w:tc>
        <w:tc>
          <w:tcPr>
            <w:tcW w:w="2000" w:type="dxa"/>
          </w:tcPr>
          <w:p w14:paraId="647074C6" w14:textId="77777777" w:rsidR="007915A8" w:rsidRDefault="005E38CF">
            <w:pPr>
              <w:jc w:val="center"/>
            </w:pPr>
            <w:r>
              <w:rPr>
                <w:rFonts w:ascii="Calibri" w:eastAsia="Calibri" w:hAnsi="Calibri" w:cs="Calibri"/>
                <w:color w:val="000000"/>
              </w:rPr>
              <w:t>-69.0%*</w:t>
            </w:r>
          </w:p>
        </w:tc>
        <w:tc>
          <w:tcPr>
            <w:tcW w:w="2000" w:type="dxa"/>
          </w:tcPr>
          <w:p w14:paraId="493CAB6B" w14:textId="77777777" w:rsidR="007915A8" w:rsidRDefault="005E38CF">
            <w:pPr>
              <w:jc w:val="center"/>
            </w:pPr>
            <w:r>
              <w:rPr>
                <w:rFonts w:ascii="Calibri" w:eastAsia="Calibri" w:hAnsi="Calibri" w:cs="Calibri"/>
                <w:color w:val="000000"/>
              </w:rPr>
              <w:t>-102.4%*</w:t>
            </w:r>
          </w:p>
        </w:tc>
        <w:tc>
          <w:tcPr>
            <w:tcW w:w="2000" w:type="dxa"/>
          </w:tcPr>
          <w:p w14:paraId="3788F965" w14:textId="77777777" w:rsidR="007915A8" w:rsidRDefault="005E38CF">
            <w:pPr>
              <w:jc w:val="center"/>
            </w:pPr>
            <w:r>
              <w:rPr>
                <w:rFonts w:ascii="Calibri" w:eastAsia="Calibri" w:hAnsi="Calibri" w:cs="Calibri"/>
                <w:color w:val="000000"/>
              </w:rPr>
              <w:t>-1.6%</w:t>
            </w:r>
          </w:p>
        </w:tc>
      </w:tr>
      <w:tr w:rsidR="007915A8" w14:paraId="7726C1DF" w14:textId="77777777">
        <w:tc>
          <w:tcPr>
            <w:tcW w:w="3200" w:type="dxa"/>
          </w:tcPr>
          <w:p w14:paraId="1AEC58E9" w14:textId="77777777" w:rsidR="007915A8" w:rsidRDefault="005E38CF">
            <w:r>
              <w:rPr>
                <w:rFonts w:ascii="Calibri" w:eastAsia="Calibri" w:hAnsi="Calibri" w:cs="Calibri"/>
                <w:color w:val="000000"/>
              </w:rPr>
              <w:t>Price / Earnings (P/E)</w:t>
            </w:r>
          </w:p>
        </w:tc>
        <w:tc>
          <w:tcPr>
            <w:tcW w:w="2000" w:type="dxa"/>
          </w:tcPr>
          <w:p w14:paraId="781BADA5" w14:textId="77777777" w:rsidR="007915A8" w:rsidRDefault="005E38CF">
            <w:pPr>
              <w:jc w:val="center"/>
            </w:pPr>
            <w:r>
              <w:rPr>
                <w:rFonts w:ascii="Calibri" w:eastAsia="Calibri" w:hAnsi="Calibri" w:cs="Calibri"/>
                <w:color w:val="000000"/>
              </w:rPr>
              <w:t>28.7x</w:t>
            </w:r>
          </w:p>
        </w:tc>
        <w:tc>
          <w:tcPr>
            <w:tcW w:w="2000" w:type="dxa"/>
          </w:tcPr>
          <w:p w14:paraId="58E18C53" w14:textId="77777777" w:rsidR="007915A8" w:rsidRDefault="005E38CF">
            <w:pPr>
              <w:jc w:val="center"/>
            </w:pPr>
            <w:r>
              <w:rPr>
                <w:rFonts w:ascii="Calibri" w:eastAsia="Calibri" w:hAnsi="Calibri" w:cs="Calibri"/>
                <w:color w:val="000000"/>
              </w:rPr>
              <w:t>~47.4x</w:t>
            </w:r>
          </w:p>
        </w:tc>
        <w:tc>
          <w:tcPr>
            <w:tcW w:w="2000" w:type="dxa"/>
          </w:tcPr>
          <w:p w14:paraId="5FD12FE1" w14:textId="77777777" w:rsidR="007915A8" w:rsidRDefault="005E38CF">
            <w:pPr>
              <w:jc w:val="center"/>
            </w:pPr>
            <w:r>
              <w:rPr>
                <w:rFonts w:ascii="Calibri" w:eastAsia="Calibri" w:hAnsi="Calibri" w:cs="Calibri"/>
                <w:color w:val="000000"/>
              </w:rPr>
              <w:t>n/m (loss-making)</w:t>
            </w:r>
          </w:p>
        </w:tc>
      </w:tr>
      <w:tr w:rsidR="007915A8" w14:paraId="151382B8" w14:textId="77777777">
        <w:tc>
          <w:tcPr>
            <w:tcW w:w="3200" w:type="dxa"/>
          </w:tcPr>
          <w:p w14:paraId="24E880DF" w14:textId="77777777" w:rsidR="007915A8" w:rsidRDefault="005E38CF">
            <w:r>
              <w:rPr>
                <w:rFonts w:ascii="Calibri" w:eastAsia="Calibri" w:hAnsi="Calibri" w:cs="Calibri"/>
                <w:color w:val="000000"/>
              </w:rPr>
              <w:t>Operating Cash Flow Ratio</w:t>
            </w:r>
          </w:p>
        </w:tc>
        <w:tc>
          <w:tcPr>
            <w:tcW w:w="2000" w:type="dxa"/>
          </w:tcPr>
          <w:p w14:paraId="06A4C468" w14:textId="77777777" w:rsidR="007915A8" w:rsidRDefault="005E38CF">
            <w:pPr>
              <w:jc w:val="center"/>
            </w:pPr>
            <w:r>
              <w:rPr>
                <w:rFonts w:ascii="Calibri" w:eastAsia="Calibri" w:hAnsi="Calibri" w:cs="Calibri"/>
                <w:color w:val="000000"/>
              </w:rPr>
              <w:t>0.38x</w:t>
            </w:r>
          </w:p>
        </w:tc>
        <w:tc>
          <w:tcPr>
            <w:tcW w:w="2000" w:type="dxa"/>
          </w:tcPr>
          <w:p w14:paraId="7A0F71A4" w14:textId="77777777" w:rsidR="007915A8" w:rsidRDefault="005E38CF">
            <w:pPr>
              <w:jc w:val="center"/>
            </w:pPr>
            <w:r>
              <w:rPr>
                <w:rFonts w:ascii="Calibri" w:eastAsia="Calibri" w:hAnsi="Calibri" w:cs="Calibri"/>
                <w:color w:val="000000"/>
              </w:rPr>
              <w:t>0.38x</w:t>
            </w:r>
          </w:p>
        </w:tc>
        <w:tc>
          <w:tcPr>
            <w:tcW w:w="2000" w:type="dxa"/>
          </w:tcPr>
          <w:p w14:paraId="3D8792B2" w14:textId="77777777" w:rsidR="007915A8" w:rsidRDefault="005E38CF">
            <w:pPr>
              <w:jc w:val="center"/>
            </w:pPr>
            <w:r>
              <w:rPr>
                <w:rFonts w:ascii="Calibri" w:eastAsia="Calibri" w:hAnsi="Calibri" w:cs="Calibri"/>
                <w:color w:val="000000"/>
              </w:rPr>
              <w:t>0.12x</w:t>
            </w:r>
          </w:p>
        </w:tc>
      </w:tr>
      <w:tr w:rsidR="007915A8" w14:paraId="2DC561A6" w14:textId="77777777">
        <w:tc>
          <w:tcPr>
            <w:tcW w:w="3200" w:type="dxa"/>
          </w:tcPr>
          <w:p w14:paraId="288A8E55" w14:textId="77777777" w:rsidR="007915A8" w:rsidRDefault="005E38CF">
            <w:r>
              <w:rPr>
                <w:rFonts w:ascii="Calibri" w:eastAsia="Calibri" w:hAnsi="Calibri" w:cs="Calibri"/>
                <w:color w:val="000000"/>
              </w:rPr>
              <w:t>Free Cash Flow Margin</w:t>
            </w:r>
          </w:p>
        </w:tc>
        <w:tc>
          <w:tcPr>
            <w:tcW w:w="2000" w:type="dxa"/>
          </w:tcPr>
          <w:p w14:paraId="66832346" w14:textId="77777777" w:rsidR="007915A8" w:rsidRDefault="005E38CF">
            <w:pPr>
              <w:jc w:val="center"/>
            </w:pPr>
            <w:r>
              <w:rPr>
                <w:rFonts w:ascii="Calibri" w:eastAsia="Calibri" w:hAnsi="Calibri" w:cs="Calibri"/>
                <w:color w:val="000000"/>
              </w:rPr>
              <w:t>10.0%</w:t>
            </w:r>
          </w:p>
        </w:tc>
        <w:tc>
          <w:tcPr>
            <w:tcW w:w="2000" w:type="dxa"/>
          </w:tcPr>
          <w:p w14:paraId="4FED30CF" w14:textId="77777777" w:rsidR="007915A8" w:rsidRDefault="005E38CF">
            <w:pPr>
              <w:jc w:val="center"/>
            </w:pPr>
            <w:r>
              <w:rPr>
                <w:rFonts w:ascii="Calibri" w:eastAsia="Calibri" w:hAnsi="Calibri" w:cs="Calibri"/>
                <w:color w:val="000000"/>
              </w:rPr>
              <w:t>13.0%</w:t>
            </w:r>
          </w:p>
        </w:tc>
        <w:tc>
          <w:tcPr>
            <w:tcW w:w="2000" w:type="dxa"/>
          </w:tcPr>
          <w:p w14:paraId="5976631E" w14:textId="77777777" w:rsidR="007915A8" w:rsidRDefault="005E38CF">
            <w:pPr>
              <w:jc w:val="center"/>
            </w:pPr>
            <w:r>
              <w:rPr>
                <w:rFonts w:ascii="Calibri" w:eastAsia="Calibri" w:hAnsi="Calibri" w:cs="Calibri"/>
                <w:color w:val="000000"/>
              </w:rPr>
              <w:t>3.0%</w:t>
            </w:r>
          </w:p>
        </w:tc>
      </w:tr>
    </w:tbl>
    <w:p w14:paraId="083FD86D" w14:textId="77777777" w:rsidR="007915A8" w:rsidRDefault="005E38CF">
      <w:pPr>
        <w:spacing w:after="160"/>
      </w:pPr>
      <w:r>
        <w:rPr>
          <w:rFonts w:ascii="Calibri" w:eastAsia="Calibri" w:hAnsi="Calibri" w:cs="Calibri"/>
          <w:i/>
          <w:iCs/>
        </w:rPr>
        <w:t>*Marriott and Hilton both report negative shareholders’ equity in FY2025 due to sustained, large-scale share buyback programmes, which pushes ROE into distorted, not-meaningful territory (see Section 4).</w:t>
      </w:r>
    </w:p>
    <w:p w14:paraId="145E8D24" w14:textId="77777777" w:rsidR="007915A8" w:rsidRDefault="005E38CF">
      <w:pPr>
        <w:pStyle w:val="Heading1"/>
        <w:spacing w:before="240" w:after="120"/>
      </w:pPr>
      <w:r>
        <w:t>3. Return on Assets (ROA) — Marriott's Core Strength</w:t>
      </w:r>
    </w:p>
    <w:p w14:paraId="0A5952C2" w14:textId="77777777" w:rsidR="007915A8" w:rsidRDefault="005E38CF">
      <w:pPr>
        <w:spacing w:after="160"/>
      </w:pPr>
      <w:r>
        <w:rPr>
          <w:rFonts w:ascii="Calibri" w:eastAsia="Calibri" w:hAnsi="Calibri" w:cs="Calibri"/>
          <w:sz w:val="22"/>
          <w:szCs w:val="22"/>
        </w:rPr>
        <w:t>Marriott's 9.4% ROA is the strongest of the three: modestly ahead of Hilton's 8.7%, and well clear of Hyatt, which posted a small net loss for FY2025 (driven largely by transaction and integration costs tied to the Playa Hotels acquisition). ROA is the most reliable cross-company profitability metric here, since it is unaffected by the negative-equity distortion that affects ROE. Marriott's larger scale (roughly $26bn revenue versus Hilton's $12bn and Hyatt's $7bn) combined with a high-margin, fee-based revenue mix supports this lead.</w:t>
      </w:r>
    </w:p>
    <w:p w14:paraId="1FC88431" w14:textId="77777777" w:rsidR="007915A8" w:rsidRDefault="005E38CF">
      <w:pPr>
        <w:pStyle w:val="Heading1"/>
        <w:spacing w:before="240" w:after="120"/>
      </w:pPr>
      <w:r>
        <w:t>4. Return on Equity (ROE) — A Distorted Metric Across the Sector</w:t>
      </w:r>
    </w:p>
    <w:p w14:paraId="6A84099D" w14:textId="77777777" w:rsidR="007915A8" w:rsidRDefault="005E38CF">
      <w:pPr>
        <w:spacing w:after="160"/>
      </w:pPr>
      <w:r>
        <w:rPr>
          <w:rFonts w:ascii="Calibri" w:eastAsia="Calibri" w:hAnsi="Calibri" w:cs="Calibri"/>
          <w:sz w:val="22"/>
          <w:szCs w:val="22"/>
        </w:rPr>
        <w:t>Both Marriott (-69.0%) and Hilton (-102.4%) report negative ROE, not because profitability has collapsed — both companies remained solidly profitable in FY2025 — but because years of aggressive share buybacks have driven shareholders' equity into a deficit. Hilton's equity deficit is proportionally larger than Marriott's, which is why its negative ROE appears more extreme despite Hilton's underlying ROA being broadly comparable to Marriott's. Hyatt, which has repurchased far fewer shares relative to its size, retains positive equity and a small negative ROE that closely tracks its FY2025 net loss. The key takeaway for a marketing/strategy audience is that ROE is not a meaningful comparator across this industry at present; ROA and cash-flow ratios give a truer picture of relative performance.</w:t>
      </w:r>
    </w:p>
    <w:p w14:paraId="6671C69E" w14:textId="77777777" w:rsidR="007915A8" w:rsidRDefault="005E38CF">
      <w:pPr>
        <w:pStyle w:val="Heading1"/>
        <w:spacing w:before="240" w:after="120"/>
      </w:pPr>
      <w:r>
        <w:t>5. Valuation (P/E)</w:t>
      </w:r>
    </w:p>
    <w:p w14:paraId="35DD7B88" w14:textId="77777777" w:rsidR="007915A8" w:rsidRDefault="005E38CF">
      <w:pPr>
        <w:spacing w:after="160"/>
      </w:pPr>
      <w:r>
        <w:rPr>
          <w:rFonts w:ascii="Calibri" w:eastAsia="Calibri" w:hAnsi="Calibri" w:cs="Calibri"/>
          <w:sz w:val="22"/>
          <w:szCs w:val="22"/>
        </w:rPr>
        <w:t>Marriott trades on roughly 28.7x trailing diluted earnings, below Hilton's approximately 47x (a premium that reflects Hilton's smaller, faster-growing, even more capital-light fee base). Hyatt's P/E is not meaningful because the company reported a net loss for the year. Marriott's mid-range multiple suggests the market views it as a stable, mature compounder rather than either a high-growth story (Hilton) or a turnaround/value situation (Hyatt).</w:t>
      </w:r>
    </w:p>
    <w:p w14:paraId="0CD8EBF9" w14:textId="77777777" w:rsidR="007915A8" w:rsidRDefault="005E38CF">
      <w:pPr>
        <w:pStyle w:val="Heading1"/>
        <w:spacing w:before="240" w:after="120"/>
      </w:pPr>
      <w:r>
        <w:lastRenderedPageBreak/>
        <w:t>6. Cash Generation</w:t>
      </w:r>
    </w:p>
    <w:p w14:paraId="78E16195" w14:textId="77777777" w:rsidR="007915A8" w:rsidRDefault="005E38CF">
      <w:pPr>
        <w:spacing w:after="160"/>
      </w:pPr>
      <w:r>
        <w:rPr>
          <w:rFonts w:ascii="Calibri" w:eastAsia="Calibri" w:hAnsi="Calibri" w:cs="Calibri"/>
          <w:sz w:val="22"/>
          <w:szCs w:val="22"/>
        </w:rPr>
        <w:t>Marriott and Hilton both convert cash from operations at a similar rate relative to current liabilities (0.38x), while Hyatt lags at 0.12x, consistent with its weaker net income base. On free cash flow margin, Hilton leads at roughly 13.0% of revenue, Marriott follows at 10.0%, and Hyatt trails at around 3.0%. Marriott's free cash flow margin has been on an improving trend since 2021 (see the Ratios_5yr worksheet) as revenue growth has outpaced the recent step-up in capital and technology spending.</w:t>
      </w:r>
    </w:p>
    <w:p w14:paraId="79697ED2" w14:textId="77777777" w:rsidR="007915A8" w:rsidRDefault="005E38CF">
      <w:pPr>
        <w:pStyle w:val="Heading1"/>
        <w:spacing w:before="240" w:after="120"/>
      </w:pPr>
      <w:r>
        <w:t>7. Strengths and Weaknesses Summary</w:t>
      </w:r>
    </w:p>
    <w:p w14:paraId="5F333B7E" w14:textId="77777777" w:rsidR="007915A8" w:rsidRDefault="005E38CF">
      <w:pPr>
        <w:pStyle w:val="ListParagraph"/>
        <w:numPr>
          <w:ilvl w:val="0"/>
          <w:numId w:val="1"/>
        </w:numPr>
        <w:spacing w:after="80"/>
      </w:pPr>
      <w:r>
        <w:rPr>
          <w:rFonts w:ascii="Calibri" w:eastAsia="Calibri" w:hAnsi="Calibri" w:cs="Calibri"/>
          <w:sz w:val="22"/>
          <w:szCs w:val="22"/>
        </w:rPr>
        <w:t>Strength: Marriott's ROA and free cash flow margin both sit ahead of, or in line with, its closest peers, evidencing efficient use of its (</w:t>
      </w:r>
      <w:proofErr w:type="gramStart"/>
      <w:r>
        <w:rPr>
          <w:rFonts w:ascii="Calibri" w:eastAsia="Calibri" w:hAnsi="Calibri" w:cs="Calibri"/>
          <w:sz w:val="22"/>
          <w:szCs w:val="22"/>
        </w:rPr>
        <w:t>comparatively larger</w:t>
      </w:r>
      <w:proofErr w:type="gramEnd"/>
      <w:r>
        <w:rPr>
          <w:rFonts w:ascii="Calibri" w:eastAsia="Calibri" w:hAnsi="Calibri" w:cs="Calibri"/>
          <w:sz w:val="22"/>
          <w:szCs w:val="22"/>
        </w:rPr>
        <w:t>) asset base.</w:t>
      </w:r>
    </w:p>
    <w:p w14:paraId="4B7E3EB1" w14:textId="77777777" w:rsidR="007915A8" w:rsidRDefault="005E38CF">
      <w:pPr>
        <w:pStyle w:val="ListParagraph"/>
        <w:numPr>
          <w:ilvl w:val="0"/>
          <w:numId w:val="1"/>
        </w:numPr>
        <w:spacing w:after="80"/>
      </w:pPr>
      <w:r>
        <w:rPr>
          <w:rFonts w:ascii="Calibri" w:eastAsia="Calibri" w:hAnsi="Calibri" w:cs="Calibri"/>
          <w:sz w:val="22"/>
          <w:szCs w:val="22"/>
        </w:rPr>
        <w:t>Strength: Superior operating cash flow ratio versus Hyatt reflects Marriott's scale advantage and disciplined working-capital management.</w:t>
      </w:r>
    </w:p>
    <w:p w14:paraId="4537F80C" w14:textId="77777777" w:rsidR="007915A8" w:rsidRDefault="005E38CF">
      <w:pPr>
        <w:pStyle w:val="ListParagraph"/>
        <w:numPr>
          <w:ilvl w:val="0"/>
          <w:numId w:val="1"/>
        </w:numPr>
        <w:spacing w:after="80"/>
      </w:pPr>
      <w:r>
        <w:rPr>
          <w:rFonts w:ascii="Calibri" w:eastAsia="Calibri" w:hAnsi="Calibri" w:cs="Calibri"/>
          <w:sz w:val="22"/>
          <w:szCs w:val="22"/>
        </w:rPr>
        <w:t>Weakness / Watch item: Like Hilton, Marriott's balance sheet now shows negative equity following years of buybacks; while this is a deliberate capital-allocation choice rather than a sign of distress, it does raise leverage and reduces the company's cushion against a severe downturn in travel demand.</w:t>
      </w:r>
    </w:p>
    <w:p w14:paraId="0F33C5D8" w14:textId="77777777" w:rsidR="007915A8" w:rsidRDefault="005E38CF">
      <w:pPr>
        <w:pStyle w:val="ListParagraph"/>
        <w:numPr>
          <w:ilvl w:val="0"/>
          <w:numId w:val="1"/>
        </w:numPr>
        <w:spacing w:after="80"/>
      </w:pPr>
      <w:r>
        <w:rPr>
          <w:rFonts w:ascii="Calibri" w:eastAsia="Calibri" w:hAnsi="Calibri" w:cs="Calibri"/>
          <w:sz w:val="22"/>
          <w:szCs w:val="22"/>
        </w:rPr>
        <w:t>Weakness: Marriott's P/E multiple leaves less room for share-price re-rating than Hyatt's lower (loss-adjusted) valuation, and a moderate discount to Hilton's premium multiple suggests the market currently rates Hilton's growth profile more highly.</w:t>
      </w:r>
    </w:p>
    <w:p w14:paraId="5039AF02" w14:textId="77777777" w:rsidR="007915A8" w:rsidRDefault="005E38CF">
      <w:pPr>
        <w:pStyle w:val="Heading1"/>
        <w:spacing w:before="240" w:after="120"/>
      </w:pPr>
      <w:r>
        <w:t>8. Conclusion</w:t>
      </w:r>
    </w:p>
    <w:p w14:paraId="4FFBBAC4" w14:textId="77777777" w:rsidR="007915A8" w:rsidRDefault="005E38CF">
      <w:pPr>
        <w:spacing w:after="160"/>
      </w:pPr>
      <w:r>
        <w:rPr>
          <w:rFonts w:ascii="Calibri" w:eastAsia="Calibri" w:hAnsi="Calibri" w:cs="Calibri"/>
          <w:sz w:val="22"/>
          <w:szCs w:val="22"/>
        </w:rPr>
        <w:t>On a like-for-like FY2025 basis, Marriott is the most balanced performer of the three: it leads on asset efficiency (ROA) and matches Hilton on cash conversion (Operating Cash Flow Ratio), while trading at a more conservative valuation than Hilton. Its negative equity position, shared with Hilton, is a sector-wide feature of aggressive capital return programmes rather than a Marriott-specific weakness, but it is worth flagging as a risk factor that reduces balance-sheet flexibility.</w:t>
      </w:r>
    </w:p>
    <w:sectPr w:rsidR="007915A8">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D775EE1"/>
    <w:multiLevelType w:val="hybridMultilevel"/>
    <w:tmpl w:val="FFFFFFFF"/>
    <w:lvl w:ilvl="0" w:tplc="76AE7AF8">
      <w:start w:val="1"/>
      <w:numFmt w:val="bullet"/>
      <w:lvlText w:val="●"/>
      <w:lvlJc w:val="left"/>
      <w:pPr>
        <w:ind w:left="720" w:hanging="360"/>
      </w:pPr>
    </w:lvl>
    <w:lvl w:ilvl="1" w:tplc="04928F1E">
      <w:start w:val="1"/>
      <w:numFmt w:val="bullet"/>
      <w:lvlText w:val="○"/>
      <w:lvlJc w:val="left"/>
      <w:pPr>
        <w:ind w:left="1440" w:hanging="360"/>
      </w:pPr>
    </w:lvl>
    <w:lvl w:ilvl="2" w:tplc="1B5CF3D0">
      <w:start w:val="1"/>
      <w:numFmt w:val="bullet"/>
      <w:lvlText w:val="■"/>
      <w:lvlJc w:val="left"/>
      <w:pPr>
        <w:ind w:left="2160" w:hanging="360"/>
      </w:pPr>
    </w:lvl>
    <w:lvl w:ilvl="3" w:tplc="174AC0CE">
      <w:start w:val="1"/>
      <w:numFmt w:val="bullet"/>
      <w:lvlText w:val="●"/>
      <w:lvlJc w:val="left"/>
      <w:pPr>
        <w:ind w:left="2880" w:hanging="360"/>
      </w:pPr>
    </w:lvl>
    <w:lvl w:ilvl="4" w:tplc="45065BA2">
      <w:start w:val="1"/>
      <w:numFmt w:val="bullet"/>
      <w:lvlText w:val="○"/>
      <w:lvlJc w:val="left"/>
      <w:pPr>
        <w:ind w:left="3600" w:hanging="360"/>
      </w:pPr>
    </w:lvl>
    <w:lvl w:ilvl="5" w:tplc="F2C4033C">
      <w:start w:val="1"/>
      <w:numFmt w:val="bullet"/>
      <w:lvlText w:val="■"/>
      <w:lvlJc w:val="left"/>
      <w:pPr>
        <w:ind w:left="4320" w:hanging="360"/>
      </w:pPr>
    </w:lvl>
    <w:lvl w:ilvl="6" w:tplc="919A2820">
      <w:start w:val="1"/>
      <w:numFmt w:val="bullet"/>
      <w:lvlText w:val="●"/>
      <w:lvlJc w:val="left"/>
      <w:pPr>
        <w:ind w:left="5040" w:hanging="360"/>
      </w:pPr>
    </w:lvl>
    <w:lvl w:ilvl="7" w:tplc="9CFE4A56">
      <w:start w:val="1"/>
      <w:numFmt w:val="bullet"/>
      <w:lvlText w:val="●"/>
      <w:lvlJc w:val="left"/>
      <w:pPr>
        <w:ind w:left="5760" w:hanging="360"/>
      </w:pPr>
    </w:lvl>
    <w:lvl w:ilvl="8" w:tplc="4494502E">
      <w:start w:val="1"/>
      <w:numFmt w:val="bullet"/>
      <w:lvlText w:val="●"/>
      <w:lvlJc w:val="left"/>
      <w:pPr>
        <w:ind w:left="6480" w:hanging="360"/>
      </w:pPr>
    </w:lvl>
  </w:abstractNum>
  <w:num w:numId="1" w16cid:durableId="59994545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15A8"/>
    <w:rsid w:val="002E2E3E"/>
    <w:rsid w:val="003D1612"/>
    <w:rsid w:val="005103C6"/>
    <w:rsid w:val="00547C4B"/>
    <w:rsid w:val="005E38CF"/>
    <w:rsid w:val="006575B8"/>
    <w:rsid w:val="006B7E6D"/>
    <w:rsid w:val="006E6D89"/>
    <w:rsid w:val="00791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2D9AFB"/>
  <w15:docId w15:val="{EF4AAE05-2DDA-9641-9140-5B5A4985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744</Words>
  <Characters>4243</Characters>
  <Application>Microsoft Office Word</Application>
  <DocSecurity>0</DocSecurity>
  <Lines>35</Lines>
  <Paragraphs>9</Paragraphs>
  <ScaleCrop>false</ScaleCrop>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Vishal Singh (2543470)</cp:lastModifiedBy>
  <cp:revision>2</cp:revision>
  <dcterms:created xsi:type="dcterms:W3CDTF">2026-07-30T21:06:00Z</dcterms:created>
  <dcterms:modified xsi:type="dcterms:W3CDTF">2026-07-30T21:06:00Z</dcterms:modified>
</cp:coreProperties>
</file>