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817068" w14:textId="77777777" w:rsidR="00192301" w:rsidRPr="004F104B" w:rsidRDefault="00192301" w:rsidP="00192301">
      <w:pPr>
        <w:spacing w:line="360" w:lineRule="auto"/>
        <w:rPr>
          <w:rFonts w:ascii="Arial" w:hAnsi="Arial" w:cs="Arial"/>
          <w:b/>
          <w:bCs/>
          <w:u w:val="single"/>
        </w:rPr>
      </w:pPr>
      <w:bookmarkStart w:id="0" w:name="_Hlk190711678"/>
      <w:r w:rsidRPr="004F104B">
        <w:rPr>
          <w:rFonts w:ascii="Arial" w:hAnsi="Arial" w:cs="Arial"/>
          <w:b/>
          <w:bCs/>
          <w:u w:val="single"/>
        </w:rPr>
        <w:t>Section 1</w:t>
      </w:r>
      <w:r>
        <w:rPr>
          <w:rFonts w:ascii="Arial" w:hAnsi="Arial" w:cs="Arial"/>
          <w:b/>
          <w:bCs/>
          <w:u w:val="single"/>
        </w:rPr>
        <w:t xml:space="preserve"> </w:t>
      </w:r>
    </w:p>
    <w:p w14:paraId="14C20F97" w14:textId="77777777" w:rsidR="00192301" w:rsidRDefault="00192301" w:rsidP="00192301">
      <w:pPr>
        <w:spacing w:line="360" w:lineRule="auto"/>
        <w:rPr>
          <w:rFonts w:ascii="Arial" w:hAnsi="Arial" w:cs="Arial"/>
        </w:rPr>
      </w:pPr>
      <w:r w:rsidRPr="004F104B">
        <w:rPr>
          <w:rFonts w:ascii="Arial" w:hAnsi="Arial" w:cs="Arial"/>
        </w:rPr>
        <w:t>Play is a compl</w:t>
      </w:r>
      <w:r>
        <w:rPr>
          <w:rFonts w:ascii="Arial" w:hAnsi="Arial" w:cs="Arial"/>
        </w:rPr>
        <w:t>icated</w:t>
      </w:r>
      <w:r w:rsidRPr="004F104B">
        <w:rPr>
          <w:rFonts w:ascii="Arial" w:hAnsi="Arial" w:cs="Arial"/>
        </w:rPr>
        <w:t xml:space="preserve"> concept</w:t>
      </w:r>
      <w:r>
        <w:rPr>
          <w:rFonts w:ascii="Arial" w:hAnsi="Arial" w:cs="Arial"/>
        </w:rPr>
        <w:t xml:space="preserve"> to define</w:t>
      </w:r>
      <w:r w:rsidRPr="004F104B">
        <w:rPr>
          <w:rFonts w:ascii="Arial" w:hAnsi="Arial" w:cs="Arial"/>
        </w:rPr>
        <w:t xml:space="preserve"> </w:t>
      </w:r>
      <w:r>
        <w:rPr>
          <w:rFonts w:ascii="Arial" w:hAnsi="Arial" w:cs="Arial"/>
        </w:rPr>
        <w:t>and</w:t>
      </w:r>
      <w:r w:rsidRPr="004F104B">
        <w:rPr>
          <w:rFonts w:ascii="Arial" w:hAnsi="Arial" w:cs="Arial"/>
        </w:rPr>
        <w:t xml:space="preserve"> can be interpreted in various ways because there are a range of perspectives and beliefs about </w:t>
      </w:r>
      <w:r>
        <w:rPr>
          <w:rFonts w:ascii="Arial" w:hAnsi="Arial" w:cs="Arial"/>
        </w:rPr>
        <w:t>what play is and the impact play has for</w:t>
      </w:r>
      <w:r w:rsidRPr="004F104B">
        <w:rPr>
          <w:rFonts w:ascii="Arial" w:hAnsi="Arial" w:cs="Arial"/>
        </w:rPr>
        <w:t xml:space="preserve"> children. </w:t>
      </w:r>
      <w:r w:rsidRPr="00845CD6">
        <w:rPr>
          <w:rFonts w:ascii="Arial" w:hAnsi="Arial" w:cs="Arial"/>
          <w:highlight w:val="yellow"/>
        </w:rPr>
        <w:t>Author /source</w:t>
      </w:r>
      <w:r>
        <w:rPr>
          <w:rFonts w:ascii="Arial" w:hAnsi="Arial" w:cs="Arial"/>
        </w:rPr>
        <w:t xml:space="preserve"> </w:t>
      </w:r>
      <w:r w:rsidRPr="004F104B">
        <w:rPr>
          <w:rFonts w:ascii="Arial" w:hAnsi="Arial" w:cs="Arial"/>
        </w:rPr>
        <w:t xml:space="preserve">Waters-Davies (2022) </w:t>
      </w:r>
      <w:r>
        <w:rPr>
          <w:rFonts w:ascii="Arial" w:hAnsi="Arial" w:cs="Arial"/>
        </w:rPr>
        <w:t xml:space="preserve">emphasizes the collective contributions of </w:t>
      </w:r>
      <w:r w:rsidRPr="004F104B">
        <w:rPr>
          <w:rFonts w:ascii="Arial" w:hAnsi="Arial" w:cs="Arial"/>
        </w:rPr>
        <w:t xml:space="preserve">key pioneers in child development </w:t>
      </w:r>
      <w:r>
        <w:rPr>
          <w:rFonts w:ascii="Arial" w:hAnsi="Arial" w:cs="Arial"/>
        </w:rPr>
        <w:t xml:space="preserve">including </w:t>
      </w:r>
      <w:r w:rsidRPr="004F104B">
        <w:rPr>
          <w:rFonts w:ascii="Arial" w:hAnsi="Arial" w:cs="Arial"/>
        </w:rPr>
        <w:t>Piaget, Vygotsky</w:t>
      </w:r>
      <w:r>
        <w:rPr>
          <w:rFonts w:ascii="Arial" w:hAnsi="Arial" w:cs="Arial"/>
        </w:rPr>
        <w:t xml:space="preserve"> and </w:t>
      </w:r>
      <w:r w:rsidRPr="004F104B">
        <w:rPr>
          <w:rFonts w:ascii="Arial" w:hAnsi="Arial" w:cs="Arial"/>
        </w:rPr>
        <w:t>Froebel</w:t>
      </w:r>
      <w:r>
        <w:rPr>
          <w:rFonts w:ascii="Arial" w:hAnsi="Arial" w:cs="Arial"/>
        </w:rPr>
        <w:t xml:space="preserve"> and although they have</w:t>
      </w:r>
      <w:r w:rsidRPr="004F104B">
        <w:rPr>
          <w:rFonts w:ascii="Arial" w:hAnsi="Arial" w:cs="Arial"/>
        </w:rPr>
        <w:t xml:space="preserve"> different perspectives about child development and learning</w:t>
      </w:r>
      <w:r>
        <w:rPr>
          <w:rFonts w:ascii="Arial" w:hAnsi="Arial" w:cs="Arial"/>
        </w:rPr>
        <w:t xml:space="preserve"> processes,</w:t>
      </w:r>
      <w:r w:rsidRPr="004F104B">
        <w:rPr>
          <w:rFonts w:ascii="Arial" w:hAnsi="Arial" w:cs="Arial"/>
        </w:rPr>
        <w:t xml:space="preserve"> all these theorists have influenced and shaped play</w:t>
      </w:r>
      <w:r>
        <w:rPr>
          <w:rFonts w:ascii="Arial" w:hAnsi="Arial" w:cs="Arial"/>
        </w:rPr>
        <w:t xml:space="preserve"> within</w:t>
      </w:r>
      <w:r w:rsidRPr="004F104B">
        <w:rPr>
          <w:rFonts w:ascii="Arial" w:hAnsi="Arial" w:cs="Arial"/>
        </w:rPr>
        <w:t xml:space="preserve"> our early years practice today</w:t>
      </w:r>
      <w:r>
        <w:rPr>
          <w:rFonts w:ascii="Arial" w:hAnsi="Arial" w:cs="Arial"/>
        </w:rPr>
        <w:t>. This is</w:t>
      </w:r>
      <w:r w:rsidRPr="004F104B">
        <w:rPr>
          <w:rFonts w:ascii="Arial" w:hAnsi="Arial" w:cs="Arial"/>
        </w:rPr>
        <w:t xml:space="preserve"> </w:t>
      </w:r>
      <w:r>
        <w:rPr>
          <w:rFonts w:ascii="Arial" w:hAnsi="Arial" w:cs="Arial"/>
        </w:rPr>
        <w:t>due to</w:t>
      </w:r>
      <w:r w:rsidRPr="004F104B">
        <w:rPr>
          <w:rFonts w:ascii="Arial" w:hAnsi="Arial" w:cs="Arial"/>
        </w:rPr>
        <w:t xml:space="preserve"> </w:t>
      </w:r>
      <w:r>
        <w:rPr>
          <w:rFonts w:ascii="Arial" w:hAnsi="Arial" w:cs="Arial"/>
        </w:rPr>
        <w:t>a</w:t>
      </w:r>
      <w:r w:rsidRPr="004F104B">
        <w:rPr>
          <w:rFonts w:ascii="Arial" w:hAnsi="Arial" w:cs="Arial"/>
        </w:rPr>
        <w:t xml:space="preserve"> shared belief in the </w:t>
      </w:r>
      <w:r>
        <w:rPr>
          <w:rFonts w:ascii="Arial" w:hAnsi="Arial" w:cs="Arial"/>
        </w:rPr>
        <w:t>power</w:t>
      </w:r>
      <w:r w:rsidRPr="004F104B">
        <w:rPr>
          <w:rFonts w:ascii="Arial" w:hAnsi="Arial" w:cs="Arial"/>
        </w:rPr>
        <w:t xml:space="preserve"> of play </w:t>
      </w:r>
      <w:r>
        <w:rPr>
          <w:rFonts w:ascii="Arial" w:hAnsi="Arial" w:cs="Arial"/>
        </w:rPr>
        <w:t>in</w:t>
      </w:r>
      <w:r w:rsidRPr="004F104B">
        <w:rPr>
          <w:rFonts w:ascii="Arial" w:hAnsi="Arial" w:cs="Arial"/>
        </w:rPr>
        <w:t xml:space="preserve"> </w:t>
      </w:r>
      <w:r>
        <w:rPr>
          <w:rFonts w:ascii="Arial" w:hAnsi="Arial" w:cs="Arial"/>
        </w:rPr>
        <w:t>c</w:t>
      </w:r>
      <w:r w:rsidRPr="004F104B">
        <w:rPr>
          <w:rFonts w:ascii="Arial" w:hAnsi="Arial" w:cs="Arial"/>
        </w:rPr>
        <w:t>hildren</w:t>
      </w:r>
      <w:r>
        <w:rPr>
          <w:rFonts w:ascii="Arial" w:hAnsi="Arial" w:cs="Arial"/>
        </w:rPr>
        <w:t>’s development</w:t>
      </w:r>
      <w:r w:rsidRPr="004F104B">
        <w:rPr>
          <w:rFonts w:ascii="Arial" w:hAnsi="Arial" w:cs="Arial"/>
        </w:rPr>
        <w:t xml:space="preserve"> </w:t>
      </w:r>
      <w:r>
        <w:rPr>
          <w:rFonts w:ascii="Arial" w:hAnsi="Arial" w:cs="Arial"/>
        </w:rPr>
        <w:t>and</w:t>
      </w:r>
      <w:r w:rsidRPr="004F104B">
        <w:rPr>
          <w:rFonts w:ascii="Arial" w:hAnsi="Arial" w:cs="Arial"/>
        </w:rPr>
        <w:t xml:space="preserve"> understanding </w:t>
      </w:r>
      <w:r>
        <w:rPr>
          <w:rFonts w:ascii="Arial" w:hAnsi="Arial" w:cs="Arial"/>
        </w:rPr>
        <w:t xml:space="preserve">of </w:t>
      </w:r>
      <w:r w:rsidRPr="004F104B">
        <w:rPr>
          <w:rFonts w:ascii="Arial" w:hAnsi="Arial" w:cs="Arial"/>
        </w:rPr>
        <w:t xml:space="preserve">the world around them. </w:t>
      </w:r>
      <w:r>
        <w:rPr>
          <w:rFonts w:ascii="Arial" w:hAnsi="Arial" w:cs="Arial"/>
        </w:rPr>
        <w:t xml:space="preserve">According to </w:t>
      </w:r>
      <w:r w:rsidRPr="004F104B">
        <w:rPr>
          <w:rFonts w:ascii="Arial" w:hAnsi="Arial" w:cs="Arial"/>
        </w:rPr>
        <w:t>Gordon (2009)</w:t>
      </w:r>
      <w:r>
        <w:rPr>
          <w:rFonts w:ascii="Arial" w:hAnsi="Arial" w:cs="Arial"/>
        </w:rPr>
        <w:t xml:space="preserve"> play is complex </w:t>
      </w:r>
      <w:r w:rsidRPr="004F104B">
        <w:rPr>
          <w:rFonts w:ascii="Arial" w:hAnsi="Arial" w:cs="Arial"/>
        </w:rPr>
        <w:t>and</w:t>
      </w:r>
      <w:r>
        <w:rPr>
          <w:rFonts w:ascii="Arial" w:hAnsi="Arial" w:cs="Arial"/>
        </w:rPr>
        <w:t xml:space="preserve"> suggests</w:t>
      </w:r>
      <w:r w:rsidRPr="004F104B">
        <w:rPr>
          <w:rFonts w:ascii="Arial" w:hAnsi="Arial" w:cs="Arial"/>
        </w:rPr>
        <w:t xml:space="preserve"> that as practitioners </w:t>
      </w:r>
      <w:r>
        <w:rPr>
          <w:rFonts w:ascii="Arial" w:hAnsi="Arial" w:cs="Arial"/>
        </w:rPr>
        <w:t xml:space="preserve">it is important </w:t>
      </w:r>
      <w:r w:rsidRPr="004F104B">
        <w:rPr>
          <w:rFonts w:ascii="Arial" w:hAnsi="Arial" w:cs="Arial"/>
        </w:rPr>
        <w:t xml:space="preserve">to adapt a mindset </w:t>
      </w:r>
      <w:r>
        <w:rPr>
          <w:rFonts w:ascii="Arial" w:hAnsi="Arial" w:cs="Arial"/>
        </w:rPr>
        <w:t>about</w:t>
      </w:r>
      <w:r w:rsidRPr="004F104B">
        <w:rPr>
          <w:rFonts w:ascii="Arial" w:hAnsi="Arial" w:cs="Arial"/>
        </w:rPr>
        <w:t xml:space="preserve"> play which is </w:t>
      </w:r>
      <w:r>
        <w:rPr>
          <w:rFonts w:ascii="Arial" w:hAnsi="Arial" w:cs="Arial"/>
        </w:rPr>
        <w:t>versatile</w:t>
      </w:r>
      <w:r w:rsidRPr="004F104B">
        <w:rPr>
          <w:rFonts w:ascii="Arial" w:hAnsi="Arial" w:cs="Arial"/>
        </w:rPr>
        <w:t xml:space="preserve"> just as play itself is </w:t>
      </w:r>
      <w:r>
        <w:rPr>
          <w:rFonts w:ascii="Arial" w:hAnsi="Arial" w:cs="Arial"/>
        </w:rPr>
        <w:t xml:space="preserve">versatile. Having a versatile approach can boost creativity, enhances collaboration with children and fosters learning and growth through trial and error. </w:t>
      </w:r>
      <w:r w:rsidRPr="004F104B">
        <w:rPr>
          <w:rFonts w:ascii="Arial" w:hAnsi="Arial" w:cs="Arial"/>
        </w:rPr>
        <w:t xml:space="preserve"> This idea is also shared by Smith (1997) as cited by Canning (2011) who</w:t>
      </w:r>
      <w:r>
        <w:rPr>
          <w:rFonts w:ascii="Arial" w:hAnsi="Arial" w:cs="Arial"/>
        </w:rPr>
        <w:t xml:space="preserve"> also</w:t>
      </w:r>
      <w:r w:rsidRPr="004F104B">
        <w:rPr>
          <w:rFonts w:ascii="Arial" w:hAnsi="Arial" w:cs="Arial"/>
        </w:rPr>
        <w:t xml:space="preserve"> highlights </w:t>
      </w:r>
      <w:r>
        <w:rPr>
          <w:rFonts w:ascii="Arial" w:hAnsi="Arial" w:cs="Arial"/>
        </w:rPr>
        <w:t>that play is</w:t>
      </w:r>
      <w:r w:rsidRPr="004F104B">
        <w:rPr>
          <w:rFonts w:ascii="Arial" w:hAnsi="Arial" w:cs="Arial"/>
        </w:rPr>
        <w:t xml:space="preserve"> difficult to </w:t>
      </w:r>
      <w:r>
        <w:rPr>
          <w:rFonts w:ascii="Arial" w:hAnsi="Arial" w:cs="Arial"/>
        </w:rPr>
        <w:t xml:space="preserve">capture and </w:t>
      </w:r>
      <w:r w:rsidRPr="004F104B">
        <w:rPr>
          <w:rFonts w:ascii="Arial" w:hAnsi="Arial" w:cs="Arial"/>
        </w:rPr>
        <w:t xml:space="preserve">define due to its diverse nature. </w:t>
      </w:r>
      <w:r>
        <w:rPr>
          <w:rFonts w:ascii="Arial" w:hAnsi="Arial" w:cs="Arial"/>
        </w:rPr>
        <w:t xml:space="preserve">McInnes </w:t>
      </w:r>
      <w:r w:rsidRPr="00A03A9C">
        <w:rPr>
          <w:rFonts w:ascii="Arial" w:hAnsi="Arial" w:cs="Arial"/>
          <w:i/>
          <w:iCs/>
        </w:rPr>
        <w:t>et al</w:t>
      </w:r>
      <w:r>
        <w:rPr>
          <w:rFonts w:ascii="Arial" w:hAnsi="Arial" w:cs="Arial"/>
        </w:rPr>
        <w:t xml:space="preserve"> (2013) points out it would be more beneficial to move away from defining play and approaching play from a child’s perspective. Furthermore, Play, Learn, </w:t>
      </w:r>
      <w:proofErr w:type="gramStart"/>
      <w:r>
        <w:rPr>
          <w:rFonts w:ascii="Arial" w:hAnsi="Arial" w:cs="Arial"/>
        </w:rPr>
        <w:t>Thrive</w:t>
      </w:r>
      <w:proofErr w:type="gramEnd"/>
      <w:r>
        <w:rPr>
          <w:rFonts w:ascii="Arial" w:hAnsi="Arial" w:cs="Arial"/>
        </w:rPr>
        <w:t xml:space="preserve"> (</w:t>
      </w:r>
      <w:proofErr w:type="spellStart"/>
      <w:r>
        <w:rPr>
          <w:rFonts w:ascii="Arial" w:hAnsi="Arial" w:cs="Arial"/>
        </w:rPr>
        <w:t>n.d</w:t>
      </w:r>
      <w:proofErr w:type="spellEnd"/>
      <w:r>
        <w:rPr>
          <w:rFonts w:ascii="Arial" w:hAnsi="Arial" w:cs="Arial"/>
        </w:rPr>
        <w:t xml:space="preserve">) play is the work of the child is a phrase associated to Piaget and Montessori and </w:t>
      </w:r>
      <w:r w:rsidRPr="00E80EFF">
        <w:rPr>
          <w:rFonts w:ascii="Arial" w:hAnsi="Arial" w:cs="Arial"/>
        </w:rPr>
        <w:t>this reiterates the importance of play</w:t>
      </w:r>
      <w:r>
        <w:rPr>
          <w:rFonts w:ascii="Arial" w:hAnsi="Arial" w:cs="Arial"/>
        </w:rPr>
        <w:t xml:space="preserve"> in cognitive, social, physical and emotional development of children.</w:t>
      </w:r>
    </w:p>
    <w:p w14:paraId="73DCC41B" w14:textId="77777777" w:rsidR="00192301" w:rsidRDefault="00192301" w:rsidP="00192301">
      <w:pPr>
        <w:spacing w:line="360" w:lineRule="auto"/>
        <w:rPr>
          <w:rFonts w:ascii="Arial" w:hAnsi="Arial" w:cs="Arial"/>
        </w:rPr>
      </w:pPr>
      <w:r>
        <w:rPr>
          <w:rFonts w:ascii="Arial" w:hAnsi="Arial" w:cs="Arial"/>
        </w:rPr>
        <w:t xml:space="preserve">Therefore, it can be said that play is multifactored, interconnected and fundamental for holistic development and learning. According to Play, Learn, Thrive, (n.d.), Piaget identified four key types of play stages that occurred between the ages of nought to eleven and believed how a child engaged in play would indicate the area of cognitive development that child was at. However, according to McArdle (2024) Vygotsky built on Piaget’s idea but viewed cognitive development as a continuous process rather than as fixed stages and believed that children could gain information from more knowledgeable partners and introduced the concept of a zone of proximal development (ZPD). This is the gap between what children can independently achieve and how they can reach their full potential with guidance and support, placing significant importance on the role of social interactions in learning. This is an idea also shared by Froebel who according to Tovey (2020) says that adults need to offer “freedom with guidance” to children and ensure we are providing quality play </w:t>
      </w:r>
      <w:r>
        <w:rPr>
          <w:rFonts w:ascii="Arial" w:hAnsi="Arial" w:cs="Arial"/>
        </w:rPr>
        <w:lastRenderedPageBreak/>
        <w:t>opportunities and experiences It could be said that theorists’ theory about play stages, and the progression of play offers insight to inclusivity and inclusion for children with additional learning needs adopting a view that play can indicate cognitive abilities and therefore give information to adults on how best to support progression.</w:t>
      </w:r>
    </w:p>
    <w:p w14:paraId="775C3F1C" w14:textId="77777777" w:rsidR="00192301" w:rsidRPr="004F104B" w:rsidRDefault="00192301" w:rsidP="00192301">
      <w:pPr>
        <w:spacing w:line="360" w:lineRule="auto"/>
        <w:rPr>
          <w:rFonts w:ascii="Arial" w:hAnsi="Arial" w:cs="Arial"/>
        </w:rPr>
      </w:pPr>
      <w:r>
        <w:rPr>
          <w:rFonts w:ascii="Arial" w:hAnsi="Arial" w:cs="Arial"/>
        </w:rPr>
        <w:t xml:space="preserve">There are different </w:t>
      </w:r>
      <w:r w:rsidRPr="004F104B">
        <w:rPr>
          <w:rFonts w:ascii="Arial" w:hAnsi="Arial" w:cs="Arial"/>
        </w:rPr>
        <w:t xml:space="preserve">types of play that support different aspects of </w:t>
      </w:r>
      <w:r>
        <w:rPr>
          <w:rFonts w:ascii="Arial" w:hAnsi="Arial" w:cs="Arial"/>
        </w:rPr>
        <w:t xml:space="preserve">a </w:t>
      </w:r>
      <w:r w:rsidRPr="004F104B">
        <w:rPr>
          <w:rFonts w:ascii="Arial" w:hAnsi="Arial" w:cs="Arial"/>
        </w:rPr>
        <w:t>child</w:t>
      </w:r>
      <w:r>
        <w:rPr>
          <w:rFonts w:ascii="Arial" w:hAnsi="Arial" w:cs="Arial"/>
        </w:rPr>
        <w:t>’s</w:t>
      </w:r>
      <w:r w:rsidRPr="004F104B">
        <w:rPr>
          <w:rFonts w:ascii="Arial" w:hAnsi="Arial" w:cs="Arial"/>
        </w:rPr>
        <w:t xml:space="preserve"> development</w:t>
      </w:r>
      <w:r>
        <w:rPr>
          <w:rFonts w:ascii="Arial" w:hAnsi="Arial" w:cs="Arial"/>
        </w:rPr>
        <w:t xml:space="preserve"> from physical play, exploratory play,</w:t>
      </w:r>
      <w:r w:rsidRPr="004F104B">
        <w:rPr>
          <w:rFonts w:ascii="Arial" w:hAnsi="Arial" w:cs="Arial"/>
        </w:rPr>
        <w:t xml:space="preserve"> </w:t>
      </w:r>
      <w:r>
        <w:rPr>
          <w:rFonts w:ascii="Arial" w:hAnsi="Arial" w:cs="Arial"/>
        </w:rPr>
        <w:t>creative play and social play. A</w:t>
      </w:r>
      <w:r w:rsidRPr="004F104B">
        <w:rPr>
          <w:rFonts w:ascii="Arial" w:hAnsi="Arial" w:cs="Arial"/>
        </w:rPr>
        <w:t>s early years practitioners provid</w:t>
      </w:r>
      <w:r>
        <w:rPr>
          <w:rFonts w:ascii="Arial" w:hAnsi="Arial" w:cs="Arial"/>
        </w:rPr>
        <w:t>ing</w:t>
      </w:r>
      <w:r w:rsidRPr="004F104B">
        <w:rPr>
          <w:rFonts w:ascii="Arial" w:hAnsi="Arial" w:cs="Arial"/>
        </w:rPr>
        <w:t xml:space="preserve"> environments that </w:t>
      </w:r>
      <w:r>
        <w:rPr>
          <w:rFonts w:ascii="Arial" w:hAnsi="Arial" w:cs="Arial"/>
        </w:rPr>
        <w:t>offer a wide variety of</w:t>
      </w:r>
      <w:r w:rsidRPr="004F104B">
        <w:rPr>
          <w:rFonts w:ascii="Arial" w:hAnsi="Arial" w:cs="Arial"/>
        </w:rPr>
        <w:t xml:space="preserve"> opportunities and experiences for children to engage in all types of play</w:t>
      </w:r>
      <w:r>
        <w:rPr>
          <w:rFonts w:ascii="Arial" w:hAnsi="Arial" w:cs="Arial"/>
        </w:rPr>
        <w:t xml:space="preserve"> to support children’s holistic development</w:t>
      </w:r>
      <w:r w:rsidRPr="004F104B">
        <w:rPr>
          <w:rFonts w:ascii="Arial" w:hAnsi="Arial" w:cs="Arial"/>
        </w:rPr>
        <w:t xml:space="preserve">. </w:t>
      </w:r>
    </w:p>
    <w:p w14:paraId="28EE0664" w14:textId="77777777" w:rsidR="00192301" w:rsidRDefault="00192301" w:rsidP="00192301">
      <w:pPr>
        <w:spacing w:line="360" w:lineRule="auto"/>
        <w:rPr>
          <w:rFonts w:ascii="Arial" w:hAnsi="Arial" w:cs="Arial"/>
        </w:rPr>
      </w:pPr>
      <w:r>
        <w:rPr>
          <w:rFonts w:ascii="Arial" w:hAnsi="Arial" w:cs="Arial"/>
          <w:b/>
          <w:bCs/>
        </w:rPr>
        <w:t>Physical</w:t>
      </w:r>
      <w:r w:rsidRPr="004F104B">
        <w:rPr>
          <w:rFonts w:ascii="Arial" w:hAnsi="Arial" w:cs="Arial"/>
          <w:b/>
          <w:bCs/>
        </w:rPr>
        <w:t xml:space="preserve"> Play – </w:t>
      </w:r>
      <w:r w:rsidRPr="004F104B">
        <w:rPr>
          <w:rFonts w:ascii="Arial" w:hAnsi="Arial" w:cs="Arial"/>
        </w:rPr>
        <w:t xml:space="preserve">This type of play </w:t>
      </w:r>
      <w:r>
        <w:rPr>
          <w:rFonts w:ascii="Arial" w:hAnsi="Arial" w:cs="Arial"/>
        </w:rPr>
        <w:t>in the context of outdoor play is</w:t>
      </w:r>
      <w:r w:rsidRPr="004F104B">
        <w:rPr>
          <w:rFonts w:ascii="Arial" w:hAnsi="Arial" w:cs="Arial"/>
        </w:rPr>
        <w:t xml:space="preserve"> where children engage in being outside in natural or open environments. Outdoor play is essential for the holistic development of children as it provides opportunities</w:t>
      </w:r>
      <w:r>
        <w:rPr>
          <w:rFonts w:ascii="Arial" w:hAnsi="Arial" w:cs="Arial"/>
        </w:rPr>
        <w:t xml:space="preserve"> for open ended play and</w:t>
      </w:r>
      <w:r w:rsidRPr="004F104B">
        <w:rPr>
          <w:rFonts w:ascii="Arial" w:hAnsi="Arial" w:cs="Arial"/>
        </w:rPr>
        <w:t xml:space="preserve"> </w:t>
      </w:r>
      <w:r>
        <w:rPr>
          <w:rFonts w:ascii="Arial" w:hAnsi="Arial" w:cs="Arial"/>
        </w:rPr>
        <w:t>develops</w:t>
      </w:r>
      <w:r w:rsidRPr="004F104B">
        <w:rPr>
          <w:rFonts w:ascii="Arial" w:hAnsi="Arial" w:cs="Arial"/>
        </w:rPr>
        <w:t xml:space="preserve"> physical, social emotional and cognitive areas. Play Wales (2025) link outdoor play with many health and wellbeing benefits from increased mental health, decreased stress and depression and </w:t>
      </w:r>
      <w:r>
        <w:rPr>
          <w:rFonts w:ascii="Arial" w:hAnsi="Arial" w:cs="Arial"/>
        </w:rPr>
        <w:t xml:space="preserve">highlight its value to providing better lifelong outcomes for children. Boulton and Thomas (2023) capture Froebel’s passion for using outdoor play as a learning resource for children as it offers authentic experiences that form connections with nature. Similarly, Tovey (2017) emphasizes the Froebelian approach to outdoor play and the idea of Froebelian gardens for children to play and explore to aid development and understanding of the world in a meaningful way. She points out that outdoor play provides sensory rich, hands-on experiences with natural opportunities to be curious and take risks. Furthermore, The Department of Education (2020) reinforces physical play as essential to holistic development as it also encompasses fine motor skills that promote laying the foundations for early literacy by developing hand-eye co-ordination as well as writing. Outdoor play Mildred’s six stages of play and her </w:t>
      </w:r>
      <w:proofErr w:type="spellStart"/>
      <w:r>
        <w:rPr>
          <w:rFonts w:ascii="Arial" w:hAnsi="Arial" w:cs="Arial"/>
        </w:rPr>
        <w:t>mosta</w:t>
      </w:r>
      <w:proofErr w:type="spellEnd"/>
      <w:r>
        <w:rPr>
          <w:rFonts w:ascii="Arial" w:hAnsi="Arial" w:cs="Arial"/>
        </w:rPr>
        <w:t xml:space="preserve"> advanced stage that she called co-operative play where children can </w:t>
      </w:r>
    </w:p>
    <w:p w14:paraId="4E77EF7D" w14:textId="77777777" w:rsidR="00192301" w:rsidRDefault="00192301" w:rsidP="00192301">
      <w:pPr>
        <w:spacing w:line="360" w:lineRule="auto"/>
        <w:rPr>
          <w:rFonts w:ascii="Arial" w:hAnsi="Arial" w:cs="Arial"/>
        </w:rPr>
      </w:pPr>
      <w:r w:rsidRPr="00B94789">
        <w:rPr>
          <w:rFonts w:ascii="Arial" w:hAnsi="Arial" w:cs="Arial"/>
          <w:b/>
          <w:bCs/>
        </w:rPr>
        <w:t xml:space="preserve">Exploratory Play- </w:t>
      </w:r>
      <w:r w:rsidRPr="00BF3B1C">
        <w:rPr>
          <w:rFonts w:ascii="Arial" w:hAnsi="Arial" w:cs="Arial"/>
        </w:rPr>
        <w:t xml:space="preserve">This type of play in the context </w:t>
      </w:r>
      <w:r>
        <w:rPr>
          <w:rFonts w:ascii="Arial" w:hAnsi="Arial" w:cs="Arial"/>
        </w:rPr>
        <w:t>sensory</w:t>
      </w:r>
      <w:r w:rsidRPr="00BF3B1C">
        <w:rPr>
          <w:rFonts w:ascii="Arial" w:hAnsi="Arial" w:cs="Arial"/>
        </w:rPr>
        <w:t xml:space="preserve"> exploratio</w:t>
      </w:r>
      <w:r>
        <w:rPr>
          <w:rFonts w:ascii="Arial" w:hAnsi="Arial" w:cs="Arial"/>
        </w:rPr>
        <w:t xml:space="preserve">n offers children opportunities to explore their world through the senses. </w:t>
      </w:r>
      <w:proofErr w:type="spellStart"/>
      <w:r>
        <w:rPr>
          <w:rFonts w:ascii="Arial" w:hAnsi="Arial" w:cs="Arial"/>
        </w:rPr>
        <w:t>Brightwheel</w:t>
      </w:r>
      <w:proofErr w:type="spellEnd"/>
      <w:r>
        <w:rPr>
          <w:rFonts w:ascii="Arial" w:hAnsi="Arial" w:cs="Arial"/>
        </w:rPr>
        <w:t xml:space="preserve"> (2023) state that sensory exploration is vital for child development in stimulating their five senses through exploration to develop tactile skills. It also promotes well-being and supports </w:t>
      </w:r>
      <w:r>
        <w:rPr>
          <w:rFonts w:ascii="Arial" w:hAnsi="Arial" w:cs="Arial"/>
        </w:rPr>
        <w:lastRenderedPageBreak/>
        <w:t xml:space="preserve">self-regulation due to the calming element these activities offer (Sheldon, 2023). </w:t>
      </w:r>
      <w:bookmarkStart w:id="1" w:name="_Hlk190628619"/>
      <w:r>
        <w:rPr>
          <w:rFonts w:ascii="Arial" w:hAnsi="Arial" w:cs="Arial"/>
        </w:rPr>
        <w:t xml:space="preserve">The Curiosity Approach (2024) </w:t>
      </w:r>
      <w:bookmarkEnd w:id="1"/>
      <w:r>
        <w:rPr>
          <w:rFonts w:ascii="Arial" w:hAnsi="Arial" w:cs="Arial"/>
        </w:rPr>
        <w:t xml:space="preserve">highlight the range of multisensory benefits that sand creates for children from fine motor skills, imagination, problem solving and regulation. Gross (2012) emphasizes the sensory and learning benefits of water play for children for basic mathematical and scientific concepts through experiments, observations and the hands-on experience if offers. Additionally, Heineman (2022) highlights The Reggio Emilia approach and the belief that children have one hundred languages/ways that they use to express themselves. This suggests that a sensory rich environment for children to explore is key for expressing those one thousand languages. With that in mind Montessori Academy (2023) point out the significance of sensory play in helping children to reconnect with the environment and world around them especially as modern day lives primarily based around screens and technology. It places sensory play as the foundations of meaningful learning due to its multifactored nature of cognitive development. Likewise, Taylor (2019) says that children who have interception or proprioception difficulties or “imbalances” can achieve balance by being provided opportunities to stimulate their senses.  </w:t>
      </w:r>
    </w:p>
    <w:p w14:paraId="6A2B5AFC" w14:textId="77777777" w:rsidR="00192301" w:rsidRDefault="00192301" w:rsidP="00192301">
      <w:pPr>
        <w:spacing w:line="360" w:lineRule="auto"/>
        <w:rPr>
          <w:rFonts w:ascii="Arial" w:hAnsi="Arial" w:cs="Arial"/>
        </w:rPr>
      </w:pPr>
      <w:r w:rsidRPr="00E164A5">
        <w:rPr>
          <w:rFonts w:ascii="Arial" w:hAnsi="Arial" w:cs="Arial"/>
        </w:rPr>
        <w:t>Welsh Government (2020) highlight the four purposes that reinforce essential skills that can be developed within a range of lear</w:t>
      </w:r>
      <w:r>
        <w:rPr>
          <w:rFonts w:ascii="Arial" w:hAnsi="Arial" w:cs="Arial"/>
        </w:rPr>
        <w:t>ni</w:t>
      </w:r>
      <w:r w:rsidRPr="00E164A5">
        <w:rPr>
          <w:rFonts w:ascii="Arial" w:hAnsi="Arial" w:cs="Arial"/>
        </w:rPr>
        <w:t>ng experiences. It stipulates the importance o</w:t>
      </w:r>
      <w:r>
        <w:rPr>
          <w:rFonts w:ascii="Arial" w:hAnsi="Arial" w:cs="Arial"/>
        </w:rPr>
        <w:t xml:space="preserve">f </w:t>
      </w:r>
      <w:r w:rsidRPr="00E164A5">
        <w:rPr>
          <w:rFonts w:ascii="Arial" w:hAnsi="Arial" w:cs="Arial"/>
        </w:rPr>
        <w:t>cross curricular experience</w:t>
      </w:r>
      <w:r>
        <w:rPr>
          <w:rFonts w:ascii="Arial" w:hAnsi="Arial" w:cs="Arial"/>
        </w:rPr>
        <w:t>s</w:t>
      </w:r>
      <w:r w:rsidRPr="00E164A5">
        <w:rPr>
          <w:rFonts w:ascii="Arial" w:hAnsi="Arial" w:cs="Arial"/>
        </w:rPr>
        <w:t xml:space="preserve"> that develop skills over </w:t>
      </w:r>
      <w:r>
        <w:rPr>
          <w:rFonts w:ascii="Arial" w:hAnsi="Arial" w:cs="Arial"/>
        </w:rPr>
        <w:t xml:space="preserve">many </w:t>
      </w:r>
      <w:r w:rsidRPr="00E164A5">
        <w:rPr>
          <w:rFonts w:ascii="Arial" w:hAnsi="Arial" w:cs="Arial"/>
        </w:rPr>
        <w:t>contexts and help</w:t>
      </w:r>
      <w:r>
        <w:rPr>
          <w:rFonts w:ascii="Arial" w:hAnsi="Arial" w:cs="Arial"/>
        </w:rPr>
        <w:t xml:space="preserve"> to support</w:t>
      </w:r>
      <w:r w:rsidRPr="00E164A5">
        <w:rPr>
          <w:rFonts w:ascii="Arial" w:hAnsi="Arial" w:cs="Arial"/>
        </w:rPr>
        <w:t xml:space="preserve"> capable learners, that are creative,</w:t>
      </w:r>
      <w:r>
        <w:rPr>
          <w:rFonts w:ascii="Arial" w:hAnsi="Arial" w:cs="Arial"/>
        </w:rPr>
        <w:t xml:space="preserve"> ethically informed that are</w:t>
      </w:r>
      <w:r w:rsidRPr="00E164A5">
        <w:rPr>
          <w:rFonts w:ascii="Arial" w:hAnsi="Arial" w:cs="Arial"/>
        </w:rPr>
        <w:t xml:space="preserve"> healthy and confident</w:t>
      </w:r>
      <w:r>
        <w:rPr>
          <w:rFonts w:ascii="Arial" w:hAnsi="Arial" w:cs="Arial"/>
        </w:rPr>
        <w:t xml:space="preserve">. Early years practitioners can support these purposes and outcomes for learners by ensuring they provide a variety of play types. </w:t>
      </w:r>
      <w:r w:rsidRPr="00697E72">
        <w:rPr>
          <w:rFonts w:ascii="Arial" w:hAnsi="Arial" w:cs="Arial"/>
        </w:rPr>
        <w:t>Mildred Parten</w:t>
      </w:r>
      <w:r>
        <w:rPr>
          <w:rFonts w:ascii="Arial" w:hAnsi="Arial" w:cs="Arial"/>
        </w:rPr>
        <w:t xml:space="preserve"> off us six stages of play that can </w:t>
      </w:r>
    </w:p>
    <w:p w14:paraId="1C4E67D1" w14:textId="77777777" w:rsidR="00192301" w:rsidRPr="004F104B" w:rsidRDefault="00192301" w:rsidP="00192301">
      <w:pPr>
        <w:spacing w:line="360" w:lineRule="auto"/>
        <w:rPr>
          <w:rFonts w:ascii="Arial" w:hAnsi="Arial" w:cs="Arial"/>
          <w:b/>
          <w:bCs/>
          <w:u w:val="single"/>
        </w:rPr>
      </w:pPr>
      <w:r w:rsidRPr="004F104B">
        <w:rPr>
          <w:rFonts w:ascii="Arial" w:hAnsi="Arial" w:cs="Arial"/>
          <w:b/>
          <w:bCs/>
          <w:u w:val="single"/>
        </w:rPr>
        <w:t>Section 2</w:t>
      </w:r>
      <w:r>
        <w:rPr>
          <w:rFonts w:ascii="Arial" w:hAnsi="Arial" w:cs="Arial"/>
          <w:b/>
          <w:bCs/>
          <w:u w:val="single"/>
        </w:rPr>
        <w:t xml:space="preserve"> </w:t>
      </w:r>
    </w:p>
    <w:p w14:paraId="06F1707B" w14:textId="77777777" w:rsidR="00192301" w:rsidRDefault="00192301" w:rsidP="00192301">
      <w:pPr>
        <w:spacing w:line="360" w:lineRule="auto"/>
        <w:rPr>
          <w:rFonts w:ascii="Arial" w:hAnsi="Arial" w:cs="Arial"/>
        </w:rPr>
      </w:pPr>
      <w:r>
        <w:rPr>
          <w:rFonts w:ascii="Arial" w:hAnsi="Arial" w:cs="Arial"/>
        </w:rPr>
        <w:t xml:space="preserve">Welsh Assembly Government (2002) state that self-directed play is play that is freely chosen by children where they are allowed to explore, be curious and has no end goal in mind. Furthermore, </w:t>
      </w:r>
      <w:proofErr w:type="spellStart"/>
      <w:r>
        <w:rPr>
          <w:rFonts w:ascii="Arial" w:hAnsi="Arial" w:cs="Arial"/>
        </w:rPr>
        <w:t>Ledendecker</w:t>
      </w:r>
      <w:proofErr w:type="spellEnd"/>
      <w:r>
        <w:rPr>
          <w:rFonts w:ascii="Arial" w:hAnsi="Arial" w:cs="Arial"/>
        </w:rPr>
        <w:t xml:space="preserve"> (2020) views self-directed play as open ended and the advantages are wide-ranging as it encourages independence, builds confidence and allows paced learning. </w:t>
      </w:r>
    </w:p>
    <w:p w14:paraId="7774D0F5" w14:textId="77777777" w:rsidR="00192301" w:rsidRDefault="00192301" w:rsidP="00192301">
      <w:pPr>
        <w:spacing w:line="360" w:lineRule="auto"/>
        <w:rPr>
          <w:rFonts w:ascii="Arial" w:hAnsi="Arial" w:cs="Arial"/>
        </w:rPr>
      </w:pPr>
      <w:r>
        <w:rPr>
          <w:rFonts w:ascii="Arial" w:hAnsi="Arial" w:cs="Arial"/>
        </w:rPr>
        <w:t xml:space="preserve">Play Sufficiency Wales (2024) placed requirements on adults working with children to advocate and make changes to support children’s right to play. The United Convention on the Rights of the Child (UNCRC) (1992) Article 31 recognised the </w:t>
      </w:r>
      <w:r>
        <w:rPr>
          <w:rFonts w:ascii="Arial" w:hAnsi="Arial" w:cs="Arial"/>
        </w:rPr>
        <w:lastRenderedPageBreak/>
        <w:t>importance of play for children’s development and wellbeing and made it a right for children to be able to play and engage in recreational activities. Welsh Government (2022) published the curriculum for funded non-maintained nursery settings that highlighted the role of practitioners as enabling adults who can support children’s play by creating enriching, engaging environments to ignite a spark in children to want to explore and be curious. Further to this Welsh government (2023) released a quality framework that emphasized that adults working with children need to develop children’s curiosity, sense of belonging and support them to feel safe through the opportunities to play and explore and the interactions and relationships we build with them.</w:t>
      </w:r>
    </w:p>
    <w:p w14:paraId="578142A2" w14:textId="77777777" w:rsidR="00192301" w:rsidRDefault="00192301" w:rsidP="00192301">
      <w:pPr>
        <w:spacing w:line="360" w:lineRule="auto"/>
        <w:rPr>
          <w:rFonts w:ascii="Arial" w:hAnsi="Arial" w:cs="Arial"/>
        </w:rPr>
      </w:pPr>
      <w:r>
        <w:rPr>
          <w:rFonts w:ascii="Arial" w:hAnsi="Arial" w:cs="Arial"/>
        </w:rPr>
        <w:t xml:space="preserve">A key element in supporting self-directed play for children is the adults having a clear understanding of their role within the Play Cycle. King and Sturrock (2019) highlight six elements of the play cycle from the </w:t>
      </w:r>
      <w:proofErr w:type="spellStart"/>
      <w:r>
        <w:rPr>
          <w:rFonts w:ascii="Arial" w:hAnsi="Arial" w:cs="Arial"/>
        </w:rPr>
        <w:t>Metalude</w:t>
      </w:r>
      <w:proofErr w:type="spellEnd"/>
      <w:r>
        <w:rPr>
          <w:rFonts w:ascii="Arial" w:hAnsi="Arial" w:cs="Arial"/>
        </w:rPr>
        <w:t xml:space="preserve"> which is the initial play drive, the play cues, the play return, play frames and annihilation or natural ending of play. They emphasize that during this play process the role of the adult is not to direct or change the child’s play but to understand where the child is on the play cycle, read play cues to provide the intervention children need at that time. This could be by simply providing a resource to extend learning for the child or being invited into play by the child, however they stress that play needs to be kept meaningful for the child and that adults avoid changing or directing the play a process known as adulteration. Else (2014) also stipulates the importance of adults having a good understanding of child development and in particular the play cycle to appropriately read children’s play cues to ensure that the play return responses support the extension of play either by the interactions with adults or through adapting the environment, scaffolding more learning growth. Howard and McInnes (2012) emphasize that children’s emotional well-being is higher when they perceive an activity as play than when it is perceived as not play. </w:t>
      </w:r>
      <w:r w:rsidRPr="004A5989">
        <w:rPr>
          <w:rFonts w:ascii="Arial" w:hAnsi="Arial" w:cs="Arial"/>
          <w:highlight w:val="yellow"/>
        </w:rPr>
        <w:t>You could link here the link between high levels of wellb</w:t>
      </w:r>
      <w:r>
        <w:rPr>
          <w:rFonts w:ascii="Arial" w:hAnsi="Arial" w:cs="Arial"/>
          <w:highlight w:val="yellow"/>
        </w:rPr>
        <w:t>ei</w:t>
      </w:r>
      <w:r w:rsidRPr="004A5989">
        <w:rPr>
          <w:rFonts w:ascii="Arial" w:hAnsi="Arial" w:cs="Arial"/>
          <w:highlight w:val="yellow"/>
        </w:rPr>
        <w:t>ng and more meaningful play</w:t>
      </w:r>
      <w:r>
        <w:rPr>
          <w:rFonts w:ascii="Arial" w:hAnsi="Arial" w:cs="Arial"/>
        </w:rPr>
        <w:t xml:space="preserve">. This shows the importance and value in the role of self-directed play for boosting well-being for children enhancing physical and mental health having positive outcomes for lifelong learning. However, McInnes </w:t>
      </w:r>
      <w:r w:rsidRPr="00125F82">
        <w:rPr>
          <w:rFonts w:ascii="Arial" w:hAnsi="Arial" w:cs="Arial"/>
          <w:i/>
          <w:iCs/>
        </w:rPr>
        <w:t>et al</w:t>
      </w:r>
      <w:r>
        <w:rPr>
          <w:rFonts w:ascii="Arial" w:hAnsi="Arial" w:cs="Arial"/>
        </w:rPr>
        <w:t xml:space="preserve"> (2013) highlight that many practitioners do not value child led play and tend to create work-based tasks with an emphasis on managing and directing rather than being led by the children in play suggesting more needs to be done to upskill practitioners </w:t>
      </w:r>
      <w:r>
        <w:rPr>
          <w:rFonts w:ascii="Arial" w:hAnsi="Arial" w:cs="Arial"/>
        </w:rPr>
        <w:lastRenderedPageBreak/>
        <w:t>understanding of the importance of child led play and their role in supporting children’s play to enhance its full potential for children’s development. Birth to five Matters (2021) highlight that adults play a key role in children’s learning and development through observing children and knowing when to intervene with guidance and when to stand back and allow children to practice what they already know, problem solve and consolidate skills supporting holistic development. The idea of adults knowing when they need to guide or support children’s play can be seen in Vygotsky’s concept of scaffolding. Bates (2019) illustrates Vygotsky’s concept and the role of practitioners to scaffold learning through support and guidance in the zone of proximal development. This will enable children to gain a deeper understanding and knowledge that children cannot achieve by themselves while still fostering independence and confidence. McLean</w:t>
      </w:r>
      <w:r w:rsidRPr="00F65652">
        <w:rPr>
          <w:rFonts w:ascii="Arial" w:hAnsi="Arial" w:cs="Arial"/>
          <w:i/>
          <w:iCs/>
        </w:rPr>
        <w:t xml:space="preserve"> et al </w:t>
      </w:r>
      <w:r>
        <w:rPr>
          <w:rFonts w:ascii="Arial" w:hAnsi="Arial" w:cs="Arial"/>
        </w:rPr>
        <w:t xml:space="preserve">(2023) state that perceptions of play based learning and uncertainty about when children need guidance varies and often while practitioners support child led learning pressures from statutory requirements often get prioritised. Bottrill (2018) states this often results in inflicting specific learning outcomes for all children and limits self-directed play opportunities that value the unique child and their needs. Also, health and safety expectations can place restrictions on risky play opportunities that is crucial for building resilience and confidence. Heineman (2022) suggests that adults should be partners in children’s learning and should observe and listen to children in play as a method of research to providing relevant opportunities and effective environments to facilitate a continuous cycle of learning. </w:t>
      </w:r>
    </w:p>
    <w:p w14:paraId="14E635F8" w14:textId="77777777" w:rsidR="00192301" w:rsidRDefault="00192301" w:rsidP="00192301">
      <w:pPr>
        <w:spacing w:line="360" w:lineRule="auto"/>
        <w:rPr>
          <w:rFonts w:ascii="Arial" w:hAnsi="Arial" w:cs="Arial"/>
        </w:rPr>
      </w:pPr>
      <w:r>
        <w:rPr>
          <w:rFonts w:ascii="Arial" w:hAnsi="Arial" w:cs="Arial"/>
        </w:rPr>
        <w:t>Adults need to facilitate self-directed play by providing a variety of resources that can foster independence and exploration that is accessible and an invitation to learn, catering for holistic development in children. Adults should act as a resource to children to encourage imagination and flexibility, with open ended materials and allow children freedom to choose how and what they want to engage and play with.</w:t>
      </w:r>
    </w:p>
    <w:p w14:paraId="5EB11AE5" w14:textId="77777777" w:rsidR="00192301" w:rsidRDefault="00192301" w:rsidP="00192301">
      <w:pPr>
        <w:spacing w:line="360" w:lineRule="auto"/>
        <w:rPr>
          <w:rFonts w:ascii="Arial" w:hAnsi="Arial" w:cs="Arial"/>
        </w:rPr>
      </w:pPr>
    </w:p>
    <w:bookmarkEnd w:id="0"/>
    <w:p w14:paraId="4B61BF0C" w14:textId="77777777" w:rsidR="00192301" w:rsidRDefault="00192301" w:rsidP="00192301">
      <w:pPr>
        <w:spacing w:line="360" w:lineRule="auto"/>
        <w:rPr>
          <w:rFonts w:ascii="Arial" w:hAnsi="Arial" w:cs="Arial"/>
          <w:b/>
          <w:bCs/>
          <w:u w:val="single"/>
        </w:rPr>
      </w:pPr>
      <w:r w:rsidRPr="00CE69DB">
        <w:rPr>
          <w:rFonts w:ascii="Arial" w:hAnsi="Arial" w:cs="Arial"/>
          <w:b/>
          <w:bCs/>
          <w:u w:val="single"/>
        </w:rPr>
        <w:t>Section 3</w:t>
      </w:r>
    </w:p>
    <w:p w14:paraId="7FEB12DC" w14:textId="77777777" w:rsidR="00192301" w:rsidRDefault="00192301" w:rsidP="00192301">
      <w:pPr>
        <w:spacing w:line="360" w:lineRule="auto"/>
        <w:rPr>
          <w:rFonts w:ascii="Arial" w:hAnsi="Arial" w:cs="Arial"/>
        </w:rPr>
      </w:pPr>
      <w:r>
        <w:rPr>
          <w:rFonts w:ascii="Arial" w:hAnsi="Arial" w:cs="Arial"/>
        </w:rPr>
        <w:t>Stella Louis (2022) emphasizes that o</w:t>
      </w:r>
      <w:r w:rsidRPr="00F32B5B">
        <w:rPr>
          <w:rFonts w:ascii="Arial" w:hAnsi="Arial" w:cs="Arial"/>
        </w:rPr>
        <w:t>bservatio</w:t>
      </w:r>
      <w:r>
        <w:rPr>
          <w:rFonts w:ascii="Arial" w:hAnsi="Arial" w:cs="Arial"/>
        </w:rPr>
        <w:t>n</w:t>
      </w:r>
      <w:r w:rsidRPr="00F32B5B">
        <w:rPr>
          <w:rFonts w:ascii="Arial" w:hAnsi="Arial" w:cs="Arial"/>
        </w:rPr>
        <w:t xml:space="preserve"> is a process whereby practitioners watch and listen to children to gain insights into </w:t>
      </w:r>
      <w:r>
        <w:rPr>
          <w:rFonts w:ascii="Arial" w:hAnsi="Arial" w:cs="Arial"/>
        </w:rPr>
        <w:t>what</w:t>
      </w:r>
      <w:r w:rsidRPr="00F32B5B">
        <w:rPr>
          <w:rFonts w:ascii="Arial" w:hAnsi="Arial" w:cs="Arial"/>
        </w:rPr>
        <w:t xml:space="preserve"> engage</w:t>
      </w:r>
      <w:r>
        <w:rPr>
          <w:rFonts w:ascii="Arial" w:hAnsi="Arial" w:cs="Arial"/>
        </w:rPr>
        <w:t>s, interests and motivates them</w:t>
      </w:r>
      <w:r w:rsidRPr="00F32B5B">
        <w:rPr>
          <w:rFonts w:ascii="Arial" w:hAnsi="Arial" w:cs="Arial"/>
        </w:rPr>
        <w:t xml:space="preserve"> </w:t>
      </w:r>
      <w:r>
        <w:rPr>
          <w:rFonts w:ascii="Arial" w:hAnsi="Arial" w:cs="Arial"/>
        </w:rPr>
        <w:t xml:space="preserve">within play and by reflecting on these we can use the information to </w:t>
      </w:r>
      <w:r>
        <w:rPr>
          <w:rFonts w:ascii="Arial" w:hAnsi="Arial" w:cs="Arial"/>
        </w:rPr>
        <w:lastRenderedPageBreak/>
        <w:t xml:space="preserve">help support and extend their play. Welsh Government (2023) says that observations should capture a range of developmental areas supporting holistic growth and highlight children’s strengths, where they need to go next and how </w:t>
      </w:r>
      <w:proofErr w:type="spellStart"/>
      <w:r>
        <w:rPr>
          <w:rFonts w:ascii="Arial" w:hAnsi="Arial" w:cs="Arial"/>
        </w:rPr>
        <w:t>pratitioners</w:t>
      </w:r>
      <w:proofErr w:type="spellEnd"/>
      <w:r>
        <w:rPr>
          <w:rFonts w:ascii="Arial" w:hAnsi="Arial" w:cs="Arial"/>
        </w:rPr>
        <w:t xml:space="preserve"> can support them to get there. Observations usually involve specific criteria in relation to what is being assessed. There are a range of observation methods to gather information about children in a formal or informal way. Informal methods such as narrative observations gather information about how a child engages and interacts with their environment and resources. Photographs and video observations capture in the moment events. All these methods tend to gather information about children’s likes and dislikes, preferred areas of play and relationships between peers. Additionally, there are more structured and formal methods of gathering information such as Schedule of Growth (SOGS) that gather information on child development in a range of areas or rating scales that have a set criterion such as well-being. </w:t>
      </w:r>
    </w:p>
    <w:p w14:paraId="783F8A83" w14:textId="77777777" w:rsidR="00192301" w:rsidRDefault="00192301" w:rsidP="00192301">
      <w:pPr>
        <w:spacing w:line="360" w:lineRule="auto"/>
        <w:rPr>
          <w:rFonts w:ascii="Arial" w:hAnsi="Arial" w:cs="Arial"/>
        </w:rPr>
      </w:pPr>
      <w:r>
        <w:rPr>
          <w:rFonts w:ascii="Arial" w:hAnsi="Arial" w:cs="Arial"/>
        </w:rPr>
        <w:t xml:space="preserve">For this assignment, I am going to talk about Leuven Scale. </w:t>
      </w:r>
      <w:proofErr w:type="spellStart"/>
      <w:r>
        <w:rPr>
          <w:rFonts w:ascii="Arial" w:hAnsi="Arial" w:cs="Arial"/>
        </w:rPr>
        <w:t>MacRae</w:t>
      </w:r>
      <w:proofErr w:type="spellEnd"/>
      <w:r>
        <w:rPr>
          <w:rFonts w:ascii="Arial" w:hAnsi="Arial" w:cs="Arial"/>
        </w:rPr>
        <w:t xml:space="preserve"> and Jones (2020) highlight Leuven Scale to measure how involved a child is in the self-directed play using a nought to five scale. Nought being the least involved and five being denoting and the most involved and by doing this we can gauge quality provision.</w:t>
      </w:r>
    </w:p>
    <w:p w14:paraId="38B1C8E3" w14:textId="77777777" w:rsidR="00192301" w:rsidRDefault="00192301" w:rsidP="00192301">
      <w:pPr>
        <w:spacing w:line="360" w:lineRule="auto"/>
        <w:rPr>
          <w:rFonts w:ascii="Arial" w:hAnsi="Arial" w:cs="Arial"/>
        </w:rPr>
      </w:pPr>
    </w:p>
    <w:p w14:paraId="17748BB4" w14:textId="77777777" w:rsidR="00192301" w:rsidRPr="00C13A49" w:rsidRDefault="00192301" w:rsidP="00192301">
      <w:pPr>
        <w:spacing w:line="360" w:lineRule="auto"/>
        <w:rPr>
          <w:rFonts w:ascii="Arial" w:hAnsi="Arial" w:cs="Arial"/>
          <w:b/>
          <w:bCs/>
          <w:u w:val="single"/>
        </w:rPr>
      </w:pPr>
      <w:r w:rsidRPr="00C13A49">
        <w:rPr>
          <w:rFonts w:ascii="Arial" w:hAnsi="Arial" w:cs="Arial"/>
          <w:b/>
          <w:bCs/>
          <w:u w:val="single"/>
        </w:rPr>
        <w:t>Section 4</w:t>
      </w:r>
    </w:p>
    <w:p w14:paraId="6D2026B2" w14:textId="77777777" w:rsidR="00192301" w:rsidRPr="004F104B" w:rsidRDefault="00192301" w:rsidP="00192301">
      <w:pPr>
        <w:spacing w:line="360" w:lineRule="auto"/>
        <w:rPr>
          <w:rFonts w:ascii="Arial" w:hAnsi="Arial" w:cs="Arial"/>
        </w:rPr>
      </w:pPr>
      <w:r>
        <w:rPr>
          <w:rFonts w:ascii="Arial" w:hAnsi="Arial" w:cs="Arial"/>
        </w:rPr>
        <w:t xml:space="preserve">Chilvers (2019) states that observing children while they are engaged in play offers rich information on the way they are developing learning and thinking and helps to make more informed decisions on how to extend opportunities to enhance further learning. It is a way to gain developmental insights over a range of skills giving a comprehensive view of the overall child to better support growth. Welsh Government (2022) recognises the role on observations in the Welsh non- maintain curriculum and encourages practitioners to actively observe children throughout the day in all areas of provision to ensure they capture a range of skills and knowledge a child has over a </w:t>
      </w:r>
      <w:proofErr w:type="gramStart"/>
      <w:r>
        <w:rPr>
          <w:rFonts w:ascii="Arial" w:hAnsi="Arial" w:cs="Arial"/>
        </w:rPr>
        <w:t>different experiences</w:t>
      </w:r>
      <w:proofErr w:type="gramEnd"/>
      <w:r>
        <w:rPr>
          <w:rFonts w:ascii="Arial" w:hAnsi="Arial" w:cs="Arial"/>
        </w:rPr>
        <w:t xml:space="preserve">. This emphasizes observations as a key method to help inform how to extend learning and play experiences through a notice, analyse and respond cycle. Isaacs (1932) as cited in Chilvers (2018) highlights the importance of watching, listening and being patience with children to be able to understand them. She was a key influence in the role of observations in children’s play as she believes </w:t>
      </w:r>
      <w:r>
        <w:rPr>
          <w:rFonts w:ascii="Arial" w:hAnsi="Arial" w:cs="Arial"/>
        </w:rPr>
        <w:lastRenderedPageBreak/>
        <w:t xml:space="preserve">it focused on holistic learning and conveyed developmental needs. Additionally, Encarnacao </w:t>
      </w:r>
      <w:r w:rsidRPr="00AC5E85">
        <w:rPr>
          <w:rFonts w:ascii="Arial" w:hAnsi="Arial" w:cs="Arial"/>
          <w:i/>
          <w:iCs/>
        </w:rPr>
        <w:t>et al</w:t>
      </w:r>
      <w:r>
        <w:rPr>
          <w:rFonts w:ascii="Arial" w:hAnsi="Arial" w:cs="Arial"/>
        </w:rPr>
        <w:t xml:space="preserve"> (2018) recognises the importance of being able to observe play to inform children’s play type and developmental stage of play as well as gathering preferences and highlight areas of weaknesses. This information can then support adults to guide further progression and development. However, Encarnacao </w:t>
      </w:r>
      <w:r w:rsidRPr="00AC5E85">
        <w:rPr>
          <w:rFonts w:ascii="Arial" w:hAnsi="Arial" w:cs="Arial"/>
          <w:i/>
          <w:iCs/>
        </w:rPr>
        <w:t>et al</w:t>
      </w:r>
      <w:r>
        <w:rPr>
          <w:rFonts w:ascii="Arial" w:hAnsi="Arial" w:cs="Arial"/>
        </w:rPr>
        <w:t xml:space="preserve"> (2018) also emphasizes that observation can often be biased, relies on individual interpretation and perceptions of play and children. This suggests that observations can lead to inaccurate recording of information based on perceptions, lack of knowledge and understanding and in turn would limit informed decision making and create poor planning. Chilvers (2018) emphasizes the importance of practitioners having extensive knowledge and understanding of child development and learning processes to equip them with the observational skills needed to use critical thinking to dig deeper when observing children. Often when children know they are being observed they change their behaviour and play. They can become self-conscious and this limits natural play children may play to adults’ expectations and become more structured it is therefore important observation are done alongside children to foster natural environment</w:t>
      </w:r>
    </w:p>
    <w:p w14:paraId="3AB9CDB1" w14:textId="77777777" w:rsidR="00192301" w:rsidRDefault="00192301"/>
    <w:sectPr w:rsidR="00192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301"/>
    <w:rsid w:val="00192301"/>
    <w:rsid w:val="00316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D86E2"/>
  <w15:chartTrackingRefBased/>
  <w15:docId w15:val="{4640B367-B72E-490B-BDDD-DB19EC2F9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301"/>
  </w:style>
  <w:style w:type="paragraph" w:styleId="Heading1">
    <w:name w:val="heading 1"/>
    <w:basedOn w:val="Normal"/>
    <w:next w:val="Normal"/>
    <w:link w:val="Heading1Char"/>
    <w:uiPriority w:val="9"/>
    <w:qFormat/>
    <w:rsid w:val="001923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23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23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23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23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23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3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3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3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3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23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23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23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3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3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3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3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301"/>
    <w:rPr>
      <w:rFonts w:eastAsiaTheme="majorEastAsia" w:cstheme="majorBidi"/>
      <w:color w:val="272727" w:themeColor="text1" w:themeTint="D8"/>
    </w:rPr>
  </w:style>
  <w:style w:type="paragraph" w:styleId="Title">
    <w:name w:val="Title"/>
    <w:basedOn w:val="Normal"/>
    <w:next w:val="Normal"/>
    <w:link w:val="TitleChar"/>
    <w:uiPriority w:val="10"/>
    <w:qFormat/>
    <w:rsid w:val="001923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3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3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3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301"/>
    <w:pPr>
      <w:spacing w:before="160"/>
      <w:jc w:val="center"/>
    </w:pPr>
    <w:rPr>
      <w:i/>
      <w:iCs/>
      <w:color w:val="404040" w:themeColor="text1" w:themeTint="BF"/>
    </w:rPr>
  </w:style>
  <w:style w:type="character" w:customStyle="1" w:styleId="QuoteChar">
    <w:name w:val="Quote Char"/>
    <w:basedOn w:val="DefaultParagraphFont"/>
    <w:link w:val="Quote"/>
    <w:uiPriority w:val="29"/>
    <w:rsid w:val="00192301"/>
    <w:rPr>
      <w:i/>
      <w:iCs/>
      <w:color w:val="404040" w:themeColor="text1" w:themeTint="BF"/>
    </w:rPr>
  </w:style>
  <w:style w:type="paragraph" w:styleId="ListParagraph">
    <w:name w:val="List Paragraph"/>
    <w:basedOn w:val="Normal"/>
    <w:uiPriority w:val="34"/>
    <w:qFormat/>
    <w:rsid w:val="00192301"/>
    <w:pPr>
      <w:ind w:left="720"/>
      <w:contextualSpacing/>
    </w:pPr>
  </w:style>
  <w:style w:type="character" w:styleId="IntenseEmphasis">
    <w:name w:val="Intense Emphasis"/>
    <w:basedOn w:val="DefaultParagraphFont"/>
    <w:uiPriority w:val="21"/>
    <w:qFormat/>
    <w:rsid w:val="00192301"/>
    <w:rPr>
      <w:i/>
      <w:iCs/>
      <w:color w:val="0F4761" w:themeColor="accent1" w:themeShade="BF"/>
    </w:rPr>
  </w:style>
  <w:style w:type="paragraph" w:styleId="IntenseQuote">
    <w:name w:val="Intense Quote"/>
    <w:basedOn w:val="Normal"/>
    <w:next w:val="Normal"/>
    <w:link w:val="IntenseQuoteChar"/>
    <w:uiPriority w:val="30"/>
    <w:qFormat/>
    <w:rsid w:val="001923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2301"/>
    <w:rPr>
      <w:i/>
      <w:iCs/>
      <w:color w:val="0F4761" w:themeColor="accent1" w:themeShade="BF"/>
    </w:rPr>
  </w:style>
  <w:style w:type="character" w:styleId="IntenseReference">
    <w:name w:val="Intense Reference"/>
    <w:basedOn w:val="DefaultParagraphFont"/>
    <w:uiPriority w:val="32"/>
    <w:qFormat/>
    <w:rsid w:val="001923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2459</Words>
  <Characters>14021</Characters>
  <Application>Microsoft Office Word</Application>
  <DocSecurity>0</DocSecurity>
  <Lines>116</Lines>
  <Paragraphs>32</Paragraphs>
  <ScaleCrop>false</ScaleCrop>
  <Company>SRSW</Company>
  <LinksUpToDate>false</LinksUpToDate>
  <CharactersWithSpaces>16448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Baugh, Rachael (Higher Level Teaching Assistant)</dc:creator>
  <cp:keywords/>
  <dc:description/>
  <cp:lastModifiedBy>Baugh, Rachael (Higher Level Teaching Assistant)</cp:lastModifiedBy>
  <cp:revision>1</cp:revision>
  <dcterms:created xsi:type="dcterms:W3CDTF">2025-02-22T17:03:00Z</dcterms:created>
  <dcterms:modified xsi:type="dcterms:W3CDTF">2025-02-22T17:03:00Z</dcterms:modified>
</cp:coreProperties>
</file>