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63B429" w14:textId="3228D499" w:rsidR="0078320E" w:rsidRPr="0078320E" w:rsidRDefault="0078320E" w:rsidP="0078320E">
      <w:pPr>
        <w:pStyle w:val="Heading1"/>
      </w:pPr>
      <w:r>
        <w:t>Digital Learning Basics Transcript text only</w:t>
      </w:r>
    </w:p>
    <w:p w14:paraId="630352B2" w14:textId="77777777" w:rsidR="0078320E" w:rsidRPr="0078320E" w:rsidRDefault="0078320E" w:rsidP="0078320E">
      <w:r w:rsidRPr="0078320E">
        <w:t>Adopting digital tools and teaching is essential for enhancing student engagement, facilitating interactive learning, and equipping students with the skills needed for their future careers. In this video, we talk about the wide range of digital learning opportunities available to you and your students. We cover digital tools, interactive platforms, and innovative strategies. Topics include enhancing your use of the VLE, incorporating multimedia, and enhancing student engagement.</w:t>
      </w:r>
    </w:p>
    <w:p w14:paraId="118873A6" w14:textId="77777777" w:rsidR="0078320E" w:rsidRPr="0078320E" w:rsidRDefault="0078320E" w:rsidP="0078320E">
      <w:r w:rsidRPr="0078320E">
        <w:t>The virtual learning environment or VLE enhances teaching by shifting from passive learning to interactive, student-</w:t>
      </w:r>
      <w:proofErr w:type="spellStart"/>
      <w:r w:rsidRPr="0078320E">
        <w:t>centered</w:t>
      </w:r>
      <w:proofErr w:type="spellEnd"/>
      <w:r w:rsidRPr="0078320E">
        <w:t xml:space="preserve"> activities like online quizzes, discussion forums, and multimedia resources. This allows flexible access to course materials and fosters collaboration beyond the classroom. In face-to-face courses, VLEs enable flipped learning, self-paced learning, and peer learning, fostering a sense of community to improve the student experience. Use a range of methods for delivering content such as notebooks, embedded videos, and interactive activities using H5P. Organize course materials in a structured manner to make it easy for students to access lecture notes, recordings, readings, and multimedia resources. Prevent cognitive overload by breaking down complex information into smaller chunks, using clear instructions, and incorporating interactive elements. This approach maximizes student engagement and retention, supporting better understanding of the material.</w:t>
      </w:r>
    </w:p>
    <w:p w14:paraId="3AC959E2" w14:textId="77777777" w:rsidR="0078320E" w:rsidRPr="0078320E" w:rsidRDefault="0078320E" w:rsidP="0078320E">
      <w:r w:rsidRPr="0078320E">
        <w:t>Digital tools enhance formative and summative assessments for face-to-face, online, and blended learning. For formative assessments, use quizzes, polls, interactive activities, and self-assessments for ongoing feedback. With tools like VEVOX, Microsoft Forms, Microsoft Whiteboard, or Moodle activities, peer review and discussion tools such as Moodle forums and workshops enable collaborative learning and reflection. The summative assessments include authentic tasks like video presentations, digital portfolios, or digital storytelling, encouraging creativity and deeper engagement. You could ask students to create multimedia projects such as podcasts, blogs, newsletters, digital storytelling artifacts, or infographics to demonstrate their understanding creatively. Integrating multimedia assignments encourages creativity, deeper engagement, and development of digital literacy alongside academic skills.</w:t>
      </w:r>
    </w:p>
    <w:p w14:paraId="5989FDE1" w14:textId="77777777" w:rsidR="0078320E" w:rsidRPr="0078320E" w:rsidRDefault="0078320E" w:rsidP="0078320E">
      <w:r w:rsidRPr="0078320E">
        <w:t xml:space="preserve">Incorporate active learning through interactive simulations, case studies, and problem-based learning exercises. Digital tools like VEVOX and Microsoft Forms enhance interactivity through real-time quizzes and polls, making sessions more engaging and dynamic. Encourage group work and discussion using platforms like Microsoft Teams, breakout rooms with collaborative tools such as Microsoft Whiteboard, OneNote, Loop Workspaces, or Padlet. These allow students to share ideas and work together on tasks </w:t>
      </w:r>
      <w:r w:rsidRPr="0078320E">
        <w:lastRenderedPageBreak/>
        <w:t>in real time, promoting inclusivity, equity, peer learning, and fostering a sense of community.</w:t>
      </w:r>
    </w:p>
    <w:p w14:paraId="1DDD8538" w14:textId="77777777" w:rsidR="0078320E" w:rsidRPr="0078320E" w:rsidRDefault="0078320E" w:rsidP="0078320E">
      <w:r w:rsidRPr="0078320E">
        <w:t>You can greatly enhance course design by integrating various digital tools. Use Panopto to create video lectures with embedded quizzes, ensuring active student engagement. Interactive presentations with tools like H5P and include multimedia elements such as videos, quizzes, interactive diagrams, audio clips, and podcasts made with tools like Microsoft's Voice Recorder app or Adobe Podcast. Offer flexibility and variety for your learners. Additionally, depending on the content you are looking to create, you can explore e-learning packages through the digital learning team. Take it a step further by exploring augmented reality, virtual reality, and immersive room environments for authentic experiential learning. These, if you are interested, are supported by the Digital Engagement and Experience Team.</w:t>
      </w:r>
    </w:p>
    <w:p w14:paraId="564C7F12" w14:textId="77777777" w:rsidR="0078320E" w:rsidRPr="0078320E" w:rsidRDefault="0078320E" w:rsidP="0078320E">
      <w:r w:rsidRPr="0078320E">
        <w:t>To enhance inclusivity and accessibility, you can integrate various digital tools and practices to ensure accessibility. Use clear headings, readable fonts, intuitive text for images, captions for videos, and transcripts for audio content. Tools like Microsoft's Accessibility Checker and Moodle's Brickfield Accessibility help maintain these standards. Use diverse content formats such as text, video, and audio, and collaborative platforms like Microsoft Teams or Moodle forums to promote planning and inclusivity. This provides students with a safe environment to share and explore the diversity of ideas. Asynchronous alternatives, such as recorded sessions, accommodate diverse needs and provide flexibility for students. Providing a choice of assessment formats can also provide students with an opportunity to express themselves in various ways, such as through video, podcasts, digital storytelling, and more. The online library also provides a range of learning resources, including video, which can be used to support inclusivity when designing course content. By following these practices, you can create equitable, engaging, and accessible learning environments.</w:t>
      </w:r>
    </w:p>
    <w:p w14:paraId="4FB3CB8D" w14:textId="77777777" w:rsidR="0078320E" w:rsidRPr="0078320E" w:rsidRDefault="0078320E" w:rsidP="0078320E">
      <w:r w:rsidRPr="0078320E">
        <w:t xml:space="preserve">Enhance engagement and community in face-to-face teaching by leveraging technology. Tools like VEVOX can spark inclusive discussions, ensuring all voices are heard. Digital storytelling tools such as Adobe Express and Microsoft Sway allow students to create and share narratives, fostering inclusivity and belonging. Collaborative tools like OneNote, Microsoft Whiteboard, or Loop Workspaces reinforce peer learning and inclusivity in asynchronous settings. Use forums and shared projects to promote interaction. Maintaining an active instructor presence by participating in discussions, giving feedback, and being approachable fosters a sense of belonging. Introduce game elements like quizzes, leaderboards, and badges to make learning interactive and fun, motivating students to participate. Widely used digital tools offer significant benefits. Provide scaffolding and support for all learners with explicit instruction and interaction guidelines, with ongoing support by fostering a structured </w:t>
      </w:r>
      <w:r w:rsidRPr="0078320E">
        <w:lastRenderedPageBreak/>
        <w:t>and supportive learning environment. You can enhance learning experiences and outcomes.</w:t>
      </w:r>
    </w:p>
    <w:p w14:paraId="5C821626" w14:textId="77777777" w:rsidR="00735053" w:rsidRDefault="00735053"/>
    <w:sectPr w:rsidR="007350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20E"/>
    <w:rsid w:val="003B2536"/>
    <w:rsid w:val="00735053"/>
    <w:rsid w:val="0078320E"/>
    <w:rsid w:val="008579FB"/>
    <w:rsid w:val="00AE00D1"/>
    <w:rsid w:val="00E70F4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8683B"/>
  <w15:chartTrackingRefBased/>
  <w15:docId w15:val="{77E9D0F4-7EE8-4588-BE73-B6AFB9C18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32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832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32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32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32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32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32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32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32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32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832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32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32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32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32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32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32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320E"/>
    <w:rPr>
      <w:rFonts w:eastAsiaTheme="majorEastAsia" w:cstheme="majorBidi"/>
      <w:color w:val="272727" w:themeColor="text1" w:themeTint="D8"/>
    </w:rPr>
  </w:style>
  <w:style w:type="paragraph" w:styleId="Title">
    <w:name w:val="Title"/>
    <w:basedOn w:val="Normal"/>
    <w:next w:val="Normal"/>
    <w:link w:val="TitleChar"/>
    <w:uiPriority w:val="10"/>
    <w:qFormat/>
    <w:rsid w:val="007832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32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32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32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320E"/>
    <w:pPr>
      <w:spacing w:before="160"/>
      <w:jc w:val="center"/>
    </w:pPr>
    <w:rPr>
      <w:i/>
      <w:iCs/>
      <w:color w:val="404040" w:themeColor="text1" w:themeTint="BF"/>
    </w:rPr>
  </w:style>
  <w:style w:type="character" w:customStyle="1" w:styleId="QuoteChar">
    <w:name w:val="Quote Char"/>
    <w:basedOn w:val="DefaultParagraphFont"/>
    <w:link w:val="Quote"/>
    <w:uiPriority w:val="29"/>
    <w:rsid w:val="0078320E"/>
    <w:rPr>
      <w:i/>
      <w:iCs/>
      <w:color w:val="404040" w:themeColor="text1" w:themeTint="BF"/>
    </w:rPr>
  </w:style>
  <w:style w:type="paragraph" w:styleId="ListParagraph">
    <w:name w:val="List Paragraph"/>
    <w:basedOn w:val="Normal"/>
    <w:uiPriority w:val="34"/>
    <w:qFormat/>
    <w:rsid w:val="0078320E"/>
    <w:pPr>
      <w:ind w:left="720"/>
      <w:contextualSpacing/>
    </w:pPr>
  </w:style>
  <w:style w:type="character" w:styleId="IntenseEmphasis">
    <w:name w:val="Intense Emphasis"/>
    <w:basedOn w:val="DefaultParagraphFont"/>
    <w:uiPriority w:val="21"/>
    <w:qFormat/>
    <w:rsid w:val="0078320E"/>
    <w:rPr>
      <w:i/>
      <w:iCs/>
      <w:color w:val="0F4761" w:themeColor="accent1" w:themeShade="BF"/>
    </w:rPr>
  </w:style>
  <w:style w:type="paragraph" w:styleId="IntenseQuote">
    <w:name w:val="Intense Quote"/>
    <w:basedOn w:val="Normal"/>
    <w:next w:val="Normal"/>
    <w:link w:val="IntenseQuoteChar"/>
    <w:uiPriority w:val="30"/>
    <w:qFormat/>
    <w:rsid w:val="007832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320E"/>
    <w:rPr>
      <w:i/>
      <w:iCs/>
      <w:color w:val="0F4761" w:themeColor="accent1" w:themeShade="BF"/>
    </w:rPr>
  </w:style>
  <w:style w:type="character" w:styleId="IntenseReference">
    <w:name w:val="Intense Reference"/>
    <w:basedOn w:val="DefaultParagraphFont"/>
    <w:uiPriority w:val="32"/>
    <w:qFormat/>
    <w:rsid w:val="0078320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99527051">
      <w:bodyDiv w:val="1"/>
      <w:marLeft w:val="0"/>
      <w:marRight w:val="0"/>
      <w:marTop w:val="0"/>
      <w:marBottom w:val="0"/>
      <w:divBdr>
        <w:top w:val="none" w:sz="0" w:space="0" w:color="auto"/>
        <w:left w:val="none" w:sz="0" w:space="0" w:color="auto"/>
        <w:bottom w:val="none" w:sz="0" w:space="0" w:color="auto"/>
        <w:right w:val="none" w:sz="0" w:space="0" w:color="auto"/>
      </w:divBdr>
      <w:divsChild>
        <w:div w:id="651906596">
          <w:marLeft w:val="0"/>
          <w:marRight w:val="0"/>
          <w:marTop w:val="0"/>
          <w:marBottom w:val="0"/>
          <w:divBdr>
            <w:top w:val="none" w:sz="0" w:space="0" w:color="auto"/>
            <w:left w:val="none" w:sz="0" w:space="0" w:color="auto"/>
            <w:bottom w:val="none" w:sz="0" w:space="0" w:color="auto"/>
            <w:right w:val="none" w:sz="0" w:space="0" w:color="auto"/>
          </w:divBdr>
        </w:div>
      </w:divsChild>
    </w:div>
    <w:div w:id="1649701574">
      <w:bodyDiv w:val="1"/>
      <w:marLeft w:val="0"/>
      <w:marRight w:val="0"/>
      <w:marTop w:val="0"/>
      <w:marBottom w:val="0"/>
      <w:divBdr>
        <w:top w:val="none" w:sz="0" w:space="0" w:color="auto"/>
        <w:left w:val="none" w:sz="0" w:space="0" w:color="auto"/>
        <w:bottom w:val="none" w:sz="0" w:space="0" w:color="auto"/>
        <w:right w:val="none" w:sz="0" w:space="0" w:color="auto"/>
      </w:divBdr>
      <w:divsChild>
        <w:div w:id="9899406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910</Words>
  <Characters>5193</Characters>
  <Application>Microsoft Office Word</Application>
  <DocSecurity>0</DocSecurity>
  <Lines>43</Lines>
  <Paragraphs>12</Paragraphs>
  <ScaleCrop>false</ScaleCrop>
  <Company>University of Wales Trinity Saint David</Company>
  <LinksUpToDate>false</LinksUpToDate>
  <CharactersWithSpaces>6091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Errietta Bissa</cp:lastModifiedBy>
  <cp:revision>1</cp:revision>
  <dcterms:created xsi:type="dcterms:W3CDTF">2024-12-13T10:57:00Z</dcterms:created>
  <dcterms:modified xsi:type="dcterms:W3CDTF">2024-12-13T10:58:00Z</dcterms:modified>
</cp:coreProperties>
</file>