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7D74FAC" w14:textId="1C1F6649" w:rsidR="00A46EB0" w:rsidRPr="00A46EB0" w:rsidRDefault="00A46EB0" w:rsidP="00A46EB0">
      <w:pPr>
        <w:spacing w:before="100" w:beforeAutospacing="1" w:after="100" w:afterAutospacing="1" w:line="360" w:lineRule="auto"/>
        <w:outlineLvl w:val="0"/>
        <w:rPr>
          <w:rFonts w:eastAsia="Times New Roman"/>
          <w:b/>
          <w:bCs/>
          <w:kern w:val="36"/>
          <w:lang w:eastAsia="en-GB"/>
          <w14:ligatures w14:val="none"/>
        </w:rPr>
      </w:pPr>
      <w:r w:rsidRPr="00A46EB0">
        <w:rPr>
          <w:rFonts w:eastAsia="Times New Roman"/>
          <w:b/>
          <w:bCs/>
          <w:kern w:val="36"/>
          <w:lang w:eastAsia="en-GB"/>
          <w14:ligatures w14:val="none"/>
        </w:rPr>
        <w:t xml:space="preserve">CHAPTER 1: INTRODUCTION </w:t>
      </w:r>
    </w:p>
    <w:p w14:paraId="2A2AC931" w14:textId="77777777" w:rsidR="00FF1D17" w:rsidRPr="00736F20" w:rsidRDefault="00FF1D17" w:rsidP="00FF1D17">
      <w:pPr>
        <w:spacing w:after="0" w:line="360" w:lineRule="auto"/>
        <w:rPr>
          <w:rFonts w:eastAsia="Times New Roman"/>
          <w:kern w:val="0"/>
          <w:lang w:eastAsia="en-GB"/>
          <w14:ligatures w14:val="none"/>
        </w:rPr>
      </w:pPr>
      <w:r w:rsidRPr="00736F20">
        <w:rPr>
          <w:rFonts w:eastAsia="Times New Roman"/>
          <w:kern w:val="0"/>
          <w:lang w:eastAsia="en-GB"/>
          <w14:ligatures w14:val="none"/>
        </w:rPr>
        <w:t>On both national and international health priorities, mental health problems in childhood have become progressively more significant as evidence mounts that many psychological illnesses start early in life (Kessler et al., 2005; World Health Organization, 2021). In particular, children 10 to 12 years old are in a critical developmental stage between late childhood and early adolescence when emotional, cognitive, and social changes accelerate (Eccles, 1999). This transitional period is characterized by growing academic demands, more sensitivity to peer interactions, and the early formation of identity, which might all enhance the vulnerability to mental health difficulties (Compas et al. , 2017). Understanding developmental pathways and directing early intervention strategies requires, therefore, investigating mental disorders inside this age cohort.</w:t>
      </w:r>
    </w:p>
    <w:p w14:paraId="46752448" w14:textId="77777777" w:rsidR="00FF1D17" w:rsidRPr="00736F20" w:rsidRDefault="00FF1D17" w:rsidP="00FF1D17">
      <w:pPr>
        <w:spacing w:after="0" w:line="360" w:lineRule="auto"/>
        <w:rPr>
          <w:rFonts w:eastAsia="Times New Roman"/>
          <w:kern w:val="0"/>
          <w:lang w:eastAsia="en-GB"/>
          <w14:ligatures w14:val="none"/>
        </w:rPr>
      </w:pPr>
    </w:p>
    <w:p w14:paraId="16FDC2F0" w14:textId="77777777" w:rsidR="00FF1D17" w:rsidRPr="00736F20" w:rsidRDefault="00FF1D17" w:rsidP="00FF1D17">
      <w:pPr>
        <w:spacing w:after="0" w:line="360" w:lineRule="auto"/>
        <w:rPr>
          <w:rFonts w:eastAsia="Times New Roman"/>
          <w:kern w:val="0"/>
          <w:lang w:eastAsia="en-GB"/>
          <w14:ligatures w14:val="none"/>
        </w:rPr>
      </w:pPr>
      <w:r w:rsidRPr="00736F20">
        <w:rPr>
          <w:rFonts w:eastAsia="Times New Roman"/>
          <w:kern w:val="0"/>
          <w:lang w:eastAsia="en-GB"/>
          <w14:ligatures w14:val="none"/>
        </w:rPr>
        <w:t>Psychopathology is the study of mental illnesses including their categorization, causes, and effects on daily activities (Carr, 2016). Usually, mental health issues in children are divided into internalising and externalising diseases (Achenbach and Edelbrock, 1978). Internalising disorders include anxiety and depression, which are characterised by symptoms that are directed inwards, such as social withdrawal, low mood, and excessive anxiety (Essau et al. , 2010). On the other hand, externalising disorders like attention-deficit/hyperactivity disorder (ADHD) and conduct disorder show themselves through observable actions like impulsivity, aggression, and breaking laws (American Psychiatric Association, 2013). Even though this framework is helpful, it has been criticised for making the complicated nature of childhood mental health too simple, especially since so many disorders happen together (Angold et al., 1999). This emphasizes the need for a more nuanced knowledge of psychopathology that considers developmental background and overlapping symptoms.</w:t>
      </w:r>
    </w:p>
    <w:p w14:paraId="202C306E" w14:textId="77777777" w:rsidR="00FF1D17" w:rsidRPr="00736F20" w:rsidRDefault="00FF1D17" w:rsidP="00FF1D17">
      <w:pPr>
        <w:spacing w:after="0" w:line="360" w:lineRule="auto"/>
        <w:rPr>
          <w:rFonts w:eastAsia="Times New Roman"/>
          <w:kern w:val="0"/>
          <w:lang w:eastAsia="en-GB"/>
          <w14:ligatures w14:val="none"/>
        </w:rPr>
      </w:pPr>
    </w:p>
    <w:p w14:paraId="10150C98" w14:textId="77777777" w:rsidR="00FF1D17" w:rsidRPr="00736F20" w:rsidRDefault="00FF1D17" w:rsidP="00FF1D17">
      <w:pPr>
        <w:spacing w:after="0" w:line="360" w:lineRule="auto"/>
        <w:rPr>
          <w:rFonts w:eastAsia="Times New Roman"/>
          <w:kern w:val="0"/>
          <w:lang w:eastAsia="en-GB"/>
          <w14:ligatures w14:val="none"/>
        </w:rPr>
      </w:pPr>
      <w:r w:rsidRPr="00736F20">
        <w:rPr>
          <w:rFonts w:eastAsia="Times New Roman"/>
          <w:kern w:val="0"/>
          <w:lang w:eastAsia="en-GB"/>
          <w14:ligatures w14:val="none"/>
        </w:rPr>
        <w:t xml:space="preserve">Mental health disorders among children are common and growing. According to epidemiological studies, between 10 and 20 percent of children and teenagers around the world struggle with mental health issues (Polanczyk et al. , 2015). Recent data for the United Kingdom reveal increasing frequency of emotional disturbances in children aged 8 to 13, especially anxiety-related disorders (NHS Digital, 2022). Studies show that practically half of all </w:t>
      </w:r>
      <w:proofErr w:type="gramStart"/>
      <w:r w:rsidRPr="00736F20">
        <w:rPr>
          <w:rFonts w:eastAsia="Times New Roman"/>
          <w:kern w:val="0"/>
          <w:lang w:eastAsia="en-GB"/>
          <w14:ligatures w14:val="none"/>
        </w:rPr>
        <w:t>lifetime</w:t>
      </w:r>
      <w:proofErr w:type="gramEnd"/>
      <w:r w:rsidRPr="00736F20">
        <w:rPr>
          <w:rFonts w:eastAsia="Times New Roman"/>
          <w:kern w:val="0"/>
          <w:lang w:eastAsia="en-GB"/>
          <w14:ligatures w14:val="none"/>
        </w:rPr>
        <w:t xml:space="preserve"> mental health disorders start before the age of 14, underlining the need of early diagnosis (Kessler et al. , 2005). However, despite growing awareness, many children remain undiagnosed or without treatment, suggesting a divide between policy goals and the availability of services (Children’s Commissioner, 2020).</w:t>
      </w:r>
      <w:r w:rsidRPr="00736F20">
        <w:rPr>
          <w:rFonts w:eastAsia="Times New Roman"/>
          <w:kern w:val="0"/>
          <w:lang w:eastAsia="en-GB"/>
          <w14:ligatures w14:val="none"/>
        </w:rPr>
        <w:t xml:space="preserve"> </w:t>
      </w:r>
      <w:r w:rsidRPr="00736F20">
        <w:rPr>
          <w:rFonts w:eastAsia="Times New Roman"/>
          <w:kern w:val="0"/>
          <w:lang w:eastAsia="en-GB"/>
          <w14:ligatures w14:val="none"/>
        </w:rPr>
        <w:t xml:space="preserve">In the UK, policy frameworks are increasingly emphasizing early intervention in children's mental health. Organizations such as the National Institute for Health and Care Excellence (NICE, 2019) offer guidelines based </w:t>
      </w:r>
      <w:r w:rsidRPr="00736F20">
        <w:rPr>
          <w:rFonts w:eastAsia="Times New Roman"/>
          <w:kern w:val="0"/>
          <w:lang w:eastAsia="en-GB"/>
          <w14:ligatures w14:val="none"/>
        </w:rPr>
        <w:lastRenderedPageBreak/>
        <w:t>on evidence for recognizing and treating mental health issues, while NHS England (2022) advocates for integrated care through services like Child and Adolescent Mental Health Services (CAMHS). These efforts indicate a transition towards preventive and early intervention methods, acknowledging that timely support can enhance long-term outcomes and lessen the strain on health and social care systems (Allen, 2011; Heckman, 2006). However, the success of these strategies remains debated, with evidence pointing to significant challenges, such as lengthy waiting times, regional differences, and limited accessibility (Frith, 2016; Children’s Commissioner, 2020). This situation raises important questions about the effectiveness of current systems in addressing the needs of children aged 10 to 12.</w:t>
      </w:r>
    </w:p>
    <w:p w14:paraId="1290D99F" w14:textId="77777777" w:rsidR="00FF1D17" w:rsidRPr="00736F20" w:rsidRDefault="00FF1D17" w:rsidP="00FF1D17">
      <w:pPr>
        <w:spacing w:after="0" w:line="360" w:lineRule="auto"/>
        <w:rPr>
          <w:rFonts w:eastAsia="Times New Roman"/>
          <w:kern w:val="0"/>
          <w:lang w:eastAsia="en-GB"/>
          <w14:ligatures w14:val="none"/>
        </w:rPr>
      </w:pPr>
    </w:p>
    <w:p w14:paraId="59F9574A" w14:textId="77777777" w:rsidR="00FF1D17" w:rsidRPr="00736F20" w:rsidRDefault="00FF1D17" w:rsidP="00FF1D17">
      <w:pPr>
        <w:spacing w:after="0" w:line="360" w:lineRule="auto"/>
        <w:rPr>
          <w:rFonts w:eastAsia="Times New Roman"/>
          <w:kern w:val="0"/>
          <w:lang w:eastAsia="en-GB"/>
          <w14:ligatures w14:val="none"/>
        </w:rPr>
      </w:pPr>
      <w:r w:rsidRPr="00736F20">
        <w:rPr>
          <w:rFonts w:eastAsia="Times New Roman"/>
          <w:kern w:val="0"/>
          <w:lang w:eastAsia="en-GB"/>
          <w14:ligatures w14:val="none"/>
        </w:rPr>
        <w:t>This dissertation intends to investigate mental disorders and psychopathology in children aged 10 to 12, focusing specifically on internalising and externalising issues, related risk factors, and the role of early identification and intervention within UK health and social care frameworks. By employing a biopsychosocial approach (Engel, 1977), the study acknowledges that mental health is influenced by the interplay of biological, psychological, and social factors. This perspective allows for a more thorough understanding of the complex nature of childhood mental health and avoids simplistic explanations that blame difficulties on a singular cause.</w:t>
      </w:r>
    </w:p>
    <w:p w14:paraId="4D96AA5E" w14:textId="77777777" w:rsidR="00FF1D17" w:rsidRPr="00736F20" w:rsidRDefault="00FF1D17" w:rsidP="00FF1D17">
      <w:pPr>
        <w:spacing w:after="0" w:line="360" w:lineRule="auto"/>
        <w:rPr>
          <w:rFonts w:eastAsia="Times New Roman"/>
          <w:kern w:val="0"/>
          <w:lang w:eastAsia="en-GB"/>
          <w14:ligatures w14:val="none"/>
        </w:rPr>
      </w:pPr>
    </w:p>
    <w:p w14:paraId="2812B4FD" w14:textId="193F5056" w:rsidR="00FF1D17" w:rsidRPr="00736F20" w:rsidRDefault="00FF1D17" w:rsidP="00FF1D17">
      <w:pPr>
        <w:spacing w:after="0" w:line="360" w:lineRule="auto"/>
        <w:rPr>
          <w:rFonts w:eastAsia="Times New Roman"/>
          <w:kern w:val="0"/>
          <w:lang w:eastAsia="en-GB"/>
          <w14:ligatures w14:val="none"/>
        </w:rPr>
      </w:pPr>
      <w:r w:rsidRPr="00736F20">
        <w:rPr>
          <w:rFonts w:eastAsia="Times New Roman"/>
          <w:kern w:val="0"/>
          <w:lang w:eastAsia="en-GB"/>
          <w14:ligatures w14:val="none"/>
        </w:rPr>
        <w:t xml:space="preserve">The goals of this research are fourfold. First, it aims to define and critically </w:t>
      </w:r>
      <w:r w:rsidRPr="00736F20">
        <w:rPr>
          <w:rFonts w:eastAsia="Times New Roman"/>
          <w:kern w:val="0"/>
          <w:lang w:eastAsia="en-GB"/>
          <w14:ligatures w14:val="none"/>
        </w:rPr>
        <w:t>analyse</w:t>
      </w:r>
      <w:r w:rsidRPr="00736F20">
        <w:rPr>
          <w:rFonts w:eastAsia="Times New Roman"/>
          <w:kern w:val="0"/>
          <w:lang w:eastAsia="en-GB"/>
          <w14:ligatures w14:val="none"/>
        </w:rPr>
        <w:t xml:space="preserve"> essential concepts related to childhood psychopathology, including the categorization of internalising and externalising disorders. Second, it seeks to evaluate the biological, psychological, and social risk factors connected to the emergence of mental health problems during middle childhood. Third, the study assesses current early identification and intervention methods in the UK, encompassing policy frameworks, NICE guidelines, and CAMHS services. Lastly, it seeks to offer evidence-based recommendations to enhance early intervention, improve collaboration among different agencies, and bolster support for children and their families.</w:t>
      </w:r>
    </w:p>
    <w:p w14:paraId="70B60368" w14:textId="77777777" w:rsidR="00FF1D17" w:rsidRPr="00736F20" w:rsidRDefault="00FF1D17" w:rsidP="00FF1D17">
      <w:pPr>
        <w:spacing w:after="0" w:line="360" w:lineRule="auto"/>
        <w:rPr>
          <w:rFonts w:eastAsia="Times New Roman"/>
          <w:kern w:val="0"/>
          <w:lang w:eastAsia="en-GB"/>
          <w14:ligatures w14:val="none"/>
        </w:rPr>
      </w:pPr>
    </w:p>
    <w:p w14:paraId="5C78EFE1" w14:textId="77777777" w:rsidR="00FF1D17" w:rsidRPr="00736F20" w:rsidRDefault="00FF1D17" w:rsidP="00FF1D17">
      <w:pPr>
        <w:spacing w:after="0" w:line="360" w:lineRule="auto"/>
        <w:rPr>
          <w:rFonts w:eastAsia="Times New Roman"/>
          <w:kern w:val="0"/>
          <w:lang w:eastAsia="en-GB"/>
          <w14:ligatures w14:val="none"/>
        </w:rPr>
      </w:pPr>
      <w:r w:rsidRPr="00736F20">
        <w:rPr>
          <w:rFonts w:eastAsia="Times New Roman"/>
          <w:kern w:val="0"/>
          <w:lang w:eastAsia="en-GB"/>
          <w14:ligatures w14:val="none"/>
        </w:rPr>
        <w:t xml:space="preserve">The rationale behind this research is based on the understanding that middle childhood is a vital period for early intervention. During this stage, initial signs of emotional and behavioral problems may surface but can often be overlooked or misunderstood (Jones, 2013). Neglecting to address these issues can lead to the continuation of mental health problems into adolescence and adulthood, resulting in significant long-term impacts, including decreased educational success, social isolation, and a heightened risk of mental illness (Rutter et al. , 2001; Goodman et al. , 2011). Although existing research has examined childhood mental health in general terms, there is a relative scarcity of focused analysis </w:t>
      </w:r>
      <w:r w:rsidRPr="00736F20">
        <w:rPr>
          <w:rFonts w:eastAsia="Times New Roman"/>
          <w:kern w:val="0"/>
          <w:lang w:eastAsia="en-GB"/>
          <w14:ligatures w14:val="none"/>
        </w:rPr>
        <w:lastRenderedPageBreak/>
        <w:t>specifically targeting the 10 to 12 age group, particularly in the context of UK service provision. Thus, this study aims to fill this gap by delivering a concentrated examination of this developmental phase.</w:t>
      </w:r>
    </w:p>
    <w:p w14:paraId="2F29EF6B" w14:textId="77777777" w:rsidR="00FF1D17" w:rsidRPr="00736F20" w:rsidRDefault="00FF1D17" w:rsidP="00FF1D17">
      <w:pPr>
        <w:spacing w:after="0" w:line="360" w:lineRule="auto"/>
        <w:rPr>
          <w:rFonts w:eastAsia="Times New Roman"/>
          <w:kern w:val="0"/>
          <w:lang w:eastAsia="en-GB"/>
          <w14:ligatures w14:val="none"/>
        </w:rPr>
      </w:pPr>
      <w:r w:rsidRPr="00736F20">
        <w:rPr>
          <w:rFonts w:eastAsia="Times New Roman"/>
          <w:kern w:val="0"/>
          <w:lang w:eastAsia="en-GB"/>
          <w14:ligatures w14:val="none"/>
        </w:rPr>
        <w:t>In terms of methodology, this study utilizes a secondary research design, relying on scholarly literature, policy documents, and health reports. Thematic analysis will be used to uncover significant patterns and themes in the data (Braun and Clarke, 2006). This method facilitates the integration of various sources while allowing for a critical assessment of existing evidence. Additionally, it aids in pinpointing weaknesses in current understandings and practices, which is crucial for forming valuable recommendations.</w:t>
      </w:r>
    </w:p>
    <w:p w14:paraId="76D2A094" w14:textId="77777777" w:rsidR="00FF1D17" w:rsidRPr="00736F20" w:rsidRDefault="00FF1D17" w:rsidP="00FF1D17">
      <w:pPr>
        <w:spacing w:after="0" w:line="360" w:lineRule="auto"/>
        <w:rPr>
          <w:rFonts w:eastAsia="Times New Roman"/>
          <w:kern w:val="0"/>
          <w:lang w:eastAsia="en-GB"/>
          <w14:ligatures w14:val="none"/>
        </w:rPr>
      </w:pPr>
    </w:p>
    <w:p w14:paraId="38DDDA1D" w14:textId="09673D43" w:rsidR="00A46EB0" w:rsidRPr="00A46EB0" w:rsidRDefault="00FF1D17" w:rsidP="00FF1D17">
      <w:pPr>
        <w:spacing w:after="0" w:line="360" w:lineRule="auto"/>
        <w:rPr>
          <w:rFonts w:eastAsia="Times New Roman"/>
          <w:kern w:val="0"/>
          <w:lang w:eastAsia="en-GB"/>
          <w14:ligatures w14:val="none"/>
        </w:rPr>
      </w:pPr>
      <w:r w:rsidRPr="00736F20">
        <w:rPr>
          <w:rFonts w:eastAsia="Times New Roman"/>
          <w:kern w:val="0"/>
          <w:lang w:eastAsia="en-GB"/>
          <w14:ligatures w14:val="none"/>
        </w:rPr>
        <w:t>In summary, this chapter has outlined the primary focus of the dissertation, highlighting the significance of recognizing mental disorders in children aged 10 to 12 and the importance of early intervention in health and social care. It has also pointed out the shortcomings of existing systems and the necessity for more research. The next chapter will offer a comprehensive background, exploring theoretical frameworks, prevalence, risk factors, and policy measures in greater detail.</w:t>
      </w:r>
    </w:p>
    <w:p w14:paraId="32054BF3" w14:textId="69527A01" w:rsidR="00A46EB0" w:rsidRPr="00A46EB0" w:rsidRDefault="00A46EB0" w:rsidP="00A46EB0">
      <w:pPr>
        <w:spacing w:before="100" w:beforeAutospacing="1" w:after="100" w:afterAutospacing="1" w:line="360" w:lineRule="auto"/>
        <w:outlineLvl w:val="0"/>
        <w:rPr>
          <w:rFonts w:eastAsia="Times New Roman"/>
          <w:b/>
          <w:bCs/>
          <w:kern w:val="36"/>
          <w:lang w:eastAsia="en-GB"/>
          <w14:ligatures w14:val="none"/>
        </w:rPr>
      </w:pPr>
      <w:r w:rsidRPr="00A46EB0">
        <w:rPr>
          <w:rFonts w:eastAsia="Times New Roman"/>
          <w:b/>
          <w:bCs/>
          <w:kern w:val="36"/>
          <w:lang w:eastAsia="en-GB"/>
          <w14:ligatures w14:val="none"/>
        </w:rPr>
        <w:t xml:space="preserve">CHAPTER 2: BACKGROUND </w:t>
      </w:r>
    </w:p>
    <w:p w14:paraId="29C1F7FE" w14:textId="0CA1A388" w:rsidR="005C0627" w:rsidRPr="00736F20" w:rsidRDefault="005C0627" w:rsidP="005C0627">
      <w:pPr>
        <w:spacing w:line="360" w:lineRule="auto"/>
        <w:rPr>
          <w:rFonts w:eastAsia="Times New Roman"/>
          <w:kern w:val="0"/>
          <w:lang w:eastAsia="en-GB"/>
          <w14:ligatures w14:val="none"/>
        </w:rPr>
      </w:pPr>
      <w:r w:rsidRPr="00736F20">
        <w:rPr>
          <w:rFonts w:eastAsia="Times New Roman"/>
          <w:kern w:val="0"/>
          <w:lang w:eastAsia="en-GB"/>
          <w14:ligatures w14:val="none"/>
        </w:rPr>
        <w:t>Childhood psychopathology is a complex field focused on the examination of emotional, behavioral, and developmental disorders in children. Unlike adult mental health, understanding childhood psychopathology requires a developmental viewpoint, as children's cognitive, emotional, and social abilities are always changing (Mash and Wolfe, 2016). This developmental perspective is crucial for differentiating between normal behaviors and significant clinical issues, as actions that are common at one stage of growth may be seen as problematic at another (Rutter et al. , 2001). Therefore, to accurately identify and categorize mental health disorders in children, a detailed understanding of developmental processes is necessary.</w:t>
      </w:r>
    </w:p>
    <w:p w14:paraId="4DDE7EA4" w14:textId="62C72349" w:rsidR="005C0627" w:rsidRPr="00736F20" w:rsidRDefault="005C0627" w:rsidP="005C0627">
      <w:pPr>
        <w:spacing w:line="360" w:lineRule="auto"/>
        <w:rPr>
          <w:rFonts w:eastAsia="Times New Roman"/>
          <w:kern w:val="0"/>
          <w:lang w:eastAsia="en-GB"/>
          <w14:ligatures w14:val="none"/>
        </w:rPr>
      </w:pPr>
      <w:r w:rsidRPr="00736F20">
        <w:rPr>
          <w:rFonts w:eastAsia="Times New Roman"/>
          <w:kern w:val="0"/>
          <w:lang w:eastAsia="en-GB"/>
          <w14:ligatures w14:val="none"/>
        </w:rPr>
        <w:t xml:space="preserve">A prominent framework in child psychopathology differentiates between internalizing and externalizing disorders (Achenbach and Edelbrock, 1978). Internalizing disorders, which include anxiety and depression, are characterized by symptoms directed inward, such as sadness, fear, and social withdrawal (Essau et al. , 2010). These disorders are often less apparent and, as a result, underdiagnosed, particularly in educational settings where quiet or withdrawn behaviors may go unnoticed (Costello et al. , 2003). Conversely, externalizing disorders like ADHD and conduct disorder are marked by outward behaviors such as aggression, hyperactivity, and defiance (American Psychiatric Association, 2013). While </w:t>
      </w:r>
      <w:r w:rsidRPr="00736F20">
        <w:rPr>
          <w:rFonts w:eastAsia="Times New Roman"/>
          <w:kern w:val="0"/>
          <w:lang w:eastAsia="en-GB"/>
          <w14:ligatures w14:val="none"/>
        </w:rPr>
        <w:lastRenderedPageBreak/>
        <w:t xml:space="preserve">these behaviors are more visible, they frequently face stigma and may be misinterpreted as intentional </w:t>
      </w:r>
      <w:r w:rsidRPr="00736F20">
        <w:rPr>
          <w:rFonts w:eastAsia="Times New Roman"/>
          <w:kern w:val="0"/>
          <w:lang w:eastAsia="en-GB"/>
          <w14:ligatures w14:val="none"/>
        </w:rPr>
        <w:t>misbehaviour</w:t>
      </w:r>
      <w:r w:rsidRPr="00736F20">
        <w:rPr>
          <w:rFonts w:eastAsia="Times New Roman"/>
          <w:kern w:val="0"/>
          <w:lang w:eastAsia="en-GB"/>
          <w14:ligatures w14:val="none"/>
        </w:rPr>
        <w:t xml:space="preserve"> rather than signs of underlying psychological issues (Kazdin, 2017).</w:t>
      </w:r>
    </w:p>
    <w:p w14:paraId="7107459B" w14:textId="66680A6E" w:rsidR="005C0627" w:rsidRPr="00736F20" w:rsidRDefault="005C0627" w:rsidP="005C0627">
      <w:pPr>
        <w:spacing w:line="360" w:lineRule="auto"/>
        <w:rPr>
          <w:rFonts w:eastAsia="Times New Roman"/>
          <w:kern w:val="0"/>
          <w:lang w:eastAsia="en-GB"/>
          <w14:ligatures w14:val="none"/>
        </w:rPr>
      </w:pPr>
      <w:r w:rsidRPr="00736F20">
        <w:rPr>
          <w:rFonts w:eastAsia="Times New Roman"/>
          <w:kern w:val="0"/>
          <w:lang w:eastAsia="en-GB"/>
          <w14:ligatures w14:val="none"/>
        </w:rPr>
        <w:t>Despite the usefulness of this classification, it has faced criticism. Researchers argue that the internalizing-externalizing distinction oversimplifies the intricacies of mental health by neglecting comorbidity and overlapping symptoms (Angold et al. , 1999). For example, children with ADHD may also suffer from anxiety, while those experiencing depression may show irritability and behavioral issues. This indicates that a dimensional approach to psychopathology may offer a more accurate reflection of children's experiences (Krueger and Markon, 2006). Such critiques are crucial as they illuminate the shortcomings of diagnostic systems and emphasize the importance of a comprehensive assessment.</w:t>
      </w:r>
    </w:p>
    <w:p w14:paraId="6E55404D" w14:textId="189D5239" w:rsidR="005C0627" w:rsidRPr="00736F20" w:rsidRDefault="005C0627" w:rsidP="005C0627">
      <w:pPr>
        <w:spacing w:line="360" w:lineRule="auto"/>
        <w:rPr>
          <w:rFonts w:eastAsia="Times New Roman"/>
          <w:kern w:val="0"/>
          <w:lang w:eastAsia="en-GB"/>
          <w14:ligatures w14:val="none"/>
        </w:rPr>
      </w:pPr>
      <w:r w:rsidRPr="00736F20">
        <w:rPr>
          <w:rFonts w:eastAsia="Times New Roman"/>
          <w:kern w:val="0"/>
          <w:lang w:eastAsia="en-GB"/>
          <w14:ligatures w14:val="none"/>
        </w:rPr>
        <w:t>The rise in mental health disorders among children has become a significant concern for researchers and policymakers alike. Global estimates suggest that nearly one in eight children face a diagnosable mental health condition (Polanczyk et al. , 2015). In the UK, NHS Digital (2022) has reported an increase in emotional disorders, particularly in pre-adolescent children. This trend may be linked to various factors, such as heightened academic pressure, the impact of social media, and shifting family dynamics (Twenge, 2017). However, it is also essential to question whether the rising prevalence indicates greater awareness and diagnosis rather than an actual increase in occurrence (Fombonne, 2009). This complexity underscores the necessity for careful interpretation of mental health data and critical evaluation.</w:t>
      </w:r>
    </w:p>
    <w:p w14:paraId="5790C168" w14:textId="77777777" w:rsidR="005C0627" w:rsidRPr="00736F20" w:rsidRDefault="005C0627" w:rsidP="005C0627">
      <w:pPr>
        <w:spacing w:line="360" w:lineRule="auto"/>
        <w:rPr>
          <w:rFonts w:eastAsia="Times New Roman"/>
          <w:kern w:val="0"/>
          <w:lang w:eastAsia="en-GB"/>
          <w14:ligatures w14:val="none"/>
        </w:rPr>
      </w:pPr>
      <w:r w:rsidRPr="00736F20">
        <w:rPr>
          <w:rFonts w:eastAsia="Times New Roman"/>
          <w:kern w:val="0"/>
          <w:lang w:eastAsia="en-GB"/>
          <w14:ligatures w14:val="none"/>
        </w:rPr>
        <w:t>The biopsychosocial model offers a thorough framework for understanding the emergence of mental health challenges in children (Engel, 1977). Biological factors encompass genetic predisposition, neurodevelopmental differences, and physiological processes. Research indicates that children with a familial history of mental illness are at a heightened risk of experiencing similar conditions (Thapar et al. , 2012). Neuroimaging studies have revealed structural and functional differences in the brains of children with ADHD and anxiety disorders, particularly in areas related to emotional regulation and executive functioning (Shaw et al. , 2007). However, biological explanations alone do not provide a complete understanding, as they fail to consider environmental factors.</w:t>
      </w:r>
    </w:p>
    <w:p w14:paraId="6758A14C" w14:textId="77777777" w:rsidR="005C0627" w:rsidRPr="00736F20" w:rsidRDefault="005C0627" w:rsidP="005C0627">
      <w:pPr>
        <w:spacing w:line="360" w:lineRule="auto"/>
        <w:rPr>
          <w:rFonts w:eastAsia="Times New Roman"/>
          <w:kern w:val="0"/>
          <w:lang w:eastAsia="en-GB"/>
          <w14:ligatures w14:val="none"/>
        </w:rPr>
      </w:pPr>
    </w:p>
    <w:p w14:paraId="7217AAAB" w14:textId="77777777" w:rsidR="005C0627" w:rsidRPr="00736F20" w:rsidRDefault="005C0627" w:rsidP="005C0627">
      <w:pPr>
        <w:spacing w:line="360" w:lineRule="auto"/>
        <w:rPr>
          <w:rFonts w:eastAsia="Times New Roman"/>
          <w:kern w:val="0"/>
          <w:lang w:eastAsia="en-GB"/>
          <w14:ligatures w14:val="none"/>
        </w:rPr>
      </w:pPr>
      <w:r w:rsidRPr="00736F20">
        <w:rPr>
          <w:rFonts w:eastAsia="Times New Roman"/>
          <w:kern w:val="0"/>
          <w:lang w:eastAsia="en-GB"/>
          <w14:ligatures w14:val="none"/>
        </w:rPr>
        <w:t xml:space="preserve">Psychological influences are also crucial in determining mental health outcomes. Cognitive theories, such as Beck’s (1976) cognitive model, propose that unhealthy thought patterns contribute to the development of internalizing disorders. Children who view situations negatively or who possess low self-esteem are more susceptible to developing anxiety and </w:t>
      </w:r>
      <w:r w:rsidRPr="00736F20">
        <w:rPr>
          <w:rFonts w:eastAsia="Times New Roman"/>
          <w:kern w:val="0"/>
          <w:lang w:eastAsia="en-GB"/>
          <w14:ligatures w14:val="none"/>
        </w:rPr>
        <w:lastRenderedPageBreak/>
        <w:t>depression. Furthermore, emotional regulation is a significant factor, as challenges in managing emotions have been linked to a variety of mental health issues (Gross, 2015).</w:t>
      </w:r>
    </w:p>
    <w:p w14:paraId="093F1793" w14:textId="3B35C397" w:rsidR="005C0627" w:rsidRPr="00736F20" w:rsidRDefault="005C0627" w:rsidP="005C0627">
      <w:pPr>
        <w:spacing w:line="360" w:lineRule="auto"/>
        <w:rPr>
          <w:rFonts w:eastAsia="Times New Roman"/>
          <w:kern w:val="0"/>
          <w:lang w:eastAsia="en-GB"/>
          <w14:ligatures w14:val="none"/>
        </w:rPr>
      </w:pPr>
      <w:r w:rsidRPr="00736F20">
        <w:rPr>
          <w:rFonts w:eastAsia="Times New Roman"/>
          <w:kern w:val="0"/>
          <w:lang w:eastAsia="en-GB"/>
          <w14:ligatures w14:val="none"/>
        </w:rPr>
        <w:t>Moreover, early experiences such as trauma, neglect, and inconsistent caregiving can hinder psychological growth and heighten susceptibility to mental health disorders (Perry and Pollard, 1998). Attachment theory provides significant understanding regarding the impact of early relationships on mental wellbeing. Bowlby (1969) asserted that a secure bond between a child and caregiver is vital for proper emotional growth. Research supports this perspective, indicating that insecure attachments are linked to a higher likelihood of experiencing both internalizing and externalizing disorders (Fearon et al. , 2010). Nevertheless, attachment theory has faced criticism for overemphasizing early relationships while undervaluing the significance of later experiences (Rutter, 2012). This underscores the necessity of a lifespan perspective when exploring mental health.</w:t>
      </w:r>
    </w:p>
    <w:p w14:paraId="1BAD4447" w14:textId="39B3A10A" w:rsidR="005C0627" w:rsidRPr="00736F20" w:rsidRDefault="005C0627" w:rsidP="005C0627">
      <w:pPr>
        <w:spacing w:line="360" w:lineRule="auto"/>
        <w:rPr>
          <w:rFonts w:eastAsia="Times New Roman"/>
          <w:kern w:val="0"/>
          <w:lang w:eastAsia="en-GB"/>
          <w14:ligatures w14:val="none"/>
        </w:rPr>
      </w:pPr>
      <w:r w:rsidRPr="00736F20">
        <w:rPr>
          <w:rFonts w:eastAsia="Times New Roman"/>
          <w:kern w:val="0"/>
          <w:lang w:eastAsia="en-GB"/>
          <w14:ligatures w14:val="none"/>
        </w:rPr>
        <w:t>Social factors are critical in the emergence of mental health issues in childhood. The family environment, economic status, and relationships with peers greatly affect emotional and behavioral results (Reiss, 2013). Children living in poverty face continuous stressors, such as financial uncertainty and unstable housing, which can adversely affect their mental health (Evans and Kim, 2013). Furthermore, the mental health of parents and their parenting styles are essential influences on a child's wellbeing (Goodman et al. , 2011).</w:t>
      </w:r>
    </w:p>
    <w:p w14:paraId="4E71C871" w14:textId="47F91551" w:rsidR="005C0627" w:rsidRPr="00736F20" w:rsidRDefault="005C0627" w:rsidP="005C0627">
      <w:pPr>
        <w:spacing w:line="360" w:lineRule="auto"/>
        <w:rPr>
          <w:rFonts w:eastAsia="Times New Roman"/>
          <w:kern w:val="0"/>
          <w:lang w:eastAsia="en-GB"/>
          <w14:ligatures w14:val="none"/>
        </w:rPr>
      </w:pPr>
      <w:r w:rsidRPr="00736F20">
        <w:rPr>
          <w:rFonts w:eastAsia="Times New Roman"/>
          <w:kern w:val="0"/>
          <w:lang w:eastAsia="en-GB"/>
          <w14:ligatures w14:val="none"/>
        </w:rPr>
        <w:t>Peer relationships gain increasing importance during middle childhood. Incidents of bullying, social rejection, and conflicts with peers are closely linked to mental health problems (Arseneault, 2018). Children who find it challenging to build positive relationships may experience feelings of loneliness and low self-esteem, which can lead to internalizing disorders. On the other hand, supportive peer interactions can serve as protective factors, enhancing resilience and emotional health (Luthar et al. , 2000). This illustrates the importance of recognizing both risk and protective factors in understanding mental health.</w:t>
      </w:r>
    </w:p>
    <w:p w14:paraId="7F02DC79" w14:textId="4F92A60D" w:rsidR="005C0627" w:rsidRPr="00736F20" w:rsidRDefault="005C0627" w:rsidP="005C0627">
      <w:pPr>
        <w:spacing w:line="360" w:lineRule="auto"/>
        <w:rPr>
          <w:rFonts w:eastAsia="Times New Roman"/>
          <w:kern w:val="0"/>
          <w:lang w:eastAsia="en-GB"/>
          <w14:ligatures w14:val="none"/>
        </w:rPr>
      </w:pPr>
      <w:r w:rsidRPr="00736F20">
        <w:rPr>
          <w:rFonts w:eastAsia="Times New Roman"/>
          <w:kern w:val="0"/>
          <w:lang w:eastAsia="en-GB"/>
          <w14:ligatures w14:val="none"/>
        </w:rPr>
        <w:t xml:space="preserve">The interplay between biological, psychological, and social factors emphasizes the complexity of childhood psychopathology. Mental health issues generally arise from the cumulative effects of various influences rather than from a single source (Rutter, 2012). This supports the necessity for comprehensive assessment and intervention approaches that </w:t>
      </w:r>
      <w:r w:rsidRPr="00736F20">
        <w:rPr>
          <w:rFonts w:eastAsia="Times New Roman"/>
          <w:kern w:val="0"/>
          <w:lang w:eastAsia="en-GB"/>
          <w14:ligatures w14:val="none"/>
        </w:rPr>
        <w:t>consider</w:t>
      </w:r>
      <w:r w:rsidRPr="00736F20">
        <w:rPr>
          <w:rFonts w:eastAsia="Times New Roman"/>
          <w:kern w:val="0"/>
          <w:lang w:eastAsia="en-GB"/>
          <w14:ligatures w14:val="none"/>
        </w:rPr>
        <w:t xml:space="preserve"> the broader context of the child.</w:t>
      </w:r>
    </w:p>
    <w:p w14:paraId="6BB948F5" w14:textId="07693B1F" w:rsidR="005C0627" w:rsidRPr="00736F20" w:rsidRDefault="005C0627" w:rsidP="005C0627">
      <w:pPr>
        <w:spacing w:line="360" w:lineRule="auto"/>
        <w:rPr>
          <w:rFonts w:eastAsia="Times New Roman"/>
          <w:kern w:val="0"/>
          <w:lang w:eastAsia="en-GB"/>
          <w14:ligatures w14:val="none"/>
        </w:rPr>
      </w:pPr>
      <w:r w:rsidRPr="00736F20">
        <w:rPr>
          <w:rFonts w:eastAsia="Times New Roman"/>
          <w:kern w:val="0"/>
          <w:lang w:eastAsia="en-GB"/>
          <w14:ligatures w14:val="none"/>
        </w:rPr>
        <w:t xml:space="preserve">The early recognition and intervention in children's mental health are widely acknowledged as critical for enhancing outcomes (Allen, 2011). Early intervention refers to the process of detecting issues at the beginning and offering timely assistance to avoid further complications (Heckman, 2006). Research indicates that early intervention can greatly </w:t>
      </w:r>
      <w:r w:rsidRPr="00736F20">
        <w:rPr>
          <w:rFonts w:eastAsia="Times New Roman"/>
          <w:kern w:val="0"/>
          <w:lang w:eastAsia="en-GB"/>
          <w14:ligatures w14:val="none"/>
        </w:rPr>
        <w:lastRenderedPageBreak/>
        <w:t>improve long-term results, such as educational success and social skills (Jones, 2013). However, the execution of early intervention strategies remains inconsistent.</w:t>
      </w:r>
    </w:p>
    <w:p w14:paraId="7226BA7C" w14:textId="6ED89F6E" w:rsidR="005C0627" w:rsidRPr="00736F20" w:rsidRDefault="005C0627" w:rsidP="005C0627">
      <w:pPr>
        <w:spacing w:line="360" w:lineRule="auto"/>
        <w:rPr>
          <w:rFonts w:eastAsia="Times New Roman"/>
          <w:kern w:val="0"/>
          <w:lang w:eastAsia="en-GB"/>
          <w14:ligatures w14:val="none"/>
        </w:rPr>
      </w:pPr>
      <w:r w:rsidRPr="00736F20">
        <w:rPr>
          <w:rFonts w:eastAsia="Times New Roman"/>
          <w:kern w:val="0"/>
          <w:lang w:eastAsia="en-GB"/>
          <w14:ligatures w14:val="none"/>
        </w:rPr>
        <w:t>In the United Kingdom, entities like Child and Adolescent Mental Health Services (CAMHS) are fundamental to delivering mental health support for children (NHS England, 2022). The National Institute for Health and Care Excellence (NICE) guidelines provide research-based recommendations for evaluation and treatment, highlighting the significance of early detection and collaborative efforts among multiple agencies (NICE, 2019). Additionally, schools play a vital role in identifying early indications of mental health struggles and offering initial assistance (Department for Education, 2018). Despite these strategies, considerable obstacles persist.</w:t>
      </w:r>
    </w:p>
    <w:p w14:paraId="23CC2F8C" w14:textId="790924E0" w:rsidR="005C0627" w:rsidRPr="00736F20" w:rsidRDefault="005C0627" w:rsidP="005C0627">
      <w:pPr>
        <w:spacing w:line="360" w:lineRule="auto"/>
        <w:rPr>
          <w:rFonts w:eastAsia="Times New Roman"/>
          <w:kern w:val="0"/>
          <w:lang w:eastAsia="en-GB"/>
          <w14:ligatures w14:val="none"/>
        </w:rPr>
      </w:pPr>
      <w:r w:rsidRPr="00736F20">
        <w:rPr>
          <w:rFonts w:eastAsia="Times New Roman"/>
          <w:kern w:val="0"/>
          <w:lang w:eastAsia="en-GB"/>
          <w14:ligatures w14:val="none"/>
        </w:rPr>
        <w:t>Access to CAMHS is frequently constrained, characterized by prolonged waiting periods and elevated referral criteria (Children’s Commissioner, 2020). A significant number of children do not qualify for specialized services and, as a result, remain without support. Moreover, shortages in the workforce and financial limitations restrict service capabilities (Frith, 2016). Disparities in access further complicate these challenges, with children from underprivileged backgrounds being less likely to receive adequate care (Reiss, 2013). These issues raise doubts regarding the efficacy of existing systems and underscore the need for reform.</w:t>
      </w:r>
    </w:p>
    <w:p w14:paraId="6494CABA" w14:textId="2671DBC7" w:rsidR="005C0627" w:rsidRPr="00736F20" w:rsidRDefault="005C0627" w:rsidP="005C0627">
      <w:pPr>
        <w:spacing w:line="360" w:lineRule="auto"/>
        <w:rPr>
          <w:rFonts w:eastAsia="Times New Roman"/>
          <w:kern w:val="0"/>
          <w:lang w:eastAsia="en-GB"/>
          <w14:ligatures w14:val="none"/>
        </w:rPr>
      </w:pPr>
      <w:r w:rsidRPr="00736F20">
        <w:rPr>
          <w:rFonts w:eastAsia="Times New Roman"/>
          <w:kern w:val="0"/>
          <w:lang w:eastAsia="en-GB"/>
          <w14:ligatures w14:val="none"/>
        </w:rPr>
        <w:t>Collaboration among multiple agencies is widely deemed crucial for tackling these challenges. Successful intervention necessitates cooperation among healthcare providers, educators, social workers, and families (DfE, 2018). However, in practice, collaboration is often obstructed by institutional barriers, communication issues, and limitations in resources (Atkinson et al. , 2007). This indicates that while policy underscores integration, the execution of such collaboration proves problematic</w:t>
      </w:r>
      <w:r w:rsidRPr="00736F20">
        <w:rPr>
          <w:rFonts w:eastAsia="Times New Roman"/>
          <w:kern w:val="0"/>
          <w:lang w:eastAsia="en-GB"/>
          <w14:ligatures w14:val="none"/>
        </w:rPr>
        <w:t>.</w:t>
      </w:r>
    </w:p>
    <w:p w14:paraId="28E9129B" w14:textId="77777777" w:rsidR="005C0627" w:rsidRPr="00736F20" w:rsidRDefault="005C0627" w:rsidP="005C0627">
      <w:pPr>
        <w:spacing w:line="360" w:lineRule="auto"/>
        <w:rPr>
          <w:rFonts w:eastAsia="Times New Roman"/>
          <w:kern w:val="0"/>
          <w:lang w:eastAsia="en-GB"/>
          <w14:ligatures w14:val="none"/>
        </w:rPr>
      </w:pPr>
      <w:r w:rsidRPr="00736F20">
        <w:rPr>
          <w:rFonts w:eastAsia="Times New Roman"/>
          <w:kern w:val="0"/>
          <w:lang w:eastAsia="en-GB"/>
          <w14:ligatures w14:val="none"/>
        </w:rPr>
        <w:t>In light of these challenges, there has been a growing focus on preventive strategies. Interventions in schools, community programs, and public health initiatives seek to foster resilience and well-being (Weare and Nind, 2011). Although these strategies show potential, their effectiveness varies, necessitating further research to identify best practices.</w:t>
      </w:r>
    </w:p>
    <w:p w14:paraId="7CC98640" w14:textId="0A9FB7A4" w:rsidR="005C0627" w:rsidRPr="00736F20" w:rsidRDefault="005C0627" w:rsidP="005C0627">
      <w:pPr>
        <w:spacing w:line="360" w:lineRule="auto"/>
        <w:rPr>
          <w:rFonts w:eastAsia="Times New Roman"/>
          <w:kern w:val="0"/>
          <w:lang w:eastAsia="en-GB"/>
          <w14:ligatures w14:val="none"/>
        </w:rPr>
      </w:pPr>
      <w:r w:rsidRPr="00736F20">
        <w:rPr>
          <w:rFonts w:eastAsia="Times New Roman"/>
          <w:kern w:val="0"/>
          <w:lang w:eastAsia="en-GB"/>
          <w14:ligatures w14:val="none"/>
        </w:rPr>
        <w:t>In summary, this chapter has presented a comprehensive analysis of childhood mental health issues, emphasizing the complexity of both internalizing and externalizing disorders, as well as the interaction of biological, psychological, and social factors. It has also explored the significance of early intervention and identified the shortcomings of existing systems in the UK. This analysis forms a basis for the upcoming review of relevant literature and the formulation of evidence-based recommendations.</w:t>
      </w:r>
    </w:p>
    <w:p w14:paraId="07755572" w14:textId="484E9B11" w:rsidR="005C0627" w:rsidRPr="00736F20" w:rsidRDefault="005C0627" w:rsidP="005C0627">
      <w:pPr>
        <w:spacing w:line="360" w:lineRule="auto"/>
        <w:rPr>
          <w:rFonts w:eastAsia="Times New Roman"/>
          <w:kern w:val="0"/>
          <w:lang w:eastAsia="en-GB"/>
          <w14:ligatures w14:val="none"/>
        </w:rPr>
      </w:pPr>
      <w:r w:rsidRPr="00736F20">
        <w:rPr>
          <w:rFonts w:eastAsia="Times New Roman"/>
          <w:kern w:val="0"/>
          <w:lang w:eastAsia="en-GB"/>
          <w14:ligatures w14:val="none"/>
        </w:rPr>
        <w:lastRenderedPageBreak/>
        <w:t>An additional vital aspect of childhood mental health is the influence of educational settings on the identification and management of mental health challenges. Schools are among the primary environments where children aged 10 to 12 spend considerable time, thereby placing educators in a crucial position to notice changes in behavior and emotions (Department for Education, 2018). Teachers often serve as some of the first professionals to detect early indications of internalizing and externalizing issues, including withdrawal, anxiety, disruptive conduct, and concentration difficulties. Nevertheless, research indicates that many educators may lack the necessary training and confidence to effectively recognize and address mental health concerns (Loades and Mastroyannopoulou, 2010). This situation highlights a significant gap between policy expectations and actual practice in schools.</w:t>
      </w:r>
    </w:p>
    <w:p w14:paraId="3B5BA6D1" w14:textId="77777777" w:rsidR="005C0627" w:rsidRPr="00736F20" w:rsidRDefault="005C0627" w:rsidP="005C0627">
      <w:pPr>
        <w:spacing w:line="360" w:lineRule="auto"/>
        <w:rPr>
          <w:rFonts w:eastAsia="Times New Roman"/>
          <w:kern w:val="0"/>
          <w:lang w:eastAsia="en-GB"/>
          <w14:ligatures w14:val="none"/>
        </w:rPr>
      </w:pPr>
      <w:r w:rsidRPr="00736F20">
        <w:rPr>
          <w:rFonts w:eastAsia="Times New Roman"/>
          <w:kern w:val="0"/>
          <w:lang w:eastAsia="en-GB"/>
          <w14:ligatures w14:val="none"/>
        </w:rPr>
        <w:t>To address this challenge, the UK government has launched initiatives aimed at enhancing mental health support within educational institutions, including the establishment of Mental Health Support Teams (MHSTs) and the promotion of comprehensive approaches to wellbeing throughout schools (NHS England, 2019). These strategies focus on early identification, preventative measures, and the incorporation of mental health considerations into daily school activities. While these initiatives mark a significant advancement, their effectiveness is inconsistent, with disparities in funding, staffing, and regional execution influencing outcomes (Ford et al. , 2021). This suggests that although policy advancements are consistent with early intervention principles, systemic obstacles continue to hinder their effectiveness.</w:t>
      </w:r>
    </w:p>
    <w:p w14:paraId="461B86CD" w14:textId="77777777" w:rsidR="005C0627" w:rsidRPr="00736F20" w:rsidRDefault="005C0627" w:rsidP="005C0627">
      <w:pPr>
        <w:spacing w:line="360" w:lineRule="auto"/>
        <w:rPr>
          <w:rFonts w:eastAsia="Times New Roman"/>
          <w:kern w:val="0"/>
          <w:lang w:eastAsia="en-GB"/>
          <w14:ligatures w14:val="none"/>
        </w:rPr>
      </w:pPr>
    </w:p>
    <w:p w14:paraId="76423FB5" w14:textId="77777777" w:rsidR="005C0627" w:rsidRPr="00736F20" w:rsidRDefault="005C0627" w:rsidP="005C0627">
      <w:pPr>
        <w:spacing w:line="360" w:lineRule="auto"/>
        <w:rPr>
          <w:rFonts w:eastAsia="Times New Roman"/>
          <w:kern w:val="0"/>
          <w:lang w:eastAsia="en-GB"/>
          <w14:ligatures w14:val="none"/>
        </w:rPr>
      </w:pPr>
      <w:r w:rsidRPr="00736F20">
        <w:rPr>
          <w:rFonts w:eastAsia="Times New Roman"/>
          <w:kern w:val="0"/>
          <w:lang w:eastAsia="en-GB"/>
          <w14:ligatures w14:val="none"/>
        </w:rPr>
        <w:t>Another critical issue concerns the impact of cultural and social diversity on the understanding and diagnosis of mental health challenges. Studies show that children from minority ethnic backgrounds are less likely to utilize mental health services and may face differences in diagnosis and treatment (Dogra et al. , 2012). Cultural stigma associated with mental health, language barriers, and the absence of culturally sensitive services contribute to their underrepresentation within support frameworks. Additionally, diagnostic systems, such as those detailed in the DSM-5 (American Psychiatric Association, 2013), have faced criticism for their Western-centric viewpoints, which may restrict their applicability to various populations (Fernando, 2017). This raises crucial questions regarding the inclusivity and fairness of contemporary mental health systems.</w:t>
      </w:r>
    </w:p>
    <w:p w14:paraId="550E4B89" w14:textId="52029658" w:rsidR="005C0627" w:rsidRPr="00736F20" w:rsidRDefault="005C0627" w:rsidP="005C0627">
      <w:pPr>
        <w:spacing w:line="360" w:lineRule="auto"/>
        <w:rPr>
          <w:rFonts w:eastAsia="Times New Roman"/>
          <w:kern w:val="0"/>
          <w:lang w:eastAsia="en-GB"/>
          <w14:ligatures w14:val="none"/>
        </w:rPr>
      </w:pPr>
      <w:r w:rsidRPr="00736F20">
        <w:rPr>
          <w:rFonts w:eastAsia="Times New Roman"/>
          <w:kern w:val="0"/>
          <w:lang w:eastAsia="en-GB"/>
          <w14:ligatures w14:val="none"/>
        </w:rPr>
        <w:t xml:space="preserve">Gender differences significantly contribute to issues related to childhood mental health. Research indicates that boys are more frequently diagnosed with externalizing disorders, whereas girls tend to face internalizing problems (Zahn-Waxler et al. , 2008). However, these trends may be influenced by biases in diagnosis and recognition, rather than reflecting </w:t>
      </w:r>
      <w:r w:rsidRPr="00736F20">
        <w:rPr>
          <w:rFonts w:eastAsia="Times New Roman"/>
          <w:kern w:val="0"/>
          <w:lang w:eastAsia="en-GB"/>
          <w14:ligatures w14:val="none"/>
        </w:rPr>
        <w:lastRenderedPageBreak/>
        <w:t>actual differences in occurrence. For instance, boys’ disruptive behaviors often garner more attention, while girls’ emotional struggles may go unnoticed (Crick and Zahn-Waxler, 2003). This situation underscores the necessity for more nuanced and gender-sensitive methods for assessment and intervention.</w:t>
      </w:r>
    </w:p>
    <w:p w14:paraId="34569CF3" w14:textId="03403A20" w:rsidR="005C0627" w:rsidRPr="00736F20" w:rsidRDefault="005C0627" w:rsidP="005C0627">
      <w:pPr>
        <w:spacing w:line="360" w:lineRule="auto"/>
        <w:rPr>
          <w:rFonts w:eastAsia="Times New Roman"/>
          <w:kern w:val="0"/>
          <w:lang w:eastAsia="en-GB"/>
          <w14:ligatures w14:val="none"/>
        </w:rPr>
      </w:pPr>
      <w:r w:rsidRPr="00736F20">
        <w:rPr>
          <w:rFonts w:eastAsia="Times New Roman"/>
          <w:kern w:val="0"/>
          <w:lang w:eastAsia="en-GB"/>
          <w14:ligatures w14:val="none"/>
        </w:rPr>
        <w:t>In addition to examining risk factors, it is vital to acknowledge protective elements that can help reduce the likelihood of developing mental health issues. Protective factors encompass supportive family dynamics, positive peer relationships, effective coping mechanisms, and availability of resources (Luthar et al. , 2000). Resilience theory indicates that certain children can adapt positively even in the face of challenges, emphasizing the importance of strengths-oriented approaches (Masten, 2014). Programs aimed at fostering resilience, such as social and emotional learning initiatives, have demonstrated improvements in mental health outcomes and reductions in behavioral issues (Durlak et al. , 2011). Nevertheless, critics caution that focusing excessively on resilience might unfairly place responsibility on individuals instead of addressing broader societal inequalities (Joseph, 2013). This view suggests that a balanced strategy is necessary, one that considers both individual and structural elements.</w:t>
      </w:r>
    </w:p>
    <w:p w14:paraId="38108E05" w14:textId="43F962F3" w:rsidR="005C0627" w:rsidRPr="00736F20" w:rsidRDefault="005C0627" w:rsidP="005C0627">
      <w:pPr>
        <w:spacing w:line="360" w:lineRule="auto"/>
        <w:rPr>
          <w:rFonts w:eastAsia="Times New Roman"/>
          <w:kern w:val="0"/>
          <w:lang w:eastAsia="en-GB"/>
          <w14:ligatures w14:val="none"/>
        </w:rPr>
      </w:pPr>
      <w:r w:rsidRPr="00736F20">
        <w:rPr>
          <w:rFonts w:eastAsia="Times New Roman"/>
          <w:kern w:val="0"/>
          <w:lang w:eastAsia="en-GB"/>
          <w14:ligatures w14:val="none"/>
        </w:rPr>
        <w:t>Moreover, digital environments have emerged as an increasingly pertinent factor influencing children’s mental health. The growth of social media and digital technology has changed children's social interactions, offering both advantages and hazards (Twenge, 2017). While online platforms can facilitate social support and provide valuable information, they are also associated with heightened anxiety, cyberbullying, and diminished self-esteem (Odgers and Jensen, 2020). For children aged 10-12, who are beginning to engage more extensively with digital spaces, these factors may be especially impactful. Nevertheless, the link between digital media and mental health remains intricate and debated, with some research indicating minimal or context-specific effects (Przybylski and Weinstein, 2017). This complexity emphasizes the need for additional research in this domain.</w:t>
      </w:r>
    </w:p>
    <w:p w14:paraId="6E2535F2" w14:textId="77777777" w:rsidR="005C0627" w:rsidRPr="00736F20" w:rsidRDefault="005C0627" w:rsidP="005C0627">
      <w:pPr>
        <w:spacing w:line="360" w:lineRule="auto"/>
        <w:rPr>
          <w:rFonts w:eastAsia="Times New Roman"/>
          <w:kern w:val="0"/>
          <w:lang w:eastAsia="en-GB"/>
          <w14:ligatures w14:val="none"/>
        </w:rPr>
      </w:pPr>
      <w:r w:rsidRPr="00736F20">
        <w:rPr>
          <w:rFonts w:eastAsia="Times New Roman"/>
          <w:kern w:val="0"/>
          <w:lang w:eastAsia="en-GB"/>
          <w14:ligatures w14:val="none"/>
        </w:rPr>
        <w:t>Lastly, it is essential to assess the overall effectiveness of early intervention strategies within the United Kingdom critically. Although there is substantial evidence supporting the advantages of early intervention (Heckman, 2006), the execution of these strategies is often inconsistent. Fragmentation among services, insufficient funding, and inadequate integration between health, educational, and social care systems present notable challenges (Frith, 2016). Furthermore, early intervention is sometimes narrowly defined by age rather than by the timing of support in relation to individual needs (Allen, 2011). This limitation can lead to missed opportunities for timely assistance.</w:t>
      </w:r>
    </w:p>
    <w:p w14:paraId="249386D7" w14:textId="77777777" w:rsidR="005C0627" w:rsidRPr="00736F20" w:rsidRDefault="005C0627" w:rsidP="005C0627">
      <w:pPr>
        <w:spacing w:line="360" w:lineRule="auto"/>
        <w:rPr>
          <w:rFonts w:eastAsia="Times New Roman"/>
          <w:kern w:val="0"/>
          <w:lang w:eastAsia="en-GB"/>
          <w14:ligatures w14:val="none"/>
        </w:rPr>
      </w:pPr>
    </w:p>
    <w:p w14:paraId="4CA77DFD" w14:textId="4AA8BEBF" w:rsidR="00A46EB0" w:rsidRPr="00736F20" w:rsidRDefault="005C0627" w:rsidP="005C0627">
      <w:pPr>
        <w:spacing w:line="360" w:lineRule="auto"/>
        <w:rPr>
          <w:rFonts w:eastAsia="Times New Roman"/>
          <w:kern w:val="0"/>
          <w:lang w:eastAsia="en-GB"/>
          <w14:ligatures w14:val="none"/>
        </w:rPr>
      </w:pPr>
      <w:r w:rsidRPr="00736F20">
        <w:rPr>
          <w:rFonts w:eastAsia="Times New Roman"/>
          <w:kern w:val="0"/>
          <w:lang w:eastAsia="en-GB"/>
          <w14:ligatures w14:val="none"/>
        </w:rPr>
        <w:lastRenderedPageBreak/>
        <w:t>In conclusion, this comprehensive discussion further highlights the complexity of childhood mental health issues and the multifaceted nature of early intervention. Elements such as educational contexts, cultural diversity, gender variances, protective factors, and digital environments are all vital in influencing children’s mental well-being. Although policy frameworks in the UK exhibit a strong commitment to early intervention, significant hurdles remain in translating these principles into effective practice. Addressing these challenges necessitates a more integrated, inclusive, and evidence-based approach to promoting children’s mental health.</w:t>
      </w:r>
    </w:p>
    <w:p w14:paraId="15304DA2" w14:textId="77777777" w:rsidR="005C0627" w:rsidRPr="00736F20" w:rsidRDefault="005C0627" w:rsidP="005C0627">
      <w:pPr>
        <w:spacing w:line="360" w:lineRule="auto"/>
        <w:rPr>
          <w:rFonts w:eastAsia="Times New Roman"/>
          <w:kern w:val="0"/>
          <w:lang w:eastAsia="en-GB"/>
          <w14:ligatures w14:val="none"/>
        </w:rPr>
      </w:pPr>
    </w:p>
    <w:p w14:paraId="3685EB5D" w14:textId="77777777" w:rsidR="005C0627" w:rsidRPr="00736F20" w:rsidRDefault="005C0627" w:rsidP="005C0627">
      <w:pPr>
        <w:spacing w:line="360" w:lineRule="auto"/>
        <w:rPr>
          <w:rFonts w:eastAsia="Times New Roman"/>
          <w:kern w:val="0"/>
          <w:lang w:eastAsia="en-GB"/>
          <w14:ligatures w14:val="none"/>
        </w:rPr>
      </w:pPr>
    </w:p>
    <w:p w14:paraId="71B34446" w14:textId="77777777" w:rsidR="005C0627" w:rsidRPr="00736F20" w:rsidRDefault="005C0627" w:rsidP="005C0627">
      <w:pPr>
        <w:spacing w:line="360" w:lineRule="auto"/>
        <w:rPr>
          <w:rFonts w:eastAsia="Times New Roman"/>
          <w:kern w:val="0"/>
          <w:lang w:eastAsia="en-GB"/>
          <w14:ligatures w14:val="none"/>
        </w:rPr>
      </w:pPr>
    </w:p>
    <w:p w14:paraId="4ABF9F22" w14:textId="77777777" w:rsidR="005C0627" w:rsidRPr="00736F20" w:rsidRDefault="005C0627" w:rsidP="005C0627">
      <w:pPr>
        <w:spacing w:line="360" w:lineRule="auto"/>
        <w:rPr>
          <w:rFonts w:eastAsia="Times New Roman"/>
          <w:kern w:val="0"/>
          <w:lang w:eastAsia="en-GB"/>
          <w14:ligatures w14:val="none"/>
        </w:rPr>
      </w:pPr>
    </w:p>
    <w:p w14:paraId="6333D7CB" w14:textId="77777777" w:rsidR="005C0627" w:rsidRPr="00736F20" w:rsidRDefault="005C0627" w:rsidP="005C0627">
      <w:pPr>
        <w:spacing w:line="360" w:lineRule="auto"/>
        <w:rPr>
          <w:rFonts w:eastAsia="Times New Roman"/>
          <w:kern w:val="0"/>
          <w:lang w:eastAsia="en-GB"/>
          <w14:ligatures w14:val="none"/>
        </w:rPr>
      </w:pPr>
    </w:p>
    <w:p w14:paraId="78D5C8AB" w14:textId="77777777" w:rsidR="005C0627" w:rsidRPr="00736F20" w:rsidRDefault="005C0627" w:rsidP="005C0627">
      <w:pPr>
        <w:spacing w:line="360" w:lineRule="auto"/>
        <w:rPr>
          <w:rFonts w:eastAsia="Times New Roman"/>
          <w:kern w:val="0"/>
          <w:lang w:eastAsia="en-GB"/>
          <w14:ligatures w14:val="none"/>
        </w:rPr>
      </w:pPr>
    </w:p>
    <w:p w14:paraId="20E4C402" w14:textId="77777777" w:rsidR="005C0627" w:rsidRPr="00736F20" w:rsidRDefault="005C0627" w:rsidP="005C0627">
      <w:pPr>
        <w:spacing w:line="360" w:lineRule="auto"/>
        <w:rPr>
          <w:rFonts w:eastAsia="Times New Roman"/>
          <w:kern w:val="0"/>
          <w:lang w:eastAsia="en-GB"/>
          <w14:ligatures w14:val="none"/>
        </w:rPr>
      </w:pPr>
    </w:p>
    <w:p w14:paraId="654E210B" w14:textId="77777777" w:rsidR="00F846DD" w:rsidRPr="00736F20" w:rsidRDefault="00F846DD" w:rsidP="005C0627">
      <w:pPr>
        <w:spacing w:line="360" w:lineRule="auto"/>
        <w:rPr>
          <w:rFonts w:eastAsia="Times New Roman"/>
          <w:kern w:val="0"/>
          <w:lang w:eastAsia="en-GB"/>
          <w14:ligatures w14:val="none"/>
        </w:rPr>
      </w:pPr>
    </w:p>
    <w:p w14:paraId="71F6A1C2" w14:textId="77777777" w:rsidR="00F846DD" w:rsidRPr="00736F20" w:rsidRDefault="00F846DD" w:rsidP="005C0627">
      <w:pPr>
        <w:spacing w:line="360" w:lineRule="auto"/>
        <w:rPr>
          <w:rFonts w:eastAsia="Times New Roman"/>
          <w:kern w:val="0"/>
          <w:lang w:eastAsia="en-GB"/>
          <w14:ligatures w14:val="none"/>
        </w:rPr>
      </w:pPr>
    </w:p>
    <w:p w14:paraId="67017EE5" w14:textId="77777777" w:rsidR="00F846DD" w:rsidRPr="00736F20" w:rsidRDefault="00F846DD" w:rsidP="005C0627">
      <w:pPr>
        <w:spacing w:line="360" w:lineRule="auto"/>
        <w:rPr>
          <w:rFonts w:eastAsia="Times New Roman"/>
          <w:kern w:val="0"/>
          <w:lang w:eastAsia="en-GB"/>
          <w14:ligatures w14:val="none"/>
        </w:rPr>
      </w:pPr>
    </w:p>
    <w:p w14:paraId="78ECA441" w14:textId="77777777" w:rsidR="00F846DD" w:rsidRPr="00736F20" w:rsidRDefault="00F846DD" w:rsidP="005C0627">
      <w:pPr>
        <w:spacing w:line="360" w:lineRule="auto"/>
        <w:rPr>
          <w:rFonts w:eastAsia="Times New Roman"/>
          <w:kern w:val="0"/>
          <w:lang w:eastAsia="en-GB"/>
          <w14:ligatures w14:val="none"/>
        </w:rPr>
      </w:pPr>
    </w:p>
    <w:p w14:paraId="54ED75A4" w14:textId="77777777" w:rsidR="00F846DD" w:rsidRPr="00736F20" w:rsidRDefault="00F846DD" w:rsidP="005C0627">
      <w:pPr>
        <w:spacing w:line="360" w:lineRule="auto"/>
        <w:rPr>
          <w:rFonts w:eastAsia="Times New Roman"/>
          <w:kern w:val="0"/>
          <w:lang w:eastAsia="en-GB"/>
          <w14:ligatures w14:val="none"/>
        </w:rPr>
      </w:pPr>
    </w:p>
    <w:p w14:paraId="4FBAE4C6" w14:textId="77777777" w:rsidR="00F846DD" w:rsidRPr="00736F20" w:rsidRDefault="00F846DD" w:rsidP="005C0627">
      <w:pPr>
        <w:spacing w:line="360" w:lineRule="auto"/>
        <w:rPr>
          <w:rFonts w:eastAsia="Times New Roman"/>
          <w:kern w:val="0"/>
          <w:lang w:eastAsia="en-GB"/>
          <w14:ligatures w14:val="none"/>
        </w:rPr>
      </w:pPr>
    </w:p>
    <w:p w14:paraId="7AA4FE23" w14:textId="77777777" w:rsidR="00F846DD" w:rsidRPr="00736F20" w:rsidRDefault="00F846DD" w:rsidP="005C0627">
      <w:pPr>
        <w:spacing w:line="360" w:lineRule="auto"/>
        <w:rPr>
          <w:rFonts w:eastAsia="Times New Roman"/>
          <w:kern w:val="0"/>
          <w:lang w:eastAsia="en-GB"/>
          <w14:ligatures w14:val="none"/>
        </w:rPr>
      </w:pPr>
    </w:p>
    <w:p w14:paraId="44B10AB3" w14:textId="77777777" w:rsidR="00F846DD" w:rsidRPr="00736F20" w:rsidRDefault="00F846DD" w:rsidP="005C0627">
      <w:pPr>
        <w:spacing w:line="360" w:lineRule="auto"/>
        <w:rPr>
          <w:rFonts w:eastAsia="Times New Roman"/>
          <w:kern w:val="0"/>
          <w:lang w:eastAsia="en-GB"/>
          <w14:ligatures w14:val="none"/>
        </w:rPr>
      </w:pPr>
    </w:p>
    <w:p w14:paraId="75740CF7" w14:textId="77777777" w:rsidR="00F846DD" w:rsidRPr="00736F20" w:rsidRDefault="00F846DD" w:rsidP="005C0627">
      <w:pPr>
        <w:spacing w:line="360" w:lineRule="auto"/>
        <w:rPr>
          <w:rFonts w:eastAsia="Times New Roman"/>
          <w:kern w:val="0"/>
          <w:lang w:eastAsia="en-GB"/>
          <w14:ligatures w14:val="none"/>
        </w:rPr>
      </w:pPr>
    </w:p>
    <w:p w14:paraId="3F0CA4EC" w14:textId="77777777" w:rsidR="00F846DD" w:rsidRPr="00736F20" w:rsidRDefault="00F846DD" w:rsidP="005C0627">
      <w:pPr>
        <w:spacing w:line="360" w:lineRule="auto"/>
        <w:rPr>
          <w:rFonts w:eastAsia="Times New Roman"/>
          <w:kern w:val="0"/>
          <w:lang w:eastAsia="en-GB"/>
          <w14:ligatures w14:val="none"/>
        </w:rPr>
      </w:pPr>
    </w:p>
    <w:p w14:paraId="5658C062" w14:textId="77777777" w:rsidR="00F846DD" w:rsidRPr="00736F20" w:rsidRDefault="00F846DD" w:rsidP="005C0627">
      <w:pPr>
        <w:spacing w:line="360" w:lineRule="auto"/>
        <w:rPr>
          <w:rFonts w:eastAsia="Times New Roman"/>
          <w:kern w:val="0"/>
          <w:lang w:eastAsia="en-GB"/>
          <w14:ligatures w14:val="none"/>
        </w:rPr>
      </w:pPr>
    </w:p>
    <w:p w14:paraId="1AD23203" w14:textId="77777777" w:rsidR="00F846DD" w:rsidRPr="00736F20" w:rsidRDefault="00F846DD" w:rsidP="005C0627">
      <w:pPr>
        <w:spacing w:line="360" w:lineRule="auto"/>
        <w:rPr>
          <w:rFonts w:eastAsia="Times New Roman"/>
          <w:kern w:val="0"/>
          <w:lang w:eastAsia="en-GB"/>
          <w14:ligatures w14:val="none"/>
        </w:rPr>
      </w:pPr>
    </w:p>
    <w:p w14:paraId="6F9D2F8B" w14:textId="77777777" w:rsidR="00F846DD" w:rsidRPr="00736F20" w:rsidRDefault="00F846DD" w:rsidP="005C0627">
      <w:pPr>
        <w:spacing w:line="360" w:lineRule="auto"/>
        <w:rPr>
          <w:rFonts w:eastAsia="Times New Roman"/>
          <w:kern w:val="0"/>
          <w:lang w:eastAsia="en-GB"/>
          <w14:ligatures w14:val="none"/>
        </w:rPr>
      </w:pPr>
    </w:p>
    <w:p w14:paraId="6CCD7D78" w14:textId="59527D8D" w:rsidR="00A46EB0" w:rsidRPr="00A46EB0" w:rsidRDefault="00A46EB0" w:rsidP="00A46EB0">
      <w:pPr>
        <w:spacing w:line="360" w:lineRule="auto"/>
        <w:rPr>
          <w:b/>
          <w:bCs/>
        </w:rPr>
      </w:pPr>
      <w:r w:rsidRPr="00A46EB0">
        <w:rPr>
          <w:b/>
          <w:bCs/>
        </w:rPr>
        <w:lastRenderedPageBreak/>
        <w:t xml:space="preserve">REFERENCES </w:t>
      </w:r>
    </w:p>
    <w:p w14:paraId="490E374E" w14:textId="77777777" w:rsidR="00A46EB0" w:rsidRPr="00736F20" w:rsidRDefault="00A46EB0" w:rsidP="00201B05">
      <w:pPr>
        <w:spacing w:line="360" w:lineRule="auto"/>
        <w:ind w:left="360"/>
      </w:pPr>
      <w:r w:rsidRPr="00736F20">
        <w:t xml:space="preserve">Achenbach, T.M. and Edelbrock, C. (1978) ‘The classification of child psychopathology: A review and analysis of empirical efforts’, </w:t>
      </w:r>
      <w:r w:rsidRPr="00736F20">
        <w:rPr>
          <w:i/>
          <w:iCs/>
        </w:rPr>
        <w:t>Psychological Bulletin</w:t>
      </w:r>
      <w:r w:rsidRPr="00736F20">
        <w:t>, 85(6), pp. 1275–1301.</w:t>
      </w:r>
    </w:p>
    <w:p w14:paraId="416C8E17" w14:textId="77777777" w:rsidR="00A46EB0" w:rsidRPr="00736F20" w:rsidRDefault="00A46EB0" w:rsidP="00201B05">
      <w:pPr>
        <w:spacing w:line="360" w:lineRule="auto"/>
        <w:ind w:left="360"/>
      </w:pPr>
      <w:r w:rsidRPr="00736F20">
        <w:t xml:space="preserve">Ainsworth, M.D.S., </w:t>
      </w:r>
      <w:proofErr w:type="spellStart"/>
      <w:r w:rsidRPr="00736F20">
        <w:t>Blehar</w:t>
      </w:r>
      <w:proofErr w:type="spellEnd"/>
      <w:r w:rsidRPr="00736F20">
        <w:t xml:space="preserve">, M.C., Waters, E. and Wall, S. (1978) </w:t>
      </w:r>
      <w:r w:rsidRPr="00736F20">
        <w:rPr>
          <w:i/>
          <w:iCs/>
        </w:rPr>
        <w:t>Patterns of attachment: A psychological study of the strange situation</w:t>
      </w:r>
      <w:r w:rsidRPr="00736F20">
        <w:t>. Hillsdale: Lawrence Erlbaum Associates.</w:t>
      </w:r>
    </w:p>
    <w:p w14:paraId="7C93F1A0" w14:textId="77777777" w:rsidR="00A46EB0" w:rsidRPr="00736F20" w:rsidRDefault="00A46EB0" w:rsidP="00201B05">
      <w:pPr>
        <w:spacing w:line="360" w:lineRule="auto"/>
        <w:ind w:left="360"/>
      </w:pPr>
      <w:r w:rsidRPr="00736F20">
        <w:t xml:space="preserve">Allen, G. (2011) </w:t>
      </w:r>
      <w:r w:rsidRPr="00736F20">
        <w:rPr>
          <w:i/>
          <w:iCs/>
        </w:rPr>
        <w:t>Early intervention: The next steps</w:t>
      </w:r>
      <w:r w:rsidRPr="00736F20">
        <w:t>. London: HM Government.</w:t>
      </w:r>
    </w:p>
    <w:p w14:paraId="52A98F32" w14:textId="77777777" w:rsidR="00A46EB0" w:rsidRPr="00736F20" w:rsidRDefault="00A46EB0" w:rsidP="00201B05">
      <w:pPr>
        <w:spacing w:line="360" w:lineRule="auto"/>
        <w:ind w:left="360"/>
      </w:pPr>
      <w:r w:rsidRPr="00736F20">
        <w:t xml:space="preserve">American Psychiatric Association (2013) </w:t>
      </w:r>
      <w:r w:rsidRPr="00736F20">
        <w:rPr>
          <w:i/>
          <w:iCs/>
        </w:rPr>
        <w:t>Diagnostic and statistical manual of mental disorders (DSM-5)</w:t>
      </w:r>
      <w:r w:rsidRPr="00736F20">
        <w:t xml:space="preserve">. 5th </w:t>
      </w:r>
      <w:proofErr w:type="spellStart"/>
      <w:r w:rsidRPr="00736F20">
        <w:t>edn</w:t>
      </w:r>
      <w:proofErr w:type="spellEnd"/>
      <w:r w:rsidRPr="00736F20">
        <w:t>. Washington, DC: APA.</w:t>
      </w:r>
    </w:p>
    <w:p w14:paraId="4DE7459C" w14:textId="77777777" w:rsidR="00A46EB0" w:rsidRPr="00736F20" w:rsidRDefault="00A46EB0" w:rsidP="00201B05">
      <w:pPr>
        <w:spacing w:line="360" w:lineRule="auto"/>
        <w:ind w:left="360"/>
      </w:pPr>
      <w:r w:rsidRPr="00736F20">
        <w:t xml:space="preserve">Angold, A., Costello, E.J. and </w:t>
      </w:r>
      <w:proofErr w:type="spellStart"/>
      <w:r w:rsidRPr="00736F20">
        <w:t>Erkanli</w:t>
      </w:r>
      <w:proofErr w:type="spellEnd"/>
      <w:r w:rsidRPr="00736F20">
        <w:t xml:space="preserve">, A. (1999) ‘Comorbidity’, </w:t>
      </w:r>
      <w:r w:rsidRPr="00736F20">
        <w:rPr>
          <w:i/>
          <w:iCs/>
        </w:rPr>
        <w:t>Journal of Child Psychology and Psychiatry</w:t>
      </w:r>
      <w:r w:rsidRPr="00736F20">
        <w:t>, 40(1), pp. 57–87.</w:t>
      </w:r>
    </w:p>
    <w:p w14:paraId="3C664059" w14:textId="77777777" w:rsidR="00A46EB0" w:rsidRPr="00736F20" w:rsidRDefault="00A46EB0" w:rsidP="00201B05">
      <w:pPr>
        <w:spacing w:line="360" w:lineRule="auto"/>
        <w:ind w:left="360"/>
      </w:pPr>
      <w:r w:rsidRPr="00736F20">
        <w:t xml:space="preserve">Arseneault, L. (2018) ‘Annual research review: The persistent and pervasive impact of being bullied in childhood and adolescence’, </w:t>
      </w:r>
      <w:r w:rsidRPr="00736F20">
        <w:rPr>
          <w:i/>
          <w:iCs/>
        </w:rPr>
        <w:t>The Lancet Psychiatry</w:t>
      </w:r>
      <w:r w:rsidRPr="00736F20">
        <w:t>, 5(9), pp. 717–729.</w:t>
      </w:r>
    </w:p>
    <w:p w14:paraId="39BF6588" w14:textId="77777777" w:rsidR="00A46EB0" w:rsidRPr="00736F20" w:rsidRDefault="00A46EB0" w:rsidP="00201B05">
      <w:pPr>
        <w:spacing w:line="360" w:lineRule="auto"/>
        <w:ind w:left="360"/>
      </w:pPr>
      <w:r w:rsidRPr="00736F20">
        <w:t xml:space="preserve">Atkinson, M., Jones, M. and Lamont, E. (2007) </w:t>
      </w:r>
      <w:r w:rsidRPr="00736F20">
        <w:rPr>
          <w:i/>
          <w:iCs/>
        </w:rPr>
        <w:t>Multi-agency working and its implications for practice</w:t>
      </w:r>
      <w:r w:rsidRPr="00736F20">
        <w:t>. Slough: NFER.</w:t>
      </w:r>
    </w:p>
    <w:p w14:paraId="7EA6EC04" w14:textId="77777777" w:rsidR="00A46EB0" w:rsidRPr="00736F20" w:rsidRDefault="00A46EB0" w:rsidP="00201B05">
      <w:pPr>
        <w:spacing w:line="360" w:lineRule="auto"/>
        <w:ind w:left="360"/>
      </w:pPr>
      <w:r w:rsidRPr="00736F20">
        <w:t xml:space="preserve">Beck, A.T. (1976) </w:t>
      </w:r>
      <w:r w:rsidRPr="00736F20">
        <w:rPr>
          <w:i/>
          <w:iCs/>
        </w:rPr>
        <w:t>Cognitive therapy and the emotional disorders</w:t>
      </w:r>
      <w:r w:rsidRPr="00736F20">
        <w:t>. New York: Penguin.</w:t>
      </w:r>
    </w:p>
    <w:p w14:paraId="64B95EF2" w14:textId="77777777" w:rsidR="00A46EB0" w:rsidRPr="00736F20" w:rsidRDefault="00A46EB0" w:rsidP="00201B05">
      <w:pPr>
        <w:spacing w:line="360" w:lineRule="auto"/>
        <w:ind w:left="360"/>
      </w:pPr>
      <w:r w:rsidRPr="00736F20">
        <w:t xml:space="preserve">Braun, V. and Clarke, V. (2006) ‘Using thematic analysis in psychology’, </w:t>
      </w:r>
      <w:r w:rsidRPr="00736F20">
        <w:rPr>
          <w:i/>
          <w:iCs/>
        </w:rPr>
        <w:t>Qualitative Research in Psychology</w:t>
      </w:r>
      <w:r w:rsidRPr="00736F20">
        <w:t>, 3(2), pp. 77–101.</w:t>
      </w:r>
    </w:p>
    <w:p w14:paraId="367C4FBE" w14:textId="77777777" w:rsidR="00A46EB0" w:rsidRPr="00736F20" w:rsidRDefault="00A46EB0" w:rsidP="00201B05">
      <w:pPr>
        <w:spacing w:line="360" w:lineRule="auto"/>
        <w:ind w:left="360"/>
      </w:pPr>
      <w:r w:rsidRPr="00736F20">
        <w:t xml:space="preserve">Carr, A. (2016) </w:t>
      </w:r>
      <w:r w:rsidRPr="00736F20">
        <w:rPr>
          <w:i/>
          <w:iCs/>
        </w:rPr>
        <w:t>The handbook of child and adolescent clinical psychology: A contextual approach</w:t>
      </w:r>
      <w:r w:rsidRPr="00736F20">
        <w:t xml:space="preserve">. 3rd </w:t>
      </w:r>
      <w:proofErr w:type="spellStart"/>
      <w:r w:rsidRPr="00736F20">
        <w:t>edn</w:t>
      </w:r>
      <w:proofErr w:type="spellEnd"/>
      <w:r w:rsidRPr="00736F20">
        <w:t>. London: Routledge.</w:t>
      </w:r>
    </w:p>
    <w:p w14:paraId="5A0C0017" w14:textId="77777777" w:rsidR="00A46EB0" w:rsidRPr="00736F20" w:rsidRDefault="00A46EB0" w:rsidP="00201B05">
      <w:pPr>
        <w:spacing w:line="360" w:lineRule="auto"/>
        <w:ind w:left="360"/>
      </w:pPr>
      <w:r w:rsidRPr="00736F20">
        <w:t xml:space="preserve">Children’s Commissioner (2020) </w:t>
      </w:r>
      <w:r w:rsidRPr="00736F20">
        <w:rPr>
          <w:i/>
          <w:iCs/>
        </w:rPr>
        <w:t>The state of children’s mental health services 2020/21</w:t>
      </w:r>
      <w:r w:rsidRPr="00736F20">
        <w:t>. London: Children’s Commissioner for England.</w:t>
      </w:r>
    </w:p>
    <w:p w14:paraId="196C6AEB" w14:textId="77777777" w:rsidR="00A46EB0" w:rsidRPr="00736F20" w:rsidRDefault="00A46EB0" w:rsidP="00201B05">
      <w:pPr>
        <w:spacing w:line="360" w:lineRule="auto"/>
        <w:ind w:left="360"/>
      </w:pPr>
      <w:r w:rsidRPr="00736F20">
        <w:t xml:space="preserve">Compas, B.E., Jaser, S.S., Bettis, A.H., Watson, K.H., Gruhn, M.A., Dunbar, J.P., Williams, E. and Thigpen, J.C. (2017) ‘Coping, emotion regulation, and psychopathology in childhood and adolescence’, </w:t>
      </w:r>
      <w:r w:rsidRPr="00736F20">
        <w:rPr>
          <w:i/>
          <w:iCs/>
        </w:rPr>
        <w:t>Psychological Bulletin</w:t>
      </w:r>
      <w:r w:rsidRPr="00736F20">
        <w:t>, 143(9), pp. 939–991.</w:t>
      </w:r>
    </w:p>
    <w:p w14:paraId="6F4E76CF" w14:textId="77777777" w:rsidR="00A46EB0" w:rsidRPr="00736F20" w:rsidRDefault="00A46EB0" w:rsidP="00201B05">
      <w:pPr>
        <w:spacing w:line="360" w:lineRule="auto"/>
        <w:ind w:left="360"/>
      </w:pPr>
      <w:r w:rsidRPr="00736F20">
        <w:t xml:space="preserve">Costello, E.J., Mustillo, S., </w:t>
      </w:r>
      <w:proofErr w:type="spellStart"/>
      <w:r w:rsidRPr="00736F20">
        <w:t>Erkanli</w:t>
      </w:r>
      <w:proofErr w:type="spellEnd"/>
      <w:r w:rsidRPr="00736F20">
        <w:t xml:space="preserve">, A., Keeler, G. and Angold, A. (2003) ‘Prevalence and development of psychiatric disorders in childhood and adolescence’, </w:t>
      </w:r>
      <w:r w:rsidRPr="00736F20">
        <w:rPr>
          <w:i/>
          <w:iCs/>
        </w:rPr>
        <w:t>Archives of General Psychiatry</w:t>
      </w:r>
      <w:r w:rsidRPr="00736F20">
        <w:t>, 60(8), pp. 837–844.</w:t>
      </w:r>
    </w:p>
    <w:p w14:paraId="3030E14E" w14:textId="77777777" w:rsidR="00A46EB0" w:rsidRPr="00736F20" w:rsidRDefault="00A46EB0" w:rsidP="00201B05">
      <w:pPr>
        <w:spacing w:line="360" w:lineRule="auto"/>
        <w:ind w:left="360"/>
      </w:pPr>
      <w:r w:rsidRPr="00736F20">
        <w:t xml:space="preserve">Crick, N.R. and Zahn-Waxler, C. (2003) ‘The development of psychopathology in females and males’, </w:t>
      </w:r>
      <w:r w:rsidRPr="00736F20">
        <w:rPr>
          <w:i/>
          <w:iCs/>
        </w:rPr>
        <w:t>Development and Psychopathology</w:t>
      </w:r>
      <w:r w:rsidRPr="00736F20">
        <w:t>, 15(3), pp. 719–742.</w:t>
      </w:r>
    </w:p>
    <w:p w14:paraId="5E403BC9" w14:textId="77777777" w:rsidR="00A46EB0" w:rsidRPr="00736F20" w:rsidRDefault="00A46EB0" w:rsidP="00201B05">
      <w:pPr>
        <w:spacing w:line="360" w:lineRule="auto"/>
        <w:ind w:left="360"/>
      </w:pPr>
      <w:r w:rsidRPr="00736F20">
        <w:t xml:space="preserve">Department for Education (2018) </w:t>
      </w:r>
      <w:r w:rsidRPr="00736F20">
        <w:rPr>
          <w:i/>
          <w:iCs/>
        </w:rPr>
        <w:t>Mental health and behaviour in schools</w:t>
      </w:r>
      <w:r w:rsidRPr="00736F20">
        <w:t>. London: DfE.</w:t>
      </w:r>
    </w:p>
    <w:p w14:paraId="61426EAD" w14:textId="77777777" w:rsidR="00A46EB0" w:rsidRPr="00736F20" w:rsidRDefault="00A46EB0" w:rsidP="00201B05">
      <w:pPr>
        <w:spacing w:line="360" w:lineRule="auto"/>
        <w:ind w:left="360"/>
      </w:pPr>
      <w:r w:rsidRPr="00736F20">
        <w:lastRenderedPageBreak/>
        <w:t xml:space="preserve">Dogra, N., </w:t>
      </w:r>
      <w:proofErr w:type="spellStart"/>
      <w:r w:rsidRPr="00736F20">
        <w:t>Vostanis</w:t>
      </w:r>
      <w:proofErr w:type="spellEnd"/>
      <w:r w:rsidRPr="00736F20">
        <w:t xml:space="preserve">, P., Abuateya, H., Jewson, N. and Moussaoui, D. (2012) </w:t>
      </w:r>
      <w:r w:rsidRPr="00736F20">
        <w:rPr>
          <w:i/>
          <w:iCs/>
        </w:rPr>
        <w:t>Understanding children’s mental health in context</w:t>
      </w:r>
      <w:r w:rsidRPr="00736F20">
        <w:t>. London: Routledge.</w:t>
      </w:r>
    </w:p>
    <w:p w14:paraId="4C9CC8D3" w14:textId="77777777" w:rsidR="00A46EB0" w:rsidRPr="00736F20" w:rsidRDefault="00A46EB0" w:rsidP="00201B05">
      <w:pPr>
        <w:spacing w:line="360" w:lineRule="auto"/>
        <w:ind w:left="360"/>
      </w:pPr>
      <w:r w:rsidRPr="00736F20">
        <w:t xml:space="preserve">Durlak, J.A., Weissberg, R.P., </w:t>
      </w:r>
      <w:proofErr w:type="spellStart"/>
      <w:r w:rsidRPr="00736F20">
        <w:t>Dymnicki</w:t>
      </w:r>
      <w:proofErr w:type="spellEnd"/>
      <w:r w:rsidRPr="00736F20">
        <w:t xml:space="preserve">, A.B., Taylor, R.D. and Schellinger, K.B. (2011) ‘The impact of enhancing students’ social and emotional learning’, </w:t>
      </w:r>
      <w:r w:rsidRPr="00736F20">
        <w:rPr>
          <w:i/>
          <w:iCs/>
        </w:rPr>
        <w:t>Child Development</w:t>
      </w:r>
      <w:r w:rsidRPr="00736F20">
        <w:t>, 82(1), pp. 405–432.</w:t>
      </w:r>
    </w:p>
    <w:p w14:paraId="35D128A9" w14:textId="77777777" w:rsidR="00A46EB0" w:rsidRPr="00736F20" w:rsidRDefault="00A46EB0" w:rsidP="00201B05">
      <w:pPr>
        <w:spacing w:line="360" w:lineRule="auto"/>
        <w:ind w:left="360"/>
      </w:pPr>
      <w:r w:rsidRPr="00736F20">
        <w:t xml:space="preserve">Eccles, J.S. (1999) ‘The development of children ages 6 to 14’, </w:t>
      </w:r>
      <w:r w:rsidRPr="00736F20">
        <w:rPr>
          <w:i/>
          <w:iCs/>
        </w:rPr>
        <w:t>The Future of Children</w:t>
      </w:r>
      <w:r w:rsidRPr="00736F20">
        <w:t>, 9(2), pp. 30–44.</w:t>
      </w:r>
    </w:p>
    <w:p w14:paraId="3411A55A" w14:textId="77777777" w:rsidR="00A46EB0" w:rsidRPr="00736F20" w:rsidRDefault="00A46EB0" w:rsidP="00201B05">
      <w:pPr>
        <w:spacing w:line="360" w:lineRule="auto"/>
        <w:ind w:left="360"/>
      </w:pPr>
      <w:r w:rsidRPr="00736F20">
        <w:t xml:space="preserve">Engel, G.L. (1977) ‘The need for a new medical model: A challenge for biomedicine’, </w:t>
      </w:r>
      <w:r w:rsidRPr="00736F20">
        <w:rPr>
          <w:i/>
          <w:iCs/>
        </w:rPr>
        <w:t>Science</w:t>
      </w:r>
      <w:r w:rsidRPr="00736F20">
        <w:t>, 196(4286), pp. 129–136.</w:t>
      </w:r>
    </w:p>
    <w:p w14:paraId="24012BE3" w14:textId="77777777" w:rsidR="00A46EB0" w:rsidRPr="00736F20" w:rsidRDefault="00A46EB0" w:rsidP="00201B05">
      <w:pPr>
        <w:spacing w:line="360" w:lineRule="auto"/>
        <w:ind w:left="360"/>
      </w:pPr>
      <w:r w:rsidRPr="00736F20">
        <w:t xml:space="preserve">Essau, C.A., Conradt, J. and Petermann, F. (2010) </w:t>
      </w:r>
      <w:r w:rsidRPr="00736F20">
        <w:rPr>
          <w:i/>
          <w:iCs/>
        </w:rPr>
        <w:t>Anxiety disorders in children and adolescents</w:t>
      </w:r>
      <w:r w:rsidRPr="00736F20">
        <w:t>. London: Routledge.</w:t>
      </w:r>
    </w:p>
    <w:p w14:paraId="5BFD7429" w14:textId="77777777" w:rsidR="00A46EB0" w:rsidRPr="00736F20" w:rsidRDefault="00A46EB0" w:rsidP="00201B05">
      <w:pPr>
        <w:spacing w:line="360" w:lineRule="auto"/>
        <w:ind w:left="360"/>
      </w:pPr>
      <w:r w:rsidRPr="00736F20">
        <w:t xml:space="preserve">Evans, G.W. and Kim, P. (2013) ‘Childhood poverty, chronic stress, self-regulation, and coping’, </w:t>
      </w:r>
      <w:r w:rsidRPr="00736F20">
        <w:rPr>
          <w:i/>
          <w:iCs/>
        </w:rPr>
        <w:t>Child Development Perspectives</w:t>
      </w:r>
      <w:r w:rsidRPr="00736F20">
        <w:t>, 7(1), pp. 43–48.</w:t>
      </w:r>
    </w:p>
    <w:p w14:paraId="255E3ACA" w14:textId="77777777" w:rsidR="00A46EB0" w:rsidRPr="00736F20" w:rsidRDefault="00A46EB0" w:rsidP="00201B05">
      <w:pPr>
        <w:spacing w:line="360" w:lineRule="auto"/>
        <w:ind w:left="360"/>
      </w:pPr>
      <w:r w:rsidRPr="00736F20">
        <w:t xml:space="preserve">Fearon, R.P., </w:t>
      </w:r>
      <w:proofErr w:type="spellStart"/>
      <w:r w:rsidRPr="00736F20">
        <w:t>Bakermans</w:t>
      </w:r>
      <w:proofErr w:type="spellEnd"/>
      <w:r w:rsidRPr="00736F20">
        <w:t xml:space="preserve">-Kranenburg, M.J., van </w:t>
      </w:r>
      <w:proofErr w:type="spellStart"/>
      <w:r w:rsidRPr="00736F20">
        <w:t>IJzendoorn</w:t>
      </w:r>
      <w:proofErr w:type="spellEnd"/>
      <w:r w:rsidRPr="00736F20">
        <w:t xml:space="preserve">, M.H., Lapsley, A.M. and Roisman, G.I. (2010) ‘The significance of insecure attachment’, </w:t>
      </w:r>
      <w:r w:rsidRPr="00736F20">
        <w:rPr>
          <w:i/>
          <w:iCs/>
        </w:rPr>
        <w:t>Journal of Child Psychology and Psychiatry</w:t>
      </w:r>
      <w:r w:rsidRPr="00736F20">
        <w:t>, 51(5), pp. 435–456.</w:t>
      </w:r>
    </w:p>
    <w:p w14:paraId="2B020E75" w14:textId="77777777" w:rsidR="00A46EB0" w:rsidRPr="00736F20" w:rsidRDefault="00A46EB0" w:rsidP="00201B05">
      <w:pPr>
        <w:spacing w:line="360" w:lineRule="auto"/>
        <w:ind w:left="360"/>
      </w:pPr>
      <w:r w:rsidRPr="00736F20">
        <w:t xml:space="preserve">Fernando, S. (2017) </w:t>
      </w:r>
      <w:r w:rsidRPr="00736F20">
        <w:rPr>
          <w:i/>
          <w:iCs/>
        </w:rPr>
        <w:t>Mental health worldwide: Culture, globalisation and development</w:t>
      </w:r>
      <w:r w:rsidRPr="00736F20">
        <w:t>. London: Palgrave.</w:t>
      </w:r>
    </w:p>
    <w:p w14:paraId="08F16564" w14:textId="77777777" w:rsidR="00A46EB0" w:rsidRPr="00736F20" w:rsidRDefault="00A46EB0" w:rsidP="00201B05">
      <w:pPr>
        <w:spacing w:line="360" w:lineRule="auto"/>
        <w:ind w:left="360"/>
      </w:pPr>
      <w:r w:rsidRPr="00736F20">
        <w:t xml:space="preserve">Fombonne, E. (2009) ‘Epidemiology of pervasive developmental disorders’, </w:t>
      </w:r>
      <w:proofErr w:type="spellStart"/>
      <w:r w:rsidRPr="00736F20">
        <w:rPr>
          <w:i/>
          <w:iCs/>
        </w:rPr>
        <w:t>Pediatric</w:t>
      </w:r>
      <w:proofErr w:type="spellEnd"/>
      <w:r w:rsidRPr="00736F20">
        <w:rPr>
          <w:i/>
          <w:iCs/>
        </w:rPr>
        <w:t xml:space="preserve"> Research</w:t>
      </w:r>
      <w:r w:rsidRPr="00736F20">
        <w:t>, 65(6), pp. 591–598.</w:t>
      </w:r>
    </w:p>
    <w:p w14:paraId="2FCB5A5D" w14:textId="77777777" w:rsidR="00A46EB0" w:rsidRPr="00736F20" w:rsidRDefault="00A46EB0" w:rsidP="00201B05">
      <w:pPr>
        <w:spacing w:line="360" w:lineRule="auto"/>
        <w:ind w:left="360"/>
      </w:pPr>
      <w:r w:rsidRPr="00736F20">
        <w:t xml:space="preserve">Ford, T., Hayes, R., Byford, S., Edwards, V., Fletcher, M., Logan, S., </w:t>
      </w:r>
      <w:proofErr w:type="spellStart"/>
      <w:r w:rsidRPr="00736F20">
        <w:t>Ukoumunne</w:t>
      </w:r>
      <w:proofErr w:type="spellEnd"/>
      <w:r w:rsidRPr="00736F20">
        <w:t xml:space="preserve">, O. and Downs, A. (2021) ‘The effectiveness of school-based mental health interventions’, </w:t>
      </w:r>
      <w:r w:rsidRPr="00736F20">
        <w:rPr>
          <w:i/>
          <w:iCs/>
        </w:rPr>
        <w:t>The Lancet Psychiatry</w:t>
      </w:r>
      <w:r w:rsidRPr="00736F20">
        <w:t>, 8(5), pp. 383–395.</w:t>
      </w:r>
    </w:p>
    <w:p w14:paraId="27565BA2" w14:textId="77777777" w:rsidR="00A46EB0" w:rsidRPr="00736F20" w:rsidRDefault="00A46EB0" w:rsidP="00201B05">
      <w:pPr>
        <w:spacing w:line="360" w:lineRule="auto"/>
        <w:ind w:left="360"/>
      </w:pPr>
      <w:r w:rsidRPr="00736F20">
        <w:t xml:space="preserve">Frith, E. (2016) </w:t>
      </w:r>
      <w:r w:rsidRPr="00736F20">
        <w:rPr>
          <w:i/>
          <w:iCs/>
        </w:rPr>
        <w:t>Children and young people’s mental health: State of the nation</w:t>
      </w:r>
      <w:r w:rsidRPr="00736F20">
        <w:t>. London: Education Policy Institute.</w:t>
      </w:r>
    </w:p>
    <w:p w14:paraId="37061205" w14:textId="77777777" w:rsidR="00A46EB0" w:rsidRPr="00736F20" w:rsidRDefault="00A46EB0" w:rsidP="00201B05">
      <w:pPr>
        <w:spacing w:line="360" w:lineRule="auto"/>
        <w:ind w:left="360"/>
      </w:pPr>
      <w:r w:rsidRPr="00736F20">
        <w:t xml:space="preserve">Goodman, A., Joyce, R. and Smith, J.P. (2011) ‘The long shadow cast by childhood physical and mental problems’, </w:t>
      </w:r>
      <w:r w:rsidRPr="00736F20">
        <w:rPr>
          <w:i/>
          <w:iCs/>
        </w:rPr>
        <w:t>Proceedings of the National Academy of Sciences</w:t>
      </w:r>
      <w:r w:rsidRPr="00736F20">
        <w:t>, 108(15), pp. 6032–6037.</w:t>
      </w:r>
    </w:p>
    <w:p w14:paraId="7EEE1E2F" w14:textId="77777777" w:rsidR="00A46EB0" w:rsidRPr="00736F20" w:rsidRDefault="00A46EB0" w:rsidP="00201B05">
      <w:pPr>
        <w:spacing w:line="360" w:lineRule="auto"/>
        <w:ind w:left="360"/>
      </w:pPr>
      <w:r w:rsidRPr="00736F20">
        <w:t xml:space="preserve">Gross, J.J. (2015) </w:t>
      </w:r>
      <w:r w:rsidRPr="00736F20">
        <w:rPr>
          <w:i/>
          <w:iCs/>
        </w:rPr>
        <w:t>Emotion regulation: Current status and future prospects</w:t>
      </w:r>
      <w:r w:rsidRPr="00736F20">
        <w:t>. New York: Guilford Press.</w:t>
      </w:r>
    </w:p>
    <w:p w14:paraId="1008DF26" w14:textId="77777777" w:rsidR="00A46EB0" w:rsidRPr="00736F20" w:rsidRDefault="00A46EB0" w:rsidP="00201B05">
      <w:pPr>
        <w:spacing w:line="360" w:lineRule="auto"/>
        <w:ind w:left="360"/>
      </w:pPr>
      <w:r w:rsidRPr="00736F20">
        <w:lastRenderedPageBreak/>
        <w:t xml:space="preserve">Heckman, J.J. (2006) ‘Skill formation and the economics of investing in disadvantaged children’, </w:t>
      </w:r>
      <w:r w:rsidRPr="00736F20">
        <w:rPr>
          <w:i/>
          <w:iCs/>
        </w:rPr>
        <w:t>Science</w:t>
      </w:r>
      <w:r w:rsidRPr="00736F20">
        <w:t>, 312(5782), pp. 1900–1902.</w:t>
      </w:r>
    </w:p>
    <w:p w14:paraId="3F6561D6" w14:textId="77777777" w:rsidR="00A46EB0" w:rsidRPr="00736F20" w:rsidRDefault="00A46EB0" w:rsidP="00201B05">
      <w:pPr>
        <w:spacing w:line="360" w:lineRule="auto"/>
        <w:ind w:left="360"/>
      </w:pPr>
      <w:r w:rsidRPr="00736F20">
        <w:t xml:space="preserve">Jones, P.B. (2013) ‘Adult mental health disorders and their age at onset’, </w:t>
      </w:r>
      <w:r w:rsidRPr="00736F20">
        <w:rPr>
          <w:i/>
          <w:iCs/>
        </w:rPr>
        <w:t>The British Journal of Psychiatry</w:t>
      </w:r>
      <w:r w:rsidRPr="00736F20">
        <w:t>, 202(s54), pp. s5–s10.</w:t>
      </w:r>
    </w:p>
    <w:p w14:paraId="2F672EF4" w14:textId="77777777" w:rsidR="00A46EB0" w:rsidRPr="00736F20" w:rsidRDefault="00A46EB0" w:rsidP="00201B05">
      <w:pPr>
        <w:spacing w:line="360" w:lineRule="auto"/>
        <w:ind w:left="360"/>
      </w:pPr>
      <w:r w:rsidRPr="00736F20">
        <w:t xml:space="preserve">Joseph, J. (2013) ‘Resilience as embedded neoliberalism’, </w:t>
      </w:r>
      <w:r w:rsidRPr="00736F20">
        <w:rPr>
          <w:i/>
          <w:iCs/>
        </w:rPr>
        <w:t>Resilience</w:t>
      </w:r>
      <w:r w:rsidRPr="00736F20">
        <w:t>, 1(1), pp. 38–52.</w:t>
      </w:r>
    </w:p>
    <w:p w14:paraId="248102CF" w14:textId="77777777" w:rsidR="00A46EB0" w:rsidRPr="00736F20" w:rsidRDefault="00A46EB0" w:rsidP="00201B05">
      <w:pPr>
        <w:spacing w:line="360" w:lineRule="auto"/>
        <w:ind w:left="360"/>
      </w:pPr>
      <w:r w:rsidRPr="00736F20">
        <w:t xml:space="preserve">Kazdin, A.E. (2017) </w:t>
      </w:r>
      <w:r w:rsidRPr="00736F20">
        <w:rPr>
          <w:i/>
          <w:iCs/>
        </w:rPr>
        <w:t>Child and adolescent psychopathology</w:t>
      </w:r>
      <w:r w:rsidRPr="00736F20">
        <w:t xml:space="preserve">. 3rd </w:t>
      </w:r>
      <w:proofErr w:type="spellStart"/>
      <w:r w:rsidRPr="00736F20">
        <w:t>edn</w:t>
      </w:r>
      <w:proofErr w:type="spellEnd"/>
      <w:r w:rsidRPr="00736F20">
        <w:t>. Boston: Pearson.</w:t>
      </w:r>
    </w:p>
    <w:p w14:paraId="04559393" w14:textId="77777777" w:rsidR="00A46EB0" w:rsidRPr="00736F20" w:rsidRDefault="00A46EB0" w:rsidP="00201B05">
      <w:pPr>
        <w:spacing w:line="360" w:lineRule="auto"/>
        <w:ind w:left="360"/>
      </w:pPr>
      <w:r w:rsidRPr="00736F20">
        <w:t xml:space="preserve">Kessler, R.C., Berglund, P., Demler, O., Jin, R. and Walters, E.E. (2005) ‘Lifetime prevalence and age-of-onset distributions’, </w:t>
      </w:r>
      <w:r w:rsidRPr="00736F20">
        <w:rPr>
          <w:i/>
          <w:iCs/>
        </w:rPr>
        <w:t>Archives of General Psychiatry</w:t>
      </w:r>
      <w:r w:rsidRPr="00736F20">
        <w:t>, 62(6), pp. 593–602.</w:t>
      </w:r>
    </w:p>
    <w:p w14:paraId="620B0FBE" w14:textId="77777777" w:rsidR="00A46EB0" w:rsidRPr="00736F20" w:rsidRDefault="00A46EB0" w:rsidP="00201B05">
      <w:pPr>
        <w:spacing w:line="360" w:lineRule="auto"/>
        <w:ind w:left="360"/>
      </w:pPr>
      <w:r w:rsidRPr="00736F20">
        <w:t xml:space="preserve">Krueger, R.F. and Markon, K.E. (2006) ‘Reinterpreting comorbidity’, </w:t>
      </w:r>
      <w:r w:rsidRPr="00736F20">
        <w:rPr>
          <w:i/>
          <w:iCs/>
        </w:rPr>
        <w:t>Annual Review of Clinical Psychology</w:t>
      </w:r>
      <w:r w:rsidRPr="00736F20">
        <w:t>, 2, pp. 111–133.</w:t>
      </w:r>
    </w:p>
    <w:p w14:paraId="5D67E5B5" w14:textId="77777777" w:rsidR="00A46EB0" w:rsidRPr="00736F20" w:rsidRDefault="00A46EB0" w:rsidP="00201B05">
      <w:pPr>
        <w:spacing w:line="360" w:lineRule="auto"/>
        <w:ind w:left="360"/>
      </w:pPr>
      <w:r w:rsidRPr="00736F20">
        <w:t xml:space="preserve">Loades, M.E. and Mastroyannopoulou, K. (2010) ‘Teachers’ recognition of children’s mental health problems’, </w:t>
      </w:r>
      <w:r w:rsidRPr="00736F20">
        <w:rPr>
          <w:i/>
          <w:iCs/>
        </w:rPr>
        <w:t>Child and Adolescent Mental Health</w:t>
      </w:r>
      <w:r w:rsidRPr="00736F20">
        <w:t>, 15(3), pp. 150–156.</w:t>
      </w:r>
    </w:p>
    <w:p w14:paraId="75E429FE" w14:textId="77777777" w:rsidR="00A46EB0" w:rsidRPr="00736F20" w:rsidRDefault="00A46EB0" w:rsidP="00201B05">
      <w:pPr>
        <w:spacing w:line="360" w:lineRule="auto"/>
        <w:ind w:left="360"/>
      </w:pPr>
      <w:r w:rsidRPr="00736F20">
        <w:t xml:space="preserve">Luthar, S.S., Cicchetti, D. and Becker, B. (2000) ‘The construct of resilience’, </w:t>
      </w:r>
      <w:r w:rsidRPr="00736F20">
        <w:rPr>
          <w:i/>
          <w:iCs/>
        </w:rPr>
        <w:t>Child Development</w:t>
      </w:r>
      <w:r w:rsidRPr="00736F20">
        <w:t>, 71(3), pp. 543–562.</w:t>
      </w:r>
    </w:p>
    <w:p w14:paraId="4D2BDBED" w14:textId="77777777" w:rsidR="00A46EB0" w:rsidRPr="00736F20" w:rsidRDefault="00A46EB0" w:rsidP="00201B05">
      <w:pPr>
        <w:spacing w:line="360" w:lineRule="auto"/>
        <w:ind w:left="360"/>
      </w:pPr>
      <w:r w:rsidRPr="00736F20">
        <w:t xml:space="preserve">Mash, E.J. and Wolfe, D.A. (2016) </w:t>
      </w:r>
      <w:r w:rsidRPr="00736F20">
        <w:rPr>
          <w:i/>
          <w:iCs/>
        </w:rPr>
        <w:t>Abnormal child psychology</w:t>
      </w:r>
      <w:r w:rsidRPr="00736F20">
        <w:t xml:space="preserve">. 6th </w:t>
      </w:r>
      <w:proofErr w:type="spellStart"/>
      <w:r w:rsidRPr="00736F20">
        <w:t>edn</w:t>
      </w:r>
      <w:proofErr w:type="spellEnd"/>
      <w:r w:rsidRPr="00736F20">
        <w:t>. Boston: Cengage.</w:t>
      </w:r>
    </w:p>
    <w:p w14:paraId="26A0E73E" w14:textId="77777777" w:rsidR="00A46EB0" w:rsidRPr="00736F20" w:rsidRDefault="00A46EB0" w:rsidP="00201B05">
      <w:pPr>
        <w:spacing w:line="360" w:lineRule="auto"/>
        <w:ind w:left="360"/>
      </w:pPr>
      <w:r w:rsidRPr="00736F20">
        <w:t xml:space="preserve">Masten, A.S. (2014) </w:t>
      </w:r>
      <w:r w:rsidRPr="00736F20">
        <w:rPr>
          <w:i/>
          <w:iCs/>
        </w:rPr>
        <w:t>Ordinary magic: Resilience in development</w:t>
      </w:r>
      <w:r w:rsidRPr="00736F20">
        <w:t>. New York: Guilford Press.</w:t>
      </w:r>
    </w:p>
    <w:p w14:paraId="05D40EB1" w14:textId="77777777" w:rsidR="00A46EB0" w:rsidRPr="00736F20" w:rsidRDefault="00A46EB0" w:rsidP="00201B05">
      <w:pPr>
        <w:spacing w:line="360" w:lineRule="auto"/>
        <w:ind w:left="360"/>
      </w:pPr>
      <w:r w:rsidRPr="00736F20">
        <w:t xml:space="preserve">NHS Digital (2022) </w:t>
      </w:r>
      <w:r w:rsidRPr="00736F20">
        <w:rPr>
          <w:i/>
          <w:iCs/>
        </w:rPr>
        <w:t>Mental health of children and young people in England</w:t>
      </w:r>
      <w:r w:rsidRPr="00736F20">
        <w:t>. Leeds: NHS Digital.</w:t>
      </w:r>
    </w:p>
    <w:p w14:paraId="3344559F" w14:textId="77777777" w:rsidR="00A46EB0" w:rsidRPr="00736F20" w:rsidRDefault="00A46EB0" w:rsidP="00201B05">
      <w:pPr>
        <w:spacing w:line="360" w:lineRule="auto"/>
        <w:ind w:left="360"/>
      </w:pPr>
      <w:r w:rsidRPr="00736F20">
        <w:t xml:space="preserve">NHS England (2019) </w:t>
      </w:r>
      <w:r w:rsidRPr="00736F20">
        <w:rPr>
          <w:i/>
          <w:iCs/>
        </w:rPr>
        <w:t>NHS Long Term Plan</w:t>
      </w:r>
      <w:r w:rsidRPr="00736F20">
        <w:t>. London: NHS.</w:t>
      </w:r>
    </w:p>
    <w:p w14:paraId="5F958CE0" w14:textId="77777777" w:rsidR="00A46EB0" w:rsidRPr="00736F20" w:rsidRDefault="00A46EB0" w:rsidP="00201B05">
      <w:pPr>
        <w:spacing w:line="360" w:lineRule="auto"/>
        <w:ind w:left="360"/>
      </w:pPr>
      <w:r w:rsidRPr="00736F20">
        <w:t xml:space="preserve">NHS England (2022) </w:t>
      </w:r>
      <w:r w:rsidRPr="00736F20">
        <w:rPr>
          <w:i/>
          <w:iCs/>
        </w:rPr>
        <w:t>Child and adolescent mental health services (CAMHS)</w:t>
      </w:r>
      <w:r w:rsidRPr="00736F20">
        <w:t>. London: NHS.</w:t>
      </w:r>
    </w:p>
    <w:p w14:paraId="074A5E98" w14:textId="77777777" w:rsidR="00A46EB0" w:rsidRPr="00736F20" w:rsidRDefault="00A46EB0" w:rsidP="00201B05">
      <w:pPr>
        <w:spacing w:line="360" w:lineRule="auto"/>
        <w:ind w:left="360"/>
      </w:pPr>
      <w:r w:rsidRPr="00736F20">
        <w:t xml:space="preserve">National Institute for Health and Care Excellence (NICE) (2019) </w:t>
      </w:r>
      <w:r w:rsidRPr="00736F20">
        <w:rPr>
          <w:i/>
          <w:iCs/>
        </w:rPr>
        <w:t>Children and young people’s mental health</w:t>
      </w:r>
      <w:r w:rsidRPr="00736F20">
        <w:t>. London: NICE.</w:t>
      </w:r>
    </w:p>
    <w:p w14:paraId="4B1BB24D" w14:textId="77777777" w:rsidR="00A46EB0" w:rsidRPr="00736F20" w:rsidRDefault="00A46EB0" w:rsidP="00201B05">
      <w:pPr>
        <w:spacing w:line="360" w:lineRule="auto"/>
        <w:ind w:left="360"/>
      </w:pPr>
      <w:r w:rsidRPr="00736F20">
        <w:t xml:space="preserve">Odgers, C.L. and Jensen, M.R. (2020) ‘Annual research review: Adolescent mental health in the digital age’, </w:t>
      </w:r>
      <w:r w:rsidRPr="00736F20">
        <w:rPr>
          <w:i/>
          <w:iCs/>
        </w:rPr>
        <w:t>Journal of Child Psychology and Psychiatry</w:t>
      </w:r>
      <w:r w:rsidRPr="00736F20">
        <w:t>, 61(3), pp. 336–348.</w:t>
      </w:r>
    </w:p>
    <w:p w14:paraId="00941FF3" w14:textId="77777777" w:rsidR="00A46EB0" w:rsidRPr="00736F20" w:rsidRDefault="00A46EB0" w:rsidP="00201B05">
      <w:pPr>
        <w:spacing w:line="360" w:lineRule="auto"/>
        <w:ind w:left="360"/>
      </w:pPr>
      <w:r w:rsidRPr="00736F20">
        <w:lastRenderedPageBreak/>
        <w:t xml:space="preserve">Perry, B.D. and Pollard, R. (1998) ‘Homeostasis, stress, trauma, and adaptation’, </w:t>
      </w:r>
      <w:r w:rsidRPr="00736F20">
        <w:rPr>
          <w:i/>
          <w:iCs/>
        </w:rPr>
        <w:t>Child and Adolescent Psychiatric Clinics</w:t>
      </w:r>
      <w:r w:rsidRPr="00736F20">
        <w:t>, 7(1), pp. 33–51.</w:t>
      </w:r>
    </w:p>
    <w:p w14:paraId="4D9A56F0" w14:textId="77777777" w:rsidR="00A46EB0" w:rsidRPr="00736F20" w:rsidRDefault="00A46EB0" w:rsidP="00201B05">
      <w:pPr>
        <w:spacing w:line="360" w:lineRule="auto"/>
        <w:ind w:left="360"/>
      </w:pPr>
      <w:r w:rsidRPr="00736F20">
        <w:t xml:space="preserve">Polanczyk, G.V., Salum, G.A., Sugaya, L.S., Caye, A. and Rohde, L.A. (2015) ‘Meta-analysis of the prevalence of mental disorders’, </w:t>
      </w:r>
      <w:r w:rsidRPr="00736F20">
        <w:rPr>
          <w:i/>
          <w:iCs/>
        </w:rPr>
        <w:t>Journal of Child Psychology and Psychiatry</w:t>
      </w:r>
      <w:r w:rsidRPr="00736F20">
        <w:t>, 56(3), pp. 345–365.</w:t>
      </w:r>
    </w:p>
    <w:p w14:paraId="35060EBB" w14:textId="77777777" w:rsidR="00A46EB0" w:rsidRPr="00736F20" w:rsidRDefault="00A46EB0" w:rsidP="00201B05">
      <w:pPr>
        <w:spacing w:line="360" w:lineRule="auto"/>
        <w:ind w:left="360"/>
      </w:pPr>
      <w:r w:rsidRPr="00736F20">
        <w:t xml:space="preserve">Przybylski, A.K. and Weinstein, N. (2017) ‘A large-scale test of the Goldilocks hypothesis’, </w:t>
      </w:r>
      <w:r w:rsidRPr="00736F20">
        <w:rPr>
          <w:i/>
          <w:iCs/>
        </w:rPr>
        <w:t>Psychological Science</w:t>
      </w:r>
      <w:r w:rsidRPr="00736F20">
        <w:t>, 28(2), pp. 204–215.</w:t>
      </w:r>
    </w:p>
    <w:p w14:paraId="446FDD32" w14:textId="77777777" w:rsidR="00A46EB0" w:rsidRPr="00736F20" w:rsidRDefault="00A46EB0" w:rsidP="00201B05">
      <w:pPr>
        <w:spacing w:line="360" w:lineRule="auto"/>
        <w:ind w:left="360"/>
      </w:pPr>
      <w:r w:rsidRPr="00736F20">
        <w:t xml:space="preserve">Reiss, F. (2013) ‘Socioeconomic inequalities and mental health problems in children’, </w:t>
      </w:r>
      <w:r w:rsidRPr="00736F20">
        <w:rPr>
          <w:i/>
          <w:iCs/>
        </w:rPr>
        <w:t>Social Science &amp; Medicine</w:t>
      </w:r>
      <w:r w:rsidRPr="00736F20">
        <w:t>, 90, pp. 24–31.</w:t>
      </w:r>
    </w:p>
    <w:p w14:paraId="1285A906" w14:textId="77777777" w:rsidR="00A46EB0" w:rsidRPr="00736F20" w:rsidRDefault="00A46EB0" w:rsidP="00201B05">
      <w:pPr>
        <w:spacing w:line="360" w:lineRule="auto"/>
        <w:ind w:left="360"/>
      </w:pPr>
      <w:r w:rsidRPr="00736F20">
        <w:t xml:space="preserve">Rutter, M. (2012) </w:t>
      </w:r>
      <w:r w:rsidRPr="00736F20">
        <w:rPr>
          <w:i/>
          <w:iCs/>
        </w:rPr>
        <w:t>Resilience as a dynamic concept</w:t>
      </w:r>
      <w:r w:rsidRPr="00736F20">
        <w:t>. Cambridge: Cambridge University Press.</w:t>
      </w:r>
    </w:p>
    <w:p w14:paraId="2CB20733" w14:textId="77777777" w:rsidR="00A46EB0" w:rsidRPr="00736F20" w:rsidRDefault="00A46EB0" w:rsidP="00201B05">
      <w:pPr>
        <w:spacing w:line="360" w:lineRule="auto"/>
        <w:ind w:left="360"/>
      </w:pPr>
      <w:r w:rsidRPr="00736F20">
        <w:t xml:space="preserve">Rutter, M., Tizard, J. and Whitmore, K. (2001) </w:t>
      </w:r>
      <w:r w:rsidRPr="00736F20">
        <w:rPr>
          <w:i/>
          <w:iCs/>
        </w:rPr>
        <w:t>Education, health and behaviour</w:t>
      </w:r>
      <w:r w:rsidRPr="00736F20">
        <w:t>. London: Routledge.</w:t>
      </w:r>
    </w:p>
    <w:p w14:paraId="44CAF5F6" w14:textId="77777777" w:rsidR="00A46EB0" w:rsidRPr="00736F20" w:rsidRDefault="00A46EB0" w:rsidP="00201B05">
      <w:pPr>
        <w:spacing w:line="360" w:lineRule="auto"/>
        <w:ind w:left="360"/>
      </w:pPr>
      <w:r w:rsidRPr="00736F20">
        <w:t xml:space="preserve">Shaw, P., </w:t>
      </w:r>
      <w:proofErr w:type="spellStart"/>
      <w:r w:rsidRPr="00736F20">
        <w:t>Eckstrand</w:t>
      </w:r>
      <w:proofErr w:type="spellEnd"/>
      <w:r w:rsidRPr="00736F20">
        <w:t xml:space="preserve">, K., Sharp, W., Blumenthal, J., Lerch, J.P., Greenstein, D., Clasen, L. and Rapoport, J.L. (2007) ‘Attention-deficit/hyperactivity disorder is characterised by a delay in cortical maturation’, </w:t>
      </w:r>
      <w:r w:rsidRPr="00736F20">
        <w:rPr>
          <w:i/>
          <w:iCs/>
        </w:rPr>
        <w:t>Proceedings of the National Academy of Sciences</w:t>
      </w:r>
      <w:r w:rsidRPr="00736F20">
        <w:t>, 104(49), pp. 19649–19654.</w:t>
      </w:r>
    </w:p>
    <w:p w14:paraId="394AAE51" w14:textId="77777777" w:rsidR="00A46EB0" w:rsidRPr="00736F20" w:rsidRDefault="00A46EB0" w:rsidP="00201B05">
      <w:pPr>
        <w:spacing w:line="360" w:lineRule="auto"/>
        <w:ind w:left="360"/>
      </w:pPr>
      <w:r w:rsidRPr="00736F20">
        <w:t xml:space="preserve">Thapar, A., Collishaw, S., Pine, D.S. and Thapar, A.K. (2012) ‘Depression in adolescence’, </w:t>
      </w:r>
      <w:r w:rsidRPr="00736F20">
        <w:rPr>
          <w:i/>
          <w:iCs/>
        </w:rPr>
        <w:t>The Lancet</w:t>
      </w:r>
      <w:r w:rsidRPr="00736F20">
        <w:t>, 379(9820), pp. 1056–1067.</w:t>
      </w:r>
    </w:p>
    <w:p w14:paraId="010E2C00" w14:textId="77777777" w:rsidR="00A46EB0" w:rsidRPr="00736F20" w:rsidRDefault="00A46EB0" w:rsidP="00201B05">
      <w:pPr>
        <w:spacing w:line="360" w:lineRule="auto"/>
        <w:ind w:left="360"/>
      </w:pPr>
      <w:r w:rsidRPr="00736F20">
        <w:t xml:space="preserve">Twenge, J.M. (2017) </w:t>
      </w:r>
      <w:proofErr w:type="spellStart"/>
      <w:r w:rsidRPr="00736F20">
        <w:rPr>
          <w:i/>
          <w:iCs/>
        </w:rPr>
        <w:t>iGen</w:t>
      </w:r>
      <w:proofErr w:type="spellEnd"/>
      <w:r w:rsidRPr="00736F20">
        <w:rPr>
          <w:i/>
          <w:iCs/>
        </w:rPr>
        <w:t>: Why today’s super-connected kids are growing up less rebellious</w:t>
      </w:r>
      <w:r w:rsidRPr="00736F20">
        <w:t>. New York: Atria Books.</w:t>
      </w:r>
    </w:p>
    <w:p w14:paraId="17BAB5EC" w14:textId="77777777" w:rsidR="00A46EB0" w:rsidRPr="00736F20" w:rsidRDefault="00A46EB0" w:rsidP="00201B05">
      <w:pPr>
        <w:spacing w:line="360" w:lineRule="auto"/>
        <w:ind w:left="360"/>
      </w:pPr>
      <w:r w:rsidRPr="00736F20">
        <w:t xml:space="preserve">Weare, K. and Nind, M. (2011) ‘Mental health promotion and problem prevention in schools’, </w:t>
      </w:r>
      <w:r w:rsidRPr="00736F20">
        <w:rPr>
          <w:i/>
          <w:iCs/>
        </w:rPr>
        <w:t>Health Education</w:t>
      </w:r>
      <w:r w:rsidRPr="00736F20">
        <w:t>, 111(1), pp. 62–71.</w:t>
      </w:r>
    </w:p>
    <w:p w14:paraId="70E1E1DE" w14:textId="77777777" w:rsidR="00A46EB0" w:rsidRPr="00736F20" w:rsidRDefault="00A46EB0" w:rsidP="00201B05">
      <w:pPr>
        <w:spacing w:line="360" w:lineRule="auto"/>
        <w:ind w:left="360"/>
      </w:pPr>
      <w:r w:rsidRPr="00736F20">
        <w:t xml:space="preserve">World Health Organization (2021) </w:t>
      </w:r>
      <w:r w:rsidRPr="00736F20">
        <w:rPr>
          <w:i/>
          <w:iCs/>
        </w:rPr>
        <w:t>Adolescent mental health</w:t>
      </w:r>
      <w:r w:rsidRPr="00736F20">
        <w:t>. Geneva: WHO.</w:t>
      </w:r>
    </w:p>
    <w:p w14:paraId="24A303C3" w14:textId="77777777" w:rsidR="00A46EB0" w:rsidRPr="00736F20" w:rsidRDefault="00A46EB0" w:rsidP="00201B05">
      <w:pPr>
        <w:spacing w:line="360" w:lineRule="auto"/>
        <w:ind w:left="360"/>
      </w:pPr>
      <w:r w:rsidRPr="00736F20">
        <w:t xml:space="preserve">Zahn-Waxler, C., Shirtcliff, E.A. and Marceau, K. (2008) ‘Disorders of childhood and adolescence: Gender differences’, </w:t>
      </w:r>
      <w:r w:rsidRPr="00736F20">
        <w:rPr>
          <w:i/>
          <w:iCs/>
        </w:rPr>
        <w:t>Annual Review of Clinical Psychology</w:t>
      </w:r>
      <w:r w:rsidRPr="00736F20">
        <w:t>, 4, pp. 275–303.</w:t>
      </w:r>
    </w:p>
    <w:p w14:paraId="59E2F0E3" w14:textId="77777777" w:rsidR="00951AD2" w:rsidRPr="00736F20" w:rsidRDefault="00951AD2" w:rsidP="00201B05">
      <w:pPr>
        <w:spacing w:line="360" w:lineRule="auto"/>
      </w:pPr>
    </w:p>
    <w:sectPr w:rsidR="00951AD2" w:rsidRPr="00736F20">
      <w:footerReference w:type="default" r:id="rId7"/>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ADCAE14" w14:textId="77777777" w:rsidR="000463A4" w:rsidRDefault="000463A4" w:rsidP="00A46EB0">
      <w:pPr>
        <w:spacing w:after="0" w:line="240" w:lineRule="auto"/>
      </w:pPr>
      <w:r>
        <w:separator/>
      </w:r>
    </w:p>
  </w:endnote>
  <w:endnote w:type="continuationSeparator" w:id="0">
    <w:p w14:paraId="7127C084" w14:textId="77777777" w:rsidR="000463A4" w:rsidRDefault="000463A4" w:rsidP="00A46EB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917281954"/>
      <w:docPartObj>
        <w:docPartGallery w:val="Page Numbers (Bottom of Page)"/>
        <w:docPartUnique/>
      </w:docPartObj>
    </w:sdtPr>
    <w:sdtEndPr>
      <w:rPr>
        <w:noProof/>
      </w:rPr>
    </w:sdtEndPr>
    <w:sdtContent>
      <w:p w14:paraId="4A3E44D0" w14:textId="00CA4349" w:rsidR="00A46EB0" w:rsidRDefault="00A46EB0">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4863D9D3" w14:textId="77777777" w:rsidR="00A46EB0" w:rsidRDefault="00A46EB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0877310" w14:textId="77777777" w:rsidR="000463A4" w:rsidRDefault="000463A4" w:rsidP="00A46EB0">
      <w:pPr>
        <w:spacing w:after="0" w:line="240" w:lineRule="auto"/>
      </w:pPr>
      <w:r>
        <w:separator/>
      </w:r>
    </w:p>
  </w:footnote>
  <w:footnote w:type="continuationSeparator" w:id="0">
    <w:p w14:paraId="4F3ACD70" w14:textId="77777777" w:rsidR="000463A4" w:rsidRDefault="000463A4" w:rsidP="00A46EB0">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B0E38C1"/>
    <w:multiLevelType w:val="hybridMultilevel"/>
    <w:tmpl w:val="F76A1E3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41566647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46EB0"/>
    <w:rsid w:val="000463A4"/>
    <w:rsid w:val="00201B05"/>
    <w:rsid w:val="00452458"/>
    <w:rsid w:val="004B21E1"/>
    <w:rsid w:val="005C0627"/>
    <w:rsid w:val="00736F20"/>
    <w:rsid w:val="00951AD2"/>
    <w:rsid w:val="00A46EB0"/>
    <w:rsid w:val="00C441BF"/>
    <w:rsid w:val="00DA52DE"/>
    <w:rsid w:val="00EA6E4C"/>
    <w:rsid w:val="00F31E98"/>
    <w:rsid w:val="00F846DD"/>
    <w:rsid w:val="00FF1D1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0F33362"/>
  <w15:chartTrackingRefBased/>
  <w15:docId w15:val="{D7BEC040-B6D5-415D-8392-1B8BAAA1459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Theme="minorHAnsi" w:hAnsi="Arial" w:cs="Arial"/>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A46EB0"/>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A46EB0"/>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A46EB0"/>
    <w:pPr>
      <w:keepNext/>
      <w:keepLines/>
      <w:spacing w:before="160" w:after="80"/>
      <w:outlineLvl w:val="2"/>
    </w:pPr>
    <w:rPr>
      <w:rFonts w:asciiTheme="minorHAnsi" w:eastAsiaTheme="majorEastAsia" w:hAnsiTheme="minorHAnsi"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A46EB0"/>
    <w:pPr>
      <w:keepNext/>
      <w:keepLines/>
      <w:spacing w:before="80" w:after="40"/>
      <w:outlineLvl w:val="3"/>
    </w:pPr>
    <w:rPr>
      <w:rFonts w:asciiTheme="minorHAnsi" w:eastAsiaTheme="majorEastAsia" w:hAnsiTheme="minorHAnsi" w:cstheme="majorBidi"/>
      <w:i/>
      <w:iCs/>
      <w:color w:val="0F4761" w:themeColor="accent1" w:themeShade="BF"/>
    </w:rPr>
  </w:style>
  <w:style w:type="paragraph" w:styleId="Heading5">
    <w:name w:val="heading 5"/>
    <w:basedOn w:val="Normal"/>
    <w:next w:val="Normal"/>
    <w:link w:val="Heading5Char"/>
    <w:uiPriority w:val="9"/>
    <w:semiHidden/>
    <w:unhideWhenUsed/>
    <w:qFormat/>
    <w:rsid w:val="00A46EB0"/>
    <w:pPr>
      <w:keepNext/>
      <w:keepLines/>
      <w:spacing w:before="80" w:after="40"/>
      <w:outlineLvl w:val="4"/>
    </w:pPr>
    <w:rPr>
      <w:rFonts w:asciiTheme="minorHAnsi" w:eastAsiaTheme="majorEastAsia" w:hAnsiTheme="minorHAnsi" w:cstheme="majorBidi"/>
      <w:color w:val="0F4761" w:themeColor="accent1" w:themeShade="BF"/>
    </w:rPr>
  </w:style>
  <w:style w:type="paragraph" w:styleId="Heading6">
    <w:name w:val="heading 6"/>
    <w:basedOn w:val="Normal"/>
    <w:next w:val="Normal"/>
    <w:link w:val="Heading6Char"/>
    <w:uiPriority w:val="9"/>
    <w:semiHidden/>
    <w:unhideWhenUsed/>
    <w:qFormat/>
    <w:rsid w:val="00A46EB0"/>
    <w:pPr>
      <w:keepNext/>
      <w:keepLines/>
      <w:spacing w:before="40" w:after="0"/>
      <w:outlineLvl w:val="5"/>
    </w:pPr>
    <w:rPr>
      <w:rFonts w:asciiTheme="minorHAnsi" w:eastAsiaTheme="majorEastAsia" w:hAnsiTheme="minorHAnsi" w:cstheme="majorBidi"/>
      <w:i/>
      <w:iCs/>
      <w:color w:val="595959" w:themeColor="text1" w:themeTint="A6"/>
    </w:rPr>
  </w:style>
  <w:style w:type="paragraph" w:styleId="Heading7">
    <w:name w:val="heading 7"/>
    <w:basedOn w:val="Normal"/>
    <w:next w:val="Normal"/>
    <w:link w:val="Heading7Char"/>
    <w:uiPriority w:val="9"/>
    <w:semiHidden/>
    <w:unhideWhenUsed/>
    <w:qFormat/>
    <w:rsid w:val="00A46EB0"/>
    <w:pPr>
      <w:keepNext/>
      <w:keepLines/>
      <w:spacing w:before="40" w:after="0"/>
      <w:outlineLvl w:val="6"/>
    </w:pPr>
    <w:rPr>
      <w:rFonts w:asciiTheme="minorHAnsi" w:eastAsiaTheme="majorEastAsia" w:hAnsiTheme="minorHAnsi" w:cstheme="majorBidi"/>
      <w:color w:val="595959" w:themeColor="text1" w:themeTint="A6"/>
    </w:rPr>
  </w:style>
  <w:style w:type="paragraph" w:styleId="Heading8">
    <w:name w:val="heading 8"/>
    <w:basedOn w:val="Normal"/>
    <w:next w:val="Normal"/>
    <w:link w:val="Heading8Char"/>
    <w:uiPriority w:val="9"/>
    <w:semiHidden/>
    <w:unhideWhenUsed/>
    <w:qFormat/>
    <w:rsid w:val="00A46EB0"/>
    <w:pPr>
      <w:keepNext/>
      <w:keepLines/>
      <w:spacing w:after="0"/>
      <w:outlineLvl w:val="7"/>
    </w:pPr>
    <w:rPr>
      <w:rFonts w:asciiTheme="minorHAnsi" w:eastAsiaTheme="majorEastAsia" w:hAnsiTheme="minorHAnsi" w:cstheme="majorBidi"/>
      <w:i/>
      <w:iCs/>
      <w:color w:val="272727" w:themeColor="text1" w:themeTint="D8"/>
    </w:rPr>
  </w:style>
  <w:style w:type="paragraph" w:styleId="Heading9">
    <w:name w:val="heading 9"/>
    <w:basedOn w:val="Normal"/>
    <w:next w:val="Normal"/>
    <w:link w:val="Heading9Char"/>
    <w:uiPriority w:val="9"/>
    <w:semiHidden/>
    <w:unhideWhenUsed/>
    <w:qFormat/>
    <w:rsid w:val="00A46EB0"/>
    <w:pPr>
      <w:keepNext/>
      <w:keepLines/>
      <w:spacing w:after="0"/>
      <w:outlineLvl w:val="8"/>
    </w:pPr>
    <w:rPr>
      <w:rFonts w:asciiTheme="minorHAnsi" w:eastAsiaTheme="majorEastAsia" w:hAnsiTheme="minorHAnsi"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46EB0"/>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A46EB0"/>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A46EB0"/>
    <w:rPr>
      <w:rFonts w:asciiTheme="minorHAnsi" w:eastAsiaTheme="majorEastAsia" w:hAnsiTheme="minorHAnsi"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A46EB0"/>
    <w:rPr>
      <w:rFonts w:asciiTheme="minorHAnsi" w:eastAsiaTheme="majorEastAsia" w:hAnsiTheme="minorHAnsi" w:cstheme="majorBidi"/>
      <w:i/>
      <w:iCs/>
      <w:color w:val="0F4761" w:themeColor="accent1" w:themeShade="BF"/>
    </w:rPr>
  </w:style>
  <w:style w:type="character" w:customStyle="1" w:styleId="Heading5Char">
    <w:name w:val="Heading 5 Char"/>
    <w:basedOn w:val="DefaultParagraphFont"/>
    <w:link w:val="Heading5"/>
    <w:uiPriority w:val="9"/>
    <w:semiHidden/>
    <w:rsid w:val="00A46EB0"/>
    <w:rPr>
      <w:rFonts w:asciiTheme="minorHAnsi" w:eastAsiaTheme="majorEastAsia" w:hAnsiTheme="minorHAnsi" w:cstheme="majorBidi"/>
      <w:color w:val="0F4761" w:themeColor="accent1" w:themeShade="BF"/>
    </w:rPr>
  </w:style>
  <w:style w:type="character" w:customStyle="1" w:styleId="Heading6Char">
    <w:name w:val="Heading 6 Char"/>
    <w:basedOn w:val="DefaultParagraphFont"/>
    <w:link w:val="Heading6"/>
    <w:uiPriority w:val="9"/>
    <w:semiHidden/>
    <w:rsid w:val="00A46EB0"/>
    <w:rPr>
      <w:rFonts w:asciiTheme="minorHAnsi" w:eastAsiaTheme="majorEastAsia" w:hAnsiTheme="minorHAnsi" w:cstheme="majorBidi"/>
      <w:i/>
      <w:iCs/>
      <w:color w:val="595959" w:themeColor="text1" w:themeTint="A6"/>
    </w:rPr>
  </w:style>
  <w:style w:type="character" w:customStyle="1" w:styleId="Heading7Char">
    <w:name w:val="Heading 7 Char"/>
    <w:basedOn w:val="DefaultParagraphFont"/>
    <w:link w:val="Heading7"/>
    <w:uiPriority w:val="9"/>
    <w:semiHidden/>
    <w:rsid w:val="00A46EB0"/>
    <w:rPr>
      <w:rFonts w:asciiTheme="minorHAnsi" w:eastAsiaTheme="majorEastAsia" w:hAnsiTheme="minorHAnsi" w:cstheme="majorBidi"/>
      <w:color w:val="595959" w:themeColor="text1" w:themeTint="A6"/>
    </w:rPr>
  </w:style>
  <w:style w:type="character" w:customStyle="1" w:styleId="Heading8Char">
    <w:name w:val="Heading 8 Char"/>
    <w:basedOn w:val="DefaultParagraphFont"/>
    <w:link w:val="Heading8"/>
    <w:uiPriority w:val="9"/>
    <w:semiHidden/>
    <w:rsid w:val="00A46EB0"/>
    <w:rPr>
      <w:rFonts w:asciiTheme="minorHAnsi" w:eastAsiaTheme="majorEastAsia" w:hAnsiTheme="minorHAnsi" w:cstheme="majorBidi"/>
      <w:i/>
      <w:iCs/>
      <w:color w:val="272727" w:themeColor="text1" w:themeTint="D8"/>
    </w:rPr>
  </w:style>
  <w:style w:type="character" w:customStyle="1" w:styleId="Heading9Char">
    <w:name w:val="Heading 9 Char"/>
    <w:basedOn w:val="DefaultParagraphFont"/>
    <w:link w:val="Heading9"/>
    <w:uiPriority w:val="9"/>
    <w:semiHidden/>
    <w:rsid w:val="00A46EB0"/>
    <w:rPr>
      <w:rFonts w:asciiTheme="minorHAnsi" w:eastAsiaTheme="majorEastAsia" w:hAnsiTheme="minorHAnsi" w:cstheme="majorBidi"/>
      <w:color w:val="272727" w:themeColor="text1" w:themeTint="D8"/>
    </w:rPr>
  </w:style>
  <w:style w:type="paragraph" w:styleId="Title">
    <w:name w:val="Title"/>
    <w:basedOn w:val="Normal"/>
    <w:next w:val="Normal"/>
    <w:link w:val="TitleChar"/>
    <w:uiPriority w:val="10"/>
    <w:qFormat/>
    <w:rsid w:val="00A46EB0"/>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A46EB0"/>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A46EB0"/>
    <w:pPr>
      <w:numPr>
        <w:ilvl w:val="1"/>
      </w:numPr>
    </w:pPr>
    <w:rPr>
      <w:rFonts w:asciiTheme="minorHAnsi" w:eastAsiaTheme="majorEastAsia" w:hAnsiTheme="minorHAnsi"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A46EB0"/>
    <w:rPr>
      <w:rFonts w:asciiTheme="minorHAnsi" w:eastAsiaTheme="majorEastAsia" w:hAnsiTheme="minorHAnsi" w:cstheme="majorBidi"/>
      <w:color w:val="595959" w:themeColor="text1" w:themeTint="A6"/>
      <w:spacing w:val="15"/>
      <w:sz w:val="28"/>
      <w:szCs w:val="28"/>
    </w:rPr>
  </w:style>
  <w:style w:type="paragraph" w:styleId="Quote">
    <w:name w:val="Quote"/>
    <w:basedOn w:val="Normal"/>
    <w:next w:val="Normal"/>
    <w:link w:val="QuoteChar"/>
    <w:uiPriority w:val="29"/>
    <w:qFormat/>
    <w:rsid w:val="00A46EB0"/>
    <w:pPr>
      <w:spacing w:before="160"/>
      <w:jc w:val="center"/>
    </w:pPr>
    <w:rPr>
      <w:i/>
      <w:iCs/>
      <w:color w:val="404040" w:themeColor="text1" w:themeTint="BF"/>
    </w:rPr>
  </w:style>
  <w:style w:type="character" w:customStyle="1" w:styleId="QuoteChar">
    <w:name w:val="Quote Char"/>
    <w:basedOn w:val="DefaultParagraphFont"/>
    <w:link w:val="Quote"/>
    <w:uiPriority w:val="29"/>
    <w:rsid w:val="00A46EB0"/>
    <w:rPr>
      <w:i/>
      <w:iCs/>
      <w:color w:val="404040" w:themeColor="text1" w:themeTint="BF"/>
    </w:rPr>
  </w:style>
  <w:style w:type="paragraph" w:styleId="ListParagraph">
    <w:name w:val="List Paragraph"/>
    <w:basedOn w:val="Normal"/>
    <w:uiPriority w:val="34"/>
    <w:qFormat/>
    <w:rsid w:val="00A46EB0"/>
    <w:pPr>
      <w:ind w:left="720"/>
      <w:contextualSpacing/>
    </w:pPr>
  </w:style>
  <w:style w:type="character" w:styleId="IntenseEmphasis">
    <w:name w:val="Intense Emphasis"/>
    <w:basedOn w:val="DefaultParagraphFont"/>
    <w:uiPriority w:val="21"/>
    <w:qFormat/>
    <w:rsid w:val="00A46EB0"/>
    <w:rPr>
      <w:i/>
      <w:iCs/>
      <w:color w:val="0F4761" w:themeColor="accent1" w:themeShade="BF"/>
    </w:rPr>
  </w:style>
  <w:style w:type="paragraph" w:styleId="IntenseQuote">
    <w:name w:val="Intense Quote"/>
    <w:basedOn w:val="Normal"/>
    <w:next w:val="Normal"/>
    <w:link w:val="IntenseQuoteChar"/>
    <w:uiPriority w:val="30"/>
    <w:qFormat/>
    <w:rsid w:val="00A46EB0"/>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A46EB0"/>
    <w:rPr>
      <w:i/>
      <w:iCs/>
      <w:color w:val="0F4761" w:themeColor="accent1" w:themeShade="BF"/>
    </w:rPr>
  </w:style>
  <w:style w:type="character" w:styleId="IntenseReference">
    <w:name w:val="Intense Reference"/>
    <w:basedOn w:val="DefaultParagraphFont"/>
    <w:uiPriority w:val="32"/>
    <w:qFormat/>
    <w:rsid w:val="00A46EB0"/>
    <w:rPr>
      <w:b/>
      <w:bCs/>
      <w:smallCaps/>
      <w:color w:val="0F4761" w:themeColor="accent1" w:themeShade="BF"/>
      <w:spacing w:val="5"/>
    </w:rPr>
  </w:style>
  <w:style w:type="paragraph" w:styleId="Header">
    <w:name w:val="header"/>
    <w:basedOn w:val="Normal"/>
    <w:link w:val="HeaderChar"/>
    <w:uiPriority w:val="99"/>
    <w:unhideWhenUsed/>
    <w:rsid w:val="00A46EB0"/>
    <w:pPr>
      <w:tabs>
        <w:tab w:val="center" w:pos="4513"/>
        <w:tab w:val="right" w:pos="9026"/>
      </w:tabs>
      <w:spacing w:after="0" w:line="240" w:lineRule="auto"/>
    </w:pPr>
  </w:style>
  <w:style w:type="character" w:customStyle="1" w:styleId="HeaderChar">
    <w:name w:val="Header Char"/>
    <w:basedOn w:val="DefaultParagraphFont"/>
    <w:link w:val="Header"/>
    <w:uiPriority w:val="99"/>
    <w:rsid w:val="00A46EB0"/>
  </w:style>
  <w:style w:type="paragraph" w:styleId="Footer">
    <w:name w:val="footer"/>
    <w:basedOn w:val="Normal"/>
    <w:link w:val="FooterChar"/>
    <w:uiPriority w:val="99"/>
    <w:unhideWhenUsed/>
    <w:rsid w:val="00A46EB0"/>
    <w:pPr>
      <w:tabs>
        <w:tab w:val="center" w:pos="4513"/>
        <w:tab w:val="right" w:pos="9026"/>
      </w:tabs>
      <w:spacing w:after="0" w:line="240" w:lineRule="auto"/>
    </w:pPr>
  </w:style>
  <w:style w:type="character" w:customStyle="1" w:styleId="FooterChar">
    <w:name w:val="Footer Char"/>
    <w:basedOn w:val="DefaultParagraphFont"/>
    <w:link w:val="Footer"/>
    <w:uiPriority w:val="99"/>
    <w:rsid w:val="00A46EB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24</TotalTime>
  <Pages>13</Pages>
  <Words>4640</Words>
  <Characters>26450</Characters>
  <Application>Microsoft Office Word</Application>
  <DocSecurity>0</DocSecurity>
  <Lines>220</Lines>
  <Paragraphs>62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31028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Fateha Altafi (2309157)</dc:creator>
  <cp:keywords/>
  <dc:description/>
  <cp:lastModifiedBy>Fateha Altafi (2309157)</cp:lastModifiedBy>
  <cp:revision>6</cp:revision>
  <dcterms:created xsi:type="dcterms:W3CDTF">2026-04-02T09:33:00Z</dcterms:created>
  <dcterms:modified xsi:type="dcterms:W3CDTF">2026-04-02T09:57:00Z</dcterms:modified>
</cp:coreProperties>
</file>