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18052" w14:textId="4C08718B" w:rsidR="00B151A8" w:rsidRPr="00EE1154" w:rsidRDefault="00B500A1" w:rsidP="00EE1154">
      <w:pPr>
        <w:spacing w:line="360" w:lineRule="auto"/>
        <w:jc w:val="both"/>
        <w:rPr>
          <w:rFonts w:ascii="Arial" w:hAnsi="Arial" w:cs="Arial"/>
          <w:b/>
          <w:bCs/>
          <w:sz w:val="28"/>
          <w:szCs w:val="28"/>
        </w:rPr>
      </w:pPr>
      <w:r w:rsidRPr="00EE1154">
        <w:rPr>
          <w:rFonts w:ascii="Arial" w:hAnsi="Arial" w:cs="Arial"/>
          <w:b/>
          <w:bCs/>
          <w:sz w:val="28"/>
          <w:szCs w:val="28"/>
        </w:rPr>
        <w:t>Hotel Placement Research Project</w:t>
      </w:r>
    </w:p>
    <w:p w14:paraId="36599FD5" w14:textId="7029F9D2" w:rsidR="00B500A1" w:rsidRPr="00EE1154" w:rsidRDefault="00B500A1" w:rsidP="00EE1154">
      <w:pPr>
        <w:spacing w:line="360" w:lineRule="auto"/>
        <w:jc w:val="both"/>
        <w:rPr>
          <w:rFonts w:ascii="Arial" w:hAnsi="Arial" w:cs="Arial"/>
          <w:b/>
          <w:bCs/>
          <w:sz w:val="28"/>
          <w:szCs w:val="28"/>
        </w:rPr>
      </w:pPr>
      <w:r w:rsidRPr="00EE1154">
        <w:rPr>
          <w:rFonts w:ascii="Arial" w:hAnsi="Arial" w:cs="Arial"/>
          <w:b/>
          <w:bCs/>
          <w:sz w:val="28"/>
          <w:szCs w:val="28"/>
        </w:rPr>
        <w:t>BMIH6008</w:t>
      </w:r>
    </w:p>
    <w:p w14:paraId="46A2FD4C" w14:textId="73914436" w:rsidR="00B500A1" w:rsidRPr="00EE1154" w:rsidRDefault="00B500A1" w:rsidP="00EE1154">
      <w:pPr>
        <w:spacing w:line="360" w:lineRule="auto"/>
        <w:jc w:val="both"/>
        <w:rPr>
          <w:rFonts w:ascii="Arial" w:hAnsi="Arial" w:cs="Arial"/>
          <w:sz w:val="28"/>
          <w:szCs w:val="28"/>
        </w:rPr>
      </w:pPr>
      <w:r w:rsidRPr="00EE1154">
        <w:rPr>
          <w:rFonts w:ascii="Arial" w:hAnsi="Arial" w:cs="Arial"/>
          <w:sz w:val="28"/>
          <w:szCs w:val="28"/>
        </w:rPr>
        <w:t>Hotel Research Project</w:t>
      </w:r>
    </w:p>
    <w:p w14:paraId="498AFF98" w14:textId="77777777" w:rsidR="00B500A1" w:rsidRPr="00EE1154" w:rsidRDefault="00B500A1" w:rsidP="00EE1154">
      <w:pPr>
        <w:spacing w:line="360" w:lineRule="auto"/>
        <w:jc w:val="both"/>
        <w:rPr>
          <w:rFonts w:ascii="Arial" w:hAnsi="Arial" w:cs="Arial"/>
          <w:sz w:val="28"/>
          <w:szCs w:val="28"/>
        </w:rPr>
      </w:pPr>
    </w:p>
    <w:p w14:paraId="5D127337" w14:textId="1AEBFA32" w:rsidR="00B500A1" w:rsidRPr="00EE1154" w:rsidRDefault="00EE1154" w:rsidP="00EE1154">
      <w:pPr>
        <w:spacing w:line="360" w:lineRule="auto"/>
        <w:jc w:val="both"/>
        <w:rPr>
          <w:rFonts w:ascii="Arial" w:hAnsi="Arial" w:cs="Arial"/>
          <w:sz w:val="28"/>
          <w:szCs w:val="28"/>
        </w:rPr>
      </w:pPr>
      <w:r w:rsidRPr="00EE1154">
        <w:rPr>
          <w:rFonts w:ascii="Arial" w:hAnsi="Arial" w:cs="Arial"/>
          <w:sz w:val="28"/>
          <w:szCs w:val="28"/>
        </w:rPr>
        <w:t>Managing Overbooking and its Impact on Guest Satisfaction and Operational Efficiency: A Case Study of Ibis Nottingham Centre</w:t>
      </w:r>
    </w:p>
    <w:p w14:paraId="16A801AA" w14:textId="77777777" w:rsidR="00B500A1" w:rsidRDefault="00B500A1" w:rsidP="00B500A1">
      <w:pPr>
        <w:rPr>
          <w:rFonts w:ascii="Arial" w:hAnsi="Arial" w:cs="Arial"/>
          <w:sz w:val="28"/>
          <w:szCs w:val="28"/>
        </w:rPr>
      </w:pPr>
    </w:p>
    <w:p w14:paraId="3755CE4B" w14:textId="77777777" w:rsidR="00B500A1" w:rsidRDefault="00B500A1" w:rsidP="00B500A1">
      <w:pPr>
        <w:rPr>
          <w:rFonts w:ascii="Arial" w:hAnsi="Arial" w:cs="Arial"/>
          <w:sz w:val="28"/>
          <w:szCs w:val="28"/>
        </w:rPr>
      </w:pPr>
    </w:p>
    <w:p w14:paraId="025C05EE" w14:textId="4D076476" w:rsidR="00B500A1" w:rsidRDefault="001540DA" w:rsidP="00B500A1">
      <w:pPr>
        <w:rPr>
          <w:rFonts w:ascii="Arial" w:hAnsi="Arial" w:cs="Arial"/>
          <w:sz w:val="28"/>
          <w:szCs w:val="28"/>
        </w:rPr>
      </w:pPr>
      <w:r w:rsidRPr="001540DA">
        <w:rPr>
          <w:rFonts w:ascii="Arial" w:hAnsi="Arial" w:cs="Arial"/>
          <w:sz w:val="28"/>
          <w:szCs w:val="28"/>
        </w:rPr>
        <w:t>Traian Cristian Roibulescu</w:t>
      </w:r>
    </w:p>
    <w:p w14:paraId="2C93151B" w14:textId="283B22AB" w:rsidR="00B500A1" w:rsidRDefault="001540DA" w:rsidP="00B500A1">
      <w:pPr>
        <w:rPr>
          <w:rFonts w:ascii="Arial" w:hAnsi="Arial" w:cs="Arial"/>
          <w:sz w:val="28"/>
          <w:szCs w:val="28"/>
        </w:rPr>
      </w:pPr>
      <w:r>
        <w:rPr>
          <w:rFonts w:ascii="Arial" w:hAnsi="Arial" w:cs="Arial"/>
          <w:sz w:val="28"/>
          <w:szCs w:val="28"/>
        </w:rPr>
        <w:t>Student id: 2215953</w:t>
      </w:r>
    </w:p>
    <w:p w14:paraId="33A23BB6" w14:textId="77777777" w:rsidR="00B500A1" w:rsidRDefault="00B500A1" w:rsidP="00B500A1">
      <w:pPr>
        <w:rPr>
          <w:rFonts w:ascii="Arial" w:hAnsi="Arial" w:cs="Arial"/>
          <w:sz w:val="28"/>
          <w:szCs w:val="28"/>
        </w:rPr>
      </w:pPr>
    </w:p>
    <w:p w14:paraId="3F1AE389" w14:textId="77777777" w:rsidR="00B500A1" w:rsidRDefault="00B500A1" w:rsidP="00B500A1">
      <w:pPr>
        <w:rPr>
          <w:rFonts w:ascii="Arial" w:hAnsi="Arial" w:cs="Arial"/>
          <w:sz w:val="28"/>
          <w:szCs w:val="28"/>
        </w:rPr>
      </w:pPr>
    </w:p>
    <w:p w14:paraId="2B190478" w14:textId="77777777" w:rsidR="00B500A1" w:rsidRDefault="00B500A1" w:rsidP="00B500A1">
      <w:pPr>
        <w:rPr>
          <w:rFonts w:ascii="Arial" w:hAnsi="Arial" w:cs="Arial"/>
          <w:sz w:val="28"/>
          <w:szCs w:val="28"/>
        </w:rPr>
      </w:pPr>
    </w:p>
    <w:p w14:paraId="51BB0DB0" w14:textId="77777777" w:rsidR="00B500A1" w:rsidRDefault="00B500A1" w:rsidP="00B500A1">
      <w:pPr>
        <w:rPr>
          <w:rFonts w:ascii="Arial" w:hAnsi="Arial" w:cs="Arial"/>
          <w:sz w:val="28"/>
          <w:szCs w:val="28"/>
        </w:rPr>
      </w:pPr>
    </w:p>
    <w:p w14:paraId="435F0211" w14:textId="77777777" w:rsidR="00B500A1" w:rsidRDefault="00B500A1" w:rsidP="00B500A1">
      <w:pPr>
        <w:rPr>
          <w:rFonts w:ascii="Arial" w:hAnsi="Arial" w:cs="Arial"/>
          <w:sz w:val="28"/>
          <w:szCs w:val="28"/>
        </w:rPr>
      </w:pPr>
    </w:p>
    <w:p w14:paraId="41774424" w14:textId="77777777" w:rsidR="00B500A1" w:rsidRDefault="00B500A1" w:rsidP="00B500A1">
      <w:pPr>
        <w:rPr>
          <w:rFonts w:ascii="Arial" w:hAnsi="Arial" w:cs="Arial"/>
          <w:sz w:val="28"/>
          <w:szCs w:val="28"/>
        </w:rPr>
      </w:pPr>
    </w:p>
    <w:p w14:paraId="56F0E6A0" w14:textId="77777777" w:rsidR="00B500A1" w:rsidRDefault="00B500A1" w:rsidP="00B500A1">
      <w:pPr>
        <w:rPr>
          <w:rFonts w:ascii="Arial" w:hAnsi="Arial" w:cs="Arial"/>
          <w:sz w:val="28"/>
          <w:szCs w:val="28"/>
        </w:rPr>
      </w:pPr>
    </w:p>
    <w:p w14:paraId="29B9A5A8" w14:textId="77777777" w:rsidR="00B500A1" w:rsidRDefault="00B500A1" w:rsidP="00B500A1">
      <w:pPr>
        <w:rPr>
          <w:rFonts w:ascii="Arial" w:hAnsi="Arial" w:cs="Arial"/>
          <w:sz w:val="28"/>
          <w:szCs w:val="28"/>
        </w:rPr>
      </w:pPr>
    </w:p>
    <w:p w14:paraId="086D8396" w14:textId="77777777" w:rsidR="00B500A1" w:rsidRDefault="00B500A1" w:rsidP="00B500A1">
      <w:pPr>
        <w:rPr>
          <w:rFonts w:ascii="Arial" w:hAnsi="Arial" w:cs="Arial"/>
          <w:sz w:val="28"/>
          <w:szCs w:val="28"/>
        </w:rPr>
      </w:pPr>
    </w:p>
    <w:p w14:paraId="639C784D" w14:textId="77777777" w:rsidR="00B500A1" w:rsidRDefault="00B500A1" w:rsidP="00B500A1">
      <w:pPr>
        <w:rPr>
          <w:rFonts w:ascii="Arial" w:hAnsi="Arial" w:cs="Arial"/>
          <w:sz w:val="28"/>
          <w:szCs w:val="28"/>
        </w:rPr>
      </w:pPr>
    </w:p>
    <w:p w14:paraId="549F270F" w14:textId="77777777" w:rsidR="00B500A1" w:rsidRDefault="00B500A1" w:rsidP="00B500A1">
      <w:pPr>
        <w:rPr>
          <w:rFonts w:ascii="Arial" w:hAnsi="Arial" w:cs="Arial"/>
          <w:sz w:val="28"/>
          <w:szCs w:val="28"/>
        </w:rPr>
      </w:pPr>
    </w:p>
    <w:p w14:paraId="3B042EC6" w14:textId="77777777" w:rsidR="00B500A1" w:rsidRDefault="00B500A1" w:rsidP="00B500A1">
      <w:pPr>
        <w:rPr>
          <w:rFonts w:ascii="Arial" w:hAnsi="Arial" w:cs="Arial"/>
          <w:sz w:val="28"/>
          <w:szCs w:val="28"/>
        </w:rPr>
      </w:pPr>
    </w:p>
    <w:p w14:paraId="075F48D4" w14:textId="77777777" w:rsidR="00B500A1" w:rsidRDefault="00B500A1" w:rsidP="00B500A1">
      <w:pPr>
        <w:rPr>
          <w:rFonts w:ascii="Arial" w:hAnsi="Arial" w:cs="Arial"/>
          <w:sz w:val="28"/>
          <w:szCs w:val="28"/>
        </w:rPr>
      </w:pPr>
    </w:p>
    <w:p w14:paraId="6ED80A64" w14:textId="77777777" w:rsidR="00B500A1" w:rsidRDefault="00B500A1" w:rsidP="00B500A1">
      <w:pPr>
        <w:rPr>
          <w:rFonts w:ascii="Arial" w:hAnsi="Arial" w:cs="Arial"/>
          <w:sz w:val="28"/>
          <w:szCs w:val="28"/>
        </w:rPr>
      </w:pPr>
    </w:p>
    <w:p w14:paraId="15A7BC55" w14:textId="77777777" w:rsidR="00B500A1" w:rsidRDefault="00B500A1" w:rsidP="00B500A1">
      <w:pPr>
        <w:rPr>
          <w:rFonts w:ascii="Arial" w:hAnsi="Arial" w:cs="Arial"/>
          <w:sz w:val="28"/>
          <w:szCs w:val="28"/>
        </w:rPr>
      </w:pPr>
    </w:p>
    <w:p w14:paraId="3D4B6E8A" w14:textId="77777777" w:rsidR="00B500A1" w:rsidRDefault="00B500A1" w:rsidP="00B500A1">
      <w:pPr>
        <w:rPr>
          <w:rFonts w:ascii="Arial" w:hAnsi="Arial" w:cs="Arial"/>
          <w:sz w:val="28"/>
          <w:szCs w:val="28"/>
        </w:rPr>
      </w:pPr>
    </w:p>
    <w:p w14:paraId="22F9B499" w14:textId="5C1307E7" w:rsidR="00B500A1" w:rsidRPr="002B60B2" w:rsidRDefault="00B500A1" w:rsidP="002B60B2">
      <w:pPr>
        <w:pStyle w:val="EU"/>
        <w:spacing w:line="360" w:lineRule="auto"/>
        <w:rPr>
          <w:color w:val="000000" w:themeColor="text1"/>
        </w:rPr>
      </w:pPr>
      <w:bookmarkStart w:id="0" w:name="_Toc200649757"/>
      <w:r w:rsidRPr="002B60B2">
        <w:rPr>
          <w:color w:val="000000" w:themeColor="text1"/>
        </w:rPr>
        <w:lastRenderedPageBreak/>
        <w:t>Executive summary</w:t>
      </w:r>
      <w:bookmarkEnd w:id="0"/>
      <w:r w:rsidRPr="002B60B2">
        <w:rPr>
          <w:color w:val="000000" w:themeColor="text1"/>
        </w:rPr>
        <w:t xml:space="preserve"> </w:t>
      </w:r>
    </w:p>
    <w:p w14:paraId="4A1EFDE8" w14:textId="32DA3402" w:rsidR="00B500A1" w:rsidRPr="002B60B2" w:rsidRDefault="002B60B2" w:rsidP="002B60B2">
      <w:pPr>
        <w:spacing w:line="360" w:lineRule="auto"/>
        <w:jc w:val="both"/>
        <w:rPr>
          <w:rFonts w:ascii="Arial" w:hAnsi="Arial" w:cs="Arial"/>
          <w:sz w:val="24"/>
          <w:szCs w:val="24"/>
          <w:lang w:eastAsia="en-GB"/>
        </w:rPr>
      </w:pPr>
      <w:r w:rsidRPr="002B60B2">
        <w:rPr>
          <w:rFonts w:ascii="Arial" w:hAnsi="Arial" w:cs="Arial"/>
          <w:sz w:val="24"/>
          <w:szCs w:val="24"/>
          <w:lang w:eastAsia="en-GB"/>
        </w:rPr>
        <w:t xml:space="preserve">Investigation at Ibis Nottingham Centre asked whether routinely selling more rooms than exist improves profit or damages relationships. Practitioner notes, booking figures, extensive suites of diverse online reviews, and corporate files carefully validated formed the evidence base for a mixed-method case study. Strategic overbooking nudged average occupancy up by four percentage points and lifted gross room revenue on paper, yet the commercial edge vanished once hidden relocation costs appeared, eroding net profit and wider brand reputation. Seventeen guests were “walked” to partner hotels, absorbing refunds, taxis, and higher rate differentials that averaged £45 per guest and sparked an 18 percent surge in online complaints. Operational knock-on effects included longer check-in queues, extra overtime, and staff burnout scores that spiked on relocation nights. On 14 February alone, five relocations stretched front-desk waits to 18 minutes—three times the norm—and prompted three new one-star reviews before dawn. Root-cause analysis isolates three gaps: static forecast models that ignore live demand pulses, cluster pricing targets that encourage risky hedging, and narrow empowerment that slows service recovery. The competitive frame matters; agile rivals adjust inventory hour by hour, and social platforms punish unreliability within minutes. To close the gaps, we propose five linked moves. First, install a cloud forecast engine that recalibrates allowable overbooking each hour using neural networks. Second, send proactive offers of credit for voluntary rebooking and, when a forced move is unavoidable, cast it as a no-cost upgrade with clear added value. Third, extend supervisor authority to grant cash or point compensation instantly within set ceilings, removing delay and uncertainty. Fourth, join a federated partner-hotel extranet so substitute rooms can be booked in seconds without lengthy telephone negotiation. Fifth, weave staff-care elements—two-minute mindfulness resets, peer debrief circles after busy shifts, and quarterly resilience workshops—into standard rosters. Scenario modelling shows the sequence can cut involuntary moves by one-third, restore guest sentiment to pre-incident levels, and avoid roughly £60 000 a year in significant hidden cost. </w:t>
      </w:r>
    </w:p>
    <w:p w14:paraId="621DAB5F" w14:textId="77777777" w:rsidR="00B500A1" w:rsidRPr="00B500A1" w:rsidRDefault="00B500A1" w:rsidP="00B500A1">
      <w:pPr>
        <w:rPr>
          <w:lang w:eastAsia="en-GB"/>
        </w:rPr>
      </w:pPr>
    </w:p>
    <w:p w14:paraId="03853868" w14:textId="77777777" w:rsidR="00B500A1" w:rsidRDefault="00B500A1" w:rsidP="00B500A1">
      <w:pPr>
        <w:rPr>
          <w:rFonts w:ascii="Arial" w:eastAsiaTheme="majorEastAsia" w:hAnsi="Arial" w:cs="Arial"/>
          <w:b/>
          <w:color w:val="000000" w:themeColor="text1"/>
          <w:kern w:val="0"/>
          <w:sz w:val="24"/>
          <w:szCs w:val="24"/>
          <w:lang w:eastAsia="en-GB"/>
          <w14:ligatures w14:val="none"/>
        </w:rPr>
      </w:pPr>
    </w:p>
    <w:p w14:paraId="6067DB4D" w14:textId="77777777" w:rsidR="009F5E4E" w:rsidRDefault="009F5E4E" w:rsidP="00B500A1">
      <w:pPr>
        <w:rPr>
          <w:rFonts w:ascii="Arial" w:eastAsiaTheme="majorEastAsia" w:hAnsi="Arial" w:cs="Arial"/>
          <w:b/>
          <w:color w:val="000000" w:themeColor="text1"/>
          <w:kern w:val="0"/>
          <w:sz w:val="24"/>
          <w:szCs w:val="24"/>
          <w:lang w:eastAsia="en-GB"/>
          <w14:ligatures w14:val="none"/>
        </w:rPr>
      </w:pPr>
    </w:p>
    <w:p w14:paraId="596BF3C3" w14:textId="77777777" w:rsidR="009F5E4E" w:rsidRDefault="009F5E4E" w:rsidP="00B500A1">
      <w:pPr>
        <w:rPr>
          <w:rFonts w:ascii="Arial" w:eastAsiaTheme="majorEastAsia" w:hAnsi="Arial" w:cs="Arial"/>
          <w:b/>
          <w:color w:val="000000" w:themeColor="text1"/>
          <w:kern w:val="0"/>
          <w:sz w:val="24"/>
          <w:szCs w:val="24"/>
          <w:lang w:eastAsia="en-GB"/>
          <w14:ligatures w14:val="none"/>
        </w:rPr>
      </w:pPr>
    </w:p>
    <w:p w14:paraId="163EEF6E" w14:textId="77777777" w:rsidR="009F5E4E" w:rsidRDefault="009F5E4E" w:rsidP="00B500A1">
      <w:pPr>
        <w:rPr>
          <w:rFonts w:ascii="Arial" w:eastAsiaTheme="majorEastAsia" w:hAnsi="Arial" w:cs="Arial"/>
          <w:b/>
          <w:color w:val="000000" w:themeColor="text1"/>
          <w:kern w:val="0"/>
          <w:sz w:val="24"/>
          <w:szCs w:val="24"/>
          <w:lang w:eastAsia="en-GB"/>
          <w14:ligatures w14:val="none"/>
        </w:rPr>
      </w:pPr>
    </w:p>
    <w:sdt>
      <w:sdtPr>
        <w:rPr>
          <w:rFonts w:asciiTheme="minorHAnsi" w:eastAsiaTheme="minorHAnsi" w:hAnsiTheme="minorHAnsi" w:cstheme="minorBidi"/>
          <w:color w:val="auto"/>
          <w:kern w:val="2"/>
          <w:sz w:val="22"/>
          <w:szCs w:val="22"/>
          <w:lang w:val="en-GB"/>
          <w14:ligatures w14:val="standardContextual"/>
        </w:rPr>
        <w:id w:val="752545699"/>
        <w:docPartObj>
          <w:docPartGallery w:val="Table of Contents"/>
          <w:docPartUnique/>
        </w:docPartObj>
      </w:sdtPr>
      <w:sdtEndPr>
        <w:rPr>
          <w:b/>
          <w:bCs/>
          <w:noProof/>
        </w:rPr>
      </w:sdtEndPr>
      <w:sdtContent>
        <w:p w14:paraId="2DFE6975" w14:textId="584627AF" w:rsidR="009F5E4E" w:rsidRPr="009F5E4E" w:rsidRDefault="009F5E4E" w:rsidP="009F5E4E">
          <w:pPr>
            <w:pStyle w:val="TOCHeading"/>
            <w:spacing w:line="360" w:lineRule="auto"/>
            <w:rPr>
              <w:rFonts w:ascii="Arial" w:hAnsi="Arial" w:cs="Arial"/>
            </w:rPr>
          </w:pPr>
          <w:r w:rsidRPr="009F5E4E">
            <w:rPr>
              <w:rFonts w:ascii="Arial" w:hAnsi="Arial" w:cs="Arial"/>
            </w:rPr>
            <w:t>Table of Contents</w:t>
          </w:r>
        </w:p>
        <w:p w14:paraId="3229E59C" w14:textId="341E79ED" w:rsidR="009F5E4E" w:rsidRPr="009F5E4E" w:rsidRDefault="009F5E4E" w:rsidP="009F5E4E">
          <w:pPr>
            <w:pStyle w:val="TOC1"/>
            <w:tabs>
              <w:tab w:val="right" w:leader="dot" w:pos="9016"/>
            </w:tabs>
            <w:spacing w:line="360" w:lineRule="auto"/>
            <w:rPr>
              <w:rFonts w:ascii="Arial" w:hAnsi="Arial" w:cs="Arial"/>
              <w:noProof/>
            </w:rPr>
          </w:pPr>
          <w:r w:rsidRPr="009F5E4E">
            <w:rPr>
              <w:rFonts w:ascii="Arial" w:hAnsi="Arial" w:cs="Arial"/>
            </w:rPr>
            <w:fldChar w:fldCharType="begin"/>
          </w:r>
          <w:r w:rsidRPr="009F5E4E">
            <w:rPr>
              <w:rFonts w:ascii="Arial" w:hAnsi="Arial" w:cs="Arial"/>
            </w:rPr>
            <w:instrText xml:space="preserve"> TOC \o "1-3" \h \z \u </w:instrText>
          </w:r>
          <w:r w:rsidRPr="009F5E4E">
            <w:rPr>
              <w:rFonts w:ascii="Arial" w:hAnsi="Arial" w:cs="Arial"/>
            </w:rPr>
            <w:fldChar w:fldCharType="separate"/>
          </w:r>
          <w:hyperlink w:anchor="_Toc200649757" w:history="1">
            <w:r w:rsidRPr="009F5E4E">
              <w:rPr>
                <w:rStyle w:val="Hyperlink"/>
                <w:rFonts w:ascii="Arial" w:hAnsi="Arial" w:cs="Arial"/>
                <w:noProof/>
              </w:rPr>
              <w:t>Executive summary</w:t>
            </w:r>
            <w:r w:rsidRPr="009F5E4E">
              <w:rPr>
                <w:rFonts w:ascii="Arial" w:hAnsi="Arial" w:cs="Arial"/>
                <w:noProof/>
                <w:webHidden/>
              </w:rPr>
              <w:tab/>
            </w:r>
            <w:r w:rsidRPr="009F5E4E">
              <w:rPr>
                <w:rFonts w:ascii="Arial" w:hAnsi="Arial" w:cs="Arial"/>
                <w:noProof/>
                <w:webHidden/>
              </w:rPr>
              <w:fldChar w:fldCharType="begin"/>
            </w:r>
            <w:r w:rsidRPr="009F5E4E">
              <w:rPr>
                <w:rFonts w:ascii="Arial" w:hAnsi="Arial" w:cs="Arial"/>
                <w:noProof/>
                <w:webHidden/>
              </w:rPr>
              <w:instrText xml:space="preserve"> PAGEREF _Toc200649757 \h </w:instrText>
            </w:r>
            <w:r w:rsidRPr="009F5E4E">
              <w:rPr>
                <w:rFonts w:ascii="Arial" w:hAnsi="Arial" w:cs="Arial"/>
                <w:noProof/>
                <w:webHidden/>
              </w:rPr>
            </w:r>
            <w:r w:rsidRPr="009F5E4E">
              <w:rPr>
                <w:rFonts w:ascii="Arial" w:hAnsi="Arial" w:cs="Arial"/>
                <w:noProof/>
                <w:webHidden/>
              </w:rPr>
              <w:fldChar w:fldCharType="separate"/>
            </w:r>
            <w:r w:rsidR="004A5AE3">
              <w:rPr>
                <w:rFonts w:ascii="Arial" w:hAnsi="Arial" w:cs="Arial"/>
                <w:noProof/>
                <w:webHidden/>
              </w:rPr>
              <w:t>2</w:t>
            </w:r>
            <w:r w:rsidRPr="009F5E4E">
              <w:rPr>
                <w:rFonts w:ascii="Arial" w:hAnsi="Arial" w:cs="Arial"/>
                <w:noProof/>
                <w:webHidden/>
              </w:rPr>
              <w:fldChar w:fldCharType="end"/>
            </w:r>
          </w:hyperlink>
        </w:p>
        <w:p w14:paraId="0C5A6B5D" w14:textId="62316405" w:rsidR="009F5E4E" w:rsidRPr="009F5E4E" w:rsidRDefault="00000000" w:rsidP="009F5E4E">
          <w:pPr>
            <w:pStyle w:val="TOC1"/>
            <w:tabs>
              <w:tab w:val="left" w:pos="480"/>
              <w:tab w:val="right" w:leader="dot" w:pos="9016"/>
            </w:tabs>
            <w:spacing w:line="360" w:lineRule="auto"/>
            <w:rPr>
              <w:rFonts w:ascii="Arial" w:hAnsi="Arial" w:cs="Arial"/>
              <w:noProof/>
            </w:rPr>
          </w:pPr>
          <w:hyperlink w:anchor="_Toc200649758" w:history="1">
            <w:r w:rsidR="009F5E4E" w:rsidRPr="009F5E4E">
              <w:rPr>
                <w:rStyle w:val="Hyperlink"/>
                <w:rFonts w:ascii="Arial" w:hAnsi="Arial" w:cs="Arial"/>
                <w:noProof/>
              </w:rPr>
              <w:t>1.</w:t>
            </w:r>
            <w:r w:rsidR="009F5E4E" w:rsidRPr="009F5E4E">
              <w:rPr>
                <w:rFonts w:ascii="Arial" w:hAnsi="Arial" w:cs="Arial"/>
                <w:noProof/>
              </w:rPr>
              <w:tab/>
            </w:r>
            <w:r w:rsidR="009F5E4E" w:rsidRPr="009F5E4E">
              <w:rPr>
                <w:rStyle w:val="Hyperlink"/>
                <w:rFonts w:ascii="Arial" w:hAnsi="Arial" w:cs="Arial"/>
                <w:noProof/>
              </w:rPr>
              <w:t>Introduction</w:t>
            </w:r>
            <w:r w:rsidR="009F5E4E" w:rsidRPr="009F5E4E">
              <w:rPr>
                <w:rFonts w:ascii="Arial" w:hAnsi="Arial" w:cs="Arial"/>
                <w:noProof/>
                <w:webHidden/>
              </w:rPr>
              <w:tab/>
            </w:r>
            <w:r w:rsidR="009F5E4E" w:rsidRPr="009F5E4E">
              <w:rPr>
                <w:rFonts w:ascii="Arial" w:hAnsi="Arial" w:cs="Arial"/>
                <w:noProof/>
                <w:webHidden/>
              </w:rPr>
              <w:fldChar w:fldCharType="begin"/>
            </w:r>
            <w:r w:rsidR="009F5E4E" w:rsidRPr="009F5E4E">
              <w:rPr>
                <w:rFonts w:ascii="Arial" w:hAnsi="Arial" w:cs="Arial"/>
                <w:noProof/>
                <w:webHidden/>
              </w:rPr>
              <w:instrText xml:space="preserve"> PAGEREF _Toc200649758 \h </w:instrText>
            </w:r>
            <w:r w:rsidR="009F5E4E" w:rsidRPr="009F5E4E">
              <w:rPr>
                <w:rFonts w:ascii="Arial" w:hAnsi="Arial" w:cs="Arial"/>
                <w:noProof/>
                <w:webHidden/>
              </w:rPr>
            </w:r>
            <w:r w:rsidR="009F5E4E" w:rsidRPr="009F5E4E">
              <w:rPr>
                <w:rFonts w:ascii="Arial" w:hAnsi="Arial" w:cs="Arial"/>
                <w:noProof/>
                <w:webHidden/>
              </w:rPr>
              <w:fldChar w:fldCharType="separate"/>
            </w:r>
            <w:r w:rsidR="004A5AE3">
              <w:rPr>
                <w:rFonts w:ascii="Arial" w:hAnsi="Arial" w:cs="Arial"/>
                <w:noProof/>
                <w:webHidden/>
              </w:rPr>
              <w:t>4</w:t>
            </w:r>
            <w:r w:rsidR="009F5E4E" w:rsidRPr="009F5E4E">
              <w:rPr>
                <w:rFonts w:ascii="Arial" w:hAnsi="Arial" w:cs="Arial"/>
                <w:noProof/>
                <w:webHidden/>
              </w:rPr>
              <w:fldChar w:fldCharType="end"/>
            </w:r>
          </w:hyperlink>
        </w:p>
        <w:p w14:paraId="03D59286" w14:textId="0B177768" w:rsidR="009F5E4E" w:rsidRPr="009F5E4E" w:rsidRDefault="00000000" w:rsidP="009F5E4E">
          <w:pPr>
            <w:pStyle w:val="TOC1"/>
            <w:tabs>
              <w:tab w:val="left" w:pos="480"/>
              <w:tab w:val="right" w:leader="dot" w:pos="9016"/>
            </w:tabs>
            <w:spacing w:line="360" w:lineRule="auto"/>
            <w:rPr>
              <w:rFonts w:ascii="Arial" w:hAnsi="Arial" w:cs="Arial"/>
              <w:noProof/>
            </w:rPr>
          </w:pPr>
          <w:hyperlink w:anchor="_Toc200649759" w:history="1">
            <w:r w:rsidR="009F5E4E" w:rsidRPr="009F5E4E">
              <w:rPr>
                <w:rStyle w:val="Hyperlink"/>
                <w:rFonts w:ascii="Arial" w:hAnsi="Arial" w:cs="Arial"/>
                <w:noProof/>
              </w:rPr>
              <w:t>2.</w:t>
            </w:r>
            <w:r w:rsidR="009F5E4E" w:rsidRPr="009F5E4E">
              <w:rPr>
                <w:rFonts w:ascii="Arial" w:hAnsi="Arial" w:cs="Arial"/>
                <w:noProof/>
              </w:rPr>
              <w:tab/>
            </w:r>
            <w:r w:rsidR="009F5E4E" w:rsidRPr="009F5E4E">
              <w:rPr>
                <w:rStyle w:val="Hyperlink"/>
                <w:rFonts w:ascii="Arial" w:hAnsi="Arial" w:cs="Arial"/>
                <w:noProof/>
              </w:rPr>
              <w:t>Literature Review</w:t>
            </w:r>
            <w:r w:rsidR="009F5E4E" w:rsidRPr="009F5E4E">
              <w:rPr>
                <w:rFonts w:ascii="Arial" w:hAnsi="Arial" w:cs="Arial"/>
                <w:noProof/>
                <w:webHidden/>
              </w:rPr>
              <w:tab/>
            </w:r>
            <w:r w:rsidR="009F5E4E" w:rsidRPr="009F5E4E">
              <w:rPr>
                <w:rFonts w:ascii="Arial" w:hAnsi="Arial" w:cs="Arial"/>
                <w:noProof/>
                <w:webHidden/>
              </w:rPr>
              <w:fldChar w:fldCharType="begin"/>
            </w:r>
            <w:r w:rsidR="009F5E4E" w:rsidRPr="009F5E4E">
              <w:rPr>
                <w:rFonts w:ascii="Arial" w:hAnsi="Arial" w:cs="Arial"/>
                <w:noProof/>
                <w:webHidden/>
              </w:rPr>
              <w:instrText xml:space="preserve"> PAGEREF _Toc200649759 \h </w:instrText>
            </w:r>
            <w:r w:rsidR="009F5E4E" w:rsidRPr="009F5E4E">
              <w:rPr>
                <w:rFonts w:ascii="Arial" w:hAnsi="Arial" w:cs="Arial"/>
                <w:noProof/>
                <w:webHidden/>
              </w:rPr>
            </w:r>
            <w:r w:rsidR="009F5E4E" w:rsidRPr="009F5E4E">
              <w:rPr>
                <w:rFonts w:ascii="Arial" w:hAnsi="Arial" w:cs="Arial"/>
                <w:noProof/>
                <w:webHidden/>
              </w:rPr>
              <w:fldChar w:fldCharType="separate"/>
            </w:r>
            <w:r w:rsidR="004A5AE3">
              <w:rPr>
                <w:rFonts w:ascii="Arial" w:hAnsi="Arial" w:cs="Arial"/>
                <w:noProof/>
                <w:webHidden/>
              </w:rPr>
              <w:t>5</w:t>
            </w:r>
            <w:r w:rsidR="009F5E4E" w:rsidRPr="009F5E4E">
              <w:rPr>
                <w:rFonts w:ascii="Arial" w:hAnsi="Arial" w:cs="Arial"/>
                <w:noProof/>
                <w:webHidden/>
              </w:rPr>
              <w:fldChar w:fldCharType="end"/>
            </w:r>
          </w:hyperlink>
        </w:p>
        <w:p w14:paraId="3362D9F3" w14:textId="3502DF58" w:rsidR="009F5E4E" w:rsidRPr="009F5E4E" w:rsidRDefault="00000000" w:rsidP="009F5E4E">
          <w:pPr>
            <w:pStyle w:val="TOC1"/>
            <w:tabs>
              <w:tab w:val="left" w:pos="480"/>
              <w:tab w:val="right" w:leader="dot" w:pos="9016"/>
            </w:tabs>
            <w:spacing w:line="360" w:lineRule="auto"/>
            <w:rPr>
              <w:rFonts w:ascii="Arial" w:hAnsi="Arial" w:cs="Arial"/>
              <w:noProof/>
            </w:rPr>
          </w:pPr>
          <w:hyperlink w:anchor="_Toc200649760" w:history="1">
            <w:r w:rsidR="009F5E4E" w:rsidRPr="009F5E4E">
              <w:rPr>
                <w:rStyle w:val="Hyperlink"/>
                <w:rFonts w:ascii="Arial" w:hAnsi="Arial" w:cs="Arial"/>
                <w:noProof/>
              </w:rPr>
              <w:t>3.</w:t>
            </w:r>
            <w:r w:rsidR="009F5E4E" w:rsidRPr="009F5E4E">
              <w:rPr>
                <w:rFonts w:ascii="Arial" w:hAnsi="Arial" w:cs="Arial"/>
                <w:noProof/>
              </w:rPr>
              <w:tab/>
            </w:r>
            <w:r w:rsidR="009F5E4E" w:rsidRPr="009F5E4E">
              <w:rPr>
                <w:rStyle w:val="Hyperlink"/>
                <w:rFonts w:ascii="Arial" w:hAnsi="Arial" w:cs="Arial"/>
                <w:noProof/>
              </w:rPr>
              <w:t>Methods</w:t>
            </w:r>
            <w:r w:rsidR="009F5E4E" w:rsidRPr="009F5E4E">
              <w:rPr>
                <w:rFonts w:ascii="Arial" w:hAnsi="Arial" w:cs="Arial"/>
                <w:noProof/>
                <w:webHidden/>
              </w:rPr>
              <w:tab/>
            </w:r>
            <w:r w:rsidR="009F5E4E" w:rsidRPr="009F5E4E">
              <w:rPr>
                <w:rFonts w:ascii="Arial" w:hAnsi="Arial" w:cs="Arial"/>
                <w:noProof/>
                <w:webHidden/>
              </w:rPr>
              <w:fldChar w:fldCharType="begin"/>
            </w:r>
            <w:r w:rsidR="009F5E4E" w:rsidRPr="009F5E4E">
              <w:rPr>
                <w:rFonts w:ascii="Arial" w:hAnsi="Arial" w:cs="Arial"/>
                <w:noProof/>
                <w:webHidden/>
              </w:rPr>
              <w:instrText xml:space="preserve"> PAGEREF _Toc200649760 \h </w:instrText>
            </w:r>
            <w:r w:rsidR="009F5E4E" w:rsidRPr="009F5E4E">
              <w:rPr>
                <w:rFonts w:ascii="Arial" w:hAnsi="Arial" w:cs="Arial"/>
                <w:noProof/>
                <w:webHidden/>
              </w:rPr>
            </w:r>
            <w:r w:rsidR="009F5E4E" w:rsidRPr="009F5E4E">
              <w:rPr>
                <w:rFonts w:ascii="Arial" w:hAnsi="Arial" w:cs="Arial"/>
                <w:noProof/>
                <w:webHidden/>
              </w:rPr>
              <w:fldChar w:fldCharType="separate"/>
            </w:r>
            <w:r w:rsidR="004A5AE3">
              <w:rPr>
                <w:rFonts w:ascii="Arial" w:hAnsi="Arial" w:cs="Arial"/>
                <w:noProof/>
                <w:webHidden/>
              </w:rPr>
              <w:t>8</w:t>
            </w:r>
            <w:r w:rsidR="009F5E4E" w:rsidRPr="009F5E4E">
              <w:rPr>
                <w:rFonts w:ascii="Arial" w:hAnsi="Arial" w:cs="Arial"/>
                <w:noProof/>
                <w:webHidden/>
              </w:rPr>
              <w:fldChar w:fldCharType="end"/>
            </w:r>
          </w:hyperlink>
        </w:p>
        <w:p w14:paraId="72500CC0" w14:textId="542AD4F4" w:rsidR="009F5E4E" w:rsidRPr="009F5E4E" w:rsidRDefault="00000000" w:rsidP="009F5E4E">
          <w:pPr>
            <w:pStyle w:val="TOC1"/>
            <w:tabs>
              <w:tab w:val="left" w:pos="480"/>
              <w:tab w:val="right" w:leader="dot" w:pos="9016"/>
            </w:tabs>
            <w:spacing w:line="360" w:lineRule="auto"/>
            <w:rPr>
              <w:rFonts w:ascii="Arial" w:hAnsi="Arial" w:cs="Arial"/>
              <w:noProof/>
            </w:rPr>
          </w:pPr>
          <w:hyperlink w:anchor="_Toc200649761" w:history="1">
            <w:r w:rsidR="009F5E4E" w:rsidRPr="009F5E4E">
              <w:rPr>
                <w:rStyle w:val="Hyperlink"/>
                <w:rFonts w:ascii="Arial" w:hAnsi="Arial" w:cs="Arial"/>
                <w:noProof/>
              </w:rPr>
              <w:t>4.</w:t>
            </w:r>
            <w:r w:rsidR="009F5E4E" w:rsidRPr="009F5E4E">
              <w:rPr>
                <w:rFonts w:ascii="Arial" w:hAnsi="Arial" w:cs="Arial"/>
                <w:noProof/>
              </w:rPr>
              <w:tab/>
            </w:r>
            <w:r w:rsidR="009F5E4E" w:rsidRPr="009F5E4E">
              <w:rPr>
                <w:rStyle w:val="Hyperlink"/>
                <w:rFonts w:ascii="Arial" w:hAnsi="Arial" w:cs="Arial"/>
                <w:noProof/>
              </w:rPr>
              <w:t>Case Study Hotel Overview and Findings</w:t>
            </w:r>
            <w:r w:rsidR="009F5E4E" w:rsidRPr="009F5E4E">
              <w:rPr>
                <w:rFonts w:ascii="Arial" w:hAnsi="Arial" w:cs="Arial"/>
                <w:noProof/>
                <w:webHidden/>
              </w:rPr>
              <w:tab/>
            </w:r>
            <w:r w:rsidR="009F5E4E" w:rsidRPr="009F5E4E">
              <w:rPr>
                <w:rFonts w:ascii="Arial" w:hAnsi="Arial" w:cs="Arial"/>
                <w:noProof/>
                <w:webHidden/>
              </w:rPr>
              <w:fldChar w:fldCharType="begin"/>
            </w:r>
            <w:r w:rsidR="009F5E4E" w:rsidRPr="009F5E4E">
              <w:rPr>
                <w:rFonts w:ascii="Arial" w:hAnsi="Arial" w:cs="Arial"/>
                <w:noProof/>
                <w:webHidden/>
              </w:rPr>
              <w:instrText xml:space="preserve"> PAGEREF _Toc200649761 \h </w:instrText>
            </w:r>
            <w:r w:rsidR="009F5E4E" w:rsidRPr="009F5E4E">
              <w:rPr>
                <w:rFonts w:ascii="Arial" w:hAnsi="Arial" w:cs="Arial"/>
                <w:noProof/>
                <w:webHidden/>
              </w:rPr>
            </w:r>
            <w:r w:rsidR="009F5E4E" w:rsidRPr="009F5E4E">
              <w:rPr>
                <w:rFonts w:ascii="Arial" w:hAnsi="Arial" w:cs="Arial"/>
                <w:noProof/>
                <w:webHidden/>
              </w:rPr>
              <w:fldChar w:fldCharType="separate"/>
            </w:r>
            <w:r w:rsidR="004A5AE3">
              <w:rPr>
                <w:rFonts w:ascii="Arial" w:hAnsi="Arial" w:cs="Arial"/>
                <w:noProof/>
                <w:webHidden/>
              </w:rPr>
              <w:t>9</w:t>
            </w:r>
            <w:r w:rsidR="009F5E4E" w:rsidRPr="009F5E4E">
              <w:rPr>
                <w:rFonts w:ascii="Arial" w:hAnsi="Arial" w:cs="Arial"/>
                <w:noProof/>
                <w:webHidden/>
              </w:rPr>
              <w:fldChar w:fldCharType="end"/>
            </w:r>
          </w:hyperlink>
        </w:p>
        <w:p w14:paraId="04061AEA" w14:textId="46ACC0E3" w:rsidR="009F5E4E" w:rsidRPr="009F5E4E" w:rsidRDefault="00000000" w:rsidP="009F5E4E">
          <w:pPr>
            <w:pStyle w:val="TOC1"/>
            <w:tabs>
              <w:tab w:val="left" w:pos="480"/>
              <w:tab w:val="right" w:leader="dot" w:pos="9016"/>
            </w:tabs>
            <w:spacing w:line="360" w:lineRule="auto"/>
            <w:rPr>
              <w:rFonts w:ascii="Arial" w:hAnsi="Arial" w:cs="Arial"/>
              <w:noProof/>
            </w:rPr>
          </w:pPr>
          <w:hyperlink w:anchor="_Toc200649762" w:history="1">
            <w:r w:rsidR="009F5E4E" w:rsidRPr="009F5E4E">
              <w:rPr>
                <w:rStyle w:val="Hyperlink"/>
                <w:rFonts w:ascii="Arial" w:hAnsi="Arial" w:cs="Arial"/>
                <w:noProof/>
              </w:rPr>
              <w:t>5.</w:t>
            </w:r>
            <w:r w:rsidR="009F5E4E" w:rsidRPr="009F5E4E">
              <w:rPr>
                <w:rFonts w:ascii="Arial" w:hAnsi="Arial" w:cs="Arial"/>
                <w:noProof/>
              </w:rPr>
              <w:tab/>
            </w:r>
            <w:r w:rsidR="009F5E4E" w:rsidRPr="009F5E4E">
              <w:rPr>
                <w:rStyle w:val="Hyperlink"/>
                <w:rFonts w:ascii="Arial" w:hAnsi="Arial" w:cs="Arial"/>
                <w:noProof/>
              </w:rPr>
              <w:t>Discussion</w:t>
            </w:r>
            <w:r w:rsidR="009F5E4E" w:rsidRPr="009F5E4E">
              <w:rPr>
                <w:rFonts w:ascii="Arial" w:hAnsi="Arial" w:cs="Arial"/>
                <w:noProof/>
                <w:webHidden/>
              </w:rPr>
              <w:tab/>
            </w:r>
            <w:r w:rsidR="009F5E4E" w:rsidRPr="009F5E4E">
              <w:rPr>
                <w:rFonts w:ascii="Arial" w:hAnsi="Arial" w:cs="Arial"/>
                <w:noProof/>
                <w:webHidden/>
              </w:rPr>
              <w:fldChar w:fldCharType="begin"/>
            </w:r>
            <w:r w:rsidR="009F5E4E" w:rsidRPr="009F5E4E">
              <w:rPr>
                <w:rFonts w:ascii="Arial" w:hAnsi="Arial" w:cs="Arial"/>
                <w:noProof/>
                <w:webHidden/>
              </w:rPr>
              <w:instrText xml:space="preserve"> PAGEREF _Toc200649762 \h </w:instrText>
            </w:r>
            <w:r w:rsidR="009F5E4E" w:rsidRPr="009F5E4E">
              <w:rPr>
                <w:rFonts w:ascii="Arial" w:hAnsi="Arial" w:cs="Arial"/>
                <w:noProof/>
                <w:webHidden/>
              </w:rPr>
            </w:r>
            <w:r w:rsidR="009F5E4E" w:rsidRPr="009F5E4E">
              <w:rPr>
                <w:rFonts w:ascii="Arial" w:hAnsi="Arial" w:cs="Arial"/>
                <w:noProof/>
                <w:webHidden/>
              </w:rPr>
              <w:fldChar w:fldCharType="separate"/>
            </w:r>
            <w:r w:rsidR="004A5AE3">
              <w:rPr>
                <w:rFonts w:ascii="Arial" w:hAnsi="Arial" w:cs="Arial"/>
                <w:noProof/>
                <w:webHidden/>
              </w:rPr>
              <w:t>15</w:t>
            </w:r>
            <w:r w:rsidR="009F5E4E" w:rsidRPr="009F5E4E">
              <w:rPr>
                <w:rFonts w:ascii="Arial" w:hAnsi="Arial" w:cs="Arial"/>
                <w:noProof/>
                <w:webHidden/>
              </w:rPr>
              <w:fldChar w:fldCharType="end"/>
            </w:r>
          </w:hyperlink>
        </w:p>
        <w:p w14:paraId="79432B8A" w14:textId="3E7AA572" w:rsidR="009F5E4E" w:rsidRPr="009F5E4E" w:rsidRDefault="00000000" w:rsidP="009F5E4E">
          <w:pPr>
            <w:pStyle w:val="TOC1"/>
            <w:tabs>
              <w:tab w:val="left" w:pos="480"/>
              <w:tab w:val="right" w:leader="dot" w:pos="9016"/>
            </w:tabs>
            <w:spacing w:line="360" w:lineRule="auto"/>
            <w:rPr>
              <w:rFonts w:ascii="Arial" w:hAnsi="Arial" w:cs="Arial"/>
              <w:noProof/>
            </w:rPr>
          </w:pPr>
          <w:hyperlink w:anchor="_Toc200649763" w:history="1">
            <w:r w:rsidR="009F5E4E" w:rsidRPr="009F5E4E">
              <w:rPr>
                <w:rStyle w:val="Hyperlink"/>
                <w:rFonts w:ascii="Arial" w:hAnsi="Arial" w:cs="Arial"/>
                <w:noProof/>
              </w:rPr>
              <w:t>6.</w:t>
            </w:r>
            <w:r w:rsidR="009F5E4E" w:rsidRPr="009F5E4E">
              <w:rPr>
                <w:rFonts w:ascii="Arial" w:hAnsi="Arial" w:cs="Arial"/>
                <w:noProof/>
              </w:rPr>
              <w:tab/>
            </w:r>
            <w:r w:rsidR="009F5E4E" w:rsidRPr="009F5E4E">
              <w:rPr>
                <w:rStyle w:val="Hyperlink"/>
                <w:rFonts w:ascii="Arial" w:hAnsi="Arial" w:cs="Arial"/>
                <w:noProof/>
              </w:rPr>
              <w:t>Conclusion and Recommendations</w:t>
            </w:r>
            <w:r w:rsidR="009F5E4E" w:rsidRPr="009F5E4E">
              <w:rPr>
                <w:rFonts w:ascii="Arial" w:hAnsi="Arial" w:cs="Arial"/>
                <w:noProof/>
                <w:webHidden/>
              </w:rPr>
              <w:tab/>
            </w:r>
            <w:r w:rsidR="009F5E4E" w:rsidRPr="009F5E4E">
              <w:rPr>
                <w:rFonts w:ascii="Arial" w:hAnsi="Arial" w:cs="Arial"/>
                <w:noProof/>
                <w:webHidden/>
              </w:rPr>
              <w:fldChar w:fldCharType="begin"/>
            </w:r>
            <w:r w:rsidR="009F5E4E" w:rsidRPr="009F5E4E">
              <w:rPr>
                <w:rFonts w:ascii="Arial" w:hAnsi="Arial" w:cs="Arial"/>
                <w:noProof/>
                <w:webHidden/>
              </w:rPr>
              <w:instrText xml:space="preserve"> PAGEREF _Toc200649763 \h </w:instrText>
            </w:r>
            <w:r w:rsidR="009F5E4E" w:rsidRPr="009F5E4E">
              <w:rPr>
                <w:rFonts w:ascii="Arial" w:hAnsi="Arial" w:cs="Arial"/>
                <w:noProof/>
                <w:webHidden/>
              </w:rPr>
            </w:r>
            <w:r w:rsidR="009F5E4E" w:rsidRPr="009F5E4E">
              <w:rPr>
                <w:rFonts w:ascii="Arial" w:hAnsi="Arial" w:cs="Arial"/>
                <w:noProof/>
                <w:webHidden/>
              </w:rPr>
              <w:fldChar w:fldCharType="separate"/>
            </w:r>
            <w:r w:rsidR="004A5AE3">
              <w:rPr>
                <w:rFonts w:ascii="Arial" w:hAnsi="Arial" w:cs="Arial"/>
                <w:noProof/>
                <w:webHidden/>
              </w:rPr>
              <w:t>22</w:t>
            </w:r>
            <w:r w:rsidR="009F5E4E" w:rsidRPr="009F5E4E">
              <w:rPr>
                <w:rFonts w:ascii="Arial" w:hAnsi="Arial" w:cs="Arial"/>
                <w:noProof/>
                <w:webHidden/>
              </w:rPr>
              <w:fldChar w:fldCharType="end"/>
            </w:r>
          </w:hyperlink>
        </w:p>
        <w:p w14:paraId="20EA579A" w14:textId="1C000DB8" w:rsidR="009F5E4E" w:rsidRPr="009F5E4E" w:rsidRDefault="00000000" w:rsidP="009F5E4E">
          <w:pPr>
            <w:pStyle w:val="TOC1"/>
            <w:tabs>
              <w:tab w:val="right" w:leader="dot" w:pos="9016"/>
            </w:tabs>
            <w:spacing w:line="360" w:lineRule="auto"/>
            <w:rPr>
              <w:rFonts w:ascii="Arial" w:hAnsi="Arial" w:cs="Arial"/>
              <w:noProof/>
            </w:rPr>
          </w:pPr>
          <w:hyperlink w:anchor="_Toc200649764" w:history="1">
            <w:r w:rsidR="009F5E4E" w:rsidRPr="009F5E4E">
              <w:rPr>
                <w:rStyle w:val="Hyperlink"/>
                <w:rFonts w:ascii="Arial" w:hAnsi="Arial" w:cs="Arial"/>
                <w:noProof/>
              </w:rPr>
              <w:t>References</w:t>
            </w:r>
            <w:r w:rsidR="009F5E4E" w:rsidRPr="009F5E4E">
              <w:rPr>
                <w:rFonts w:ascii="Arial" w:hAnsi="Arial" w:cs="Arial"/>
                <w:noProof/>
                <w:webHidden/>
              </w:rPr>
              <w:tab/>
            </w:r>
            <w:r w:rsidR="009F5E4E" w:rsidRPr="009F5E4E">
              <w:rPr>
                <w:rFonts w:ascii="Arial" w:hAnsi="Arial" w:cs="Arial"/>
                <w:noProof/>
                <w:webHidden/>
              </w:rPr>
              <w:fldChar w:fldCharType="begin"/>
            </w:r>
            <w:r w:rsidR="009F5E4E" w:rsidRPr="009F5E4E">
              <w:rPr>
                <w:rFonts w:ascii="Arial" w:hAnsi="Arial" w:cs="Arial"/>
                <w:noProof/>
                <w:webHidden/>
              </w:rPr>
              <w:instrText xml:space="preserve"> PAGEREF _Toc200649764 \h </w:instrText>
            </w:r>
            <w:r w:rsidR="009F5E4E" w:rsidRPr="009F5E4E">
              <w:rPr>
                <w:rFonts w:ascii="Arial" w:hAnsi="Arial" w:cs="Arial"/>
                <w:noProof/>
                <w:webHidden/>
              </w:rPr>
            </w:r>
            <w:r w:rsidR="009F5E4E" w:rsidRPr="009F5E4E">
              <w:rPr>
                <w:rFonts w:ascii="Arial" w:hAnsi="Arial" w:cs="Arial"/>
                <w:noProof/>
                <w:webHidden/>
              </w:rPr>
              <w:fldChar w:fldCharType="separate"/>
            </w:r>
            <w:r w:rsidR="004A5AE3">
              <w:rPr>
                <w:rFonts w:ascii="Arial" w:hAnsi="Arial" w:cs="Arial"/>
                <w:noProof/>
                <w:webHidden/>
              </w:rPr>
              <w:t>25</w:t>
            </w:r>
            <w:r w:rsidR="009F5E4E" w:rsidRPr="009F5E4E">
              <w:rPr>
                <w:rFonts w:ascii="Arial" w:hAnsi="Arial" w:cs="Arial"/>
                <w:noProof/>
                <w:webHidden/>
              </w:rPr>
              <w:fldChar w:fldCharType="end"/>
            </w:r>
          </w:hyperlink>
        </w:p>
        <w:p w14:paraId="142085B3" w14:textId="491F7E89" w:rsidR="009F5E4E" w:rsidRDefault="009F5E4E" w:rsidP="009F5E4E">
          <w:pPr>
            <w:spacing w:line="360" w:lineRule="auto"/>
          </w:pPr>
          <w:r w:rsidRPr="009F5E4E">
            <w:rPr>
              <w:rFonts w:ascii="Arial" w:hAnsi="Arial" w:cs="Arial"/>
              <w:b/>
              <w:bCs/>
              <w:noProof/>
            </w:rPr>
            <w:fldChar w:fldCharType="end"/>
          </w:r>
        </w:p>
      </w:sdtContent>
    </w:sdt>
    <w:p w14:paraId="54F8669B" w14:textId="77777777" w:rsidR="009F5E4E" w:rsidRDefault="009F5E4E" w:rsidP="00B500A1">
      <w:pPr>
        <w:rPr>
          <w:rFonts w:ascii="Arial" w:eastAsiaTheme="majorEastAsia" w:hAnsi="Arial" w:cs="Arial"/>
          <w:b/>
          <w:color w:val="000000" w:themeColor="text1"/>
          <w:kern w:val="0"/>
          <w:sz w:val="24"/>
          <w:szCs w:val="24"/>
          <w:lang w:eastAsia="en-GB"/>
          <w14:ligatures w14:val="none"/>
        </w:rPr>
      </w:pPr>
    </w:p>
    <w:p w14:paraId="0F0FBC89" w14:textId="77777777" w:rsidR="00B500A1" w:rsidRDefault="00B500A1" w:rsidP="00B500A1">
      <w:pPr>
        <w:rPr>
          <w:lang w:eastAsia="en-GB"/>
        </w:rPr>
      </w:pPr>
    </w:p>
    <w:p w14:paraId="1DA08491" w14:textId="77777777" w:rsidR="00B500A1" w:rsidRDefault="00B500A1" w:rsidP="00B500A1">
      <w:pPr>
        <w:rPr>
          <w:lang w:eastAsia="en-GB"/>
        </w:rPr>
      </w:pPr>
    </w:p>
    <w:p w14:paraId="5305681B" w14:textId="727743D4" w:rsidR="00B500A1" w:rsidRPr="001540DA" w:rsidRDefault="001540DA" w:rsidP="00B500A1">
      <w:pPr>
        <w:rPr>
          <w:rFonts w:ascii="Arial" w:hAnsi="Arial" w:cs="Arial"/>
          <w:color w:val="FF0000"/>
          <w:sz w:val="24"/>
          <w:szCs w:val="24"/>
          <w:lang w:eastAsia="en-GB"/>
        </w:rPr>
      </w:pPr>
      <w:r w:rsidRPr="001540DA">
        <w:rPr>
          <w:rFonts w:ascii="Arial" w:hAnsi="Arial" w:cs="Arial"/>
          <w:color w:val="FF0000"/>
          <w:sz w:val="24"/>
          <w:szCs w:val="24"/>
          <w:lang w:eastAsia="en-GB"/>
        </w:rPr>
        <w:t>I declare</w:t>
      </w:r>
      <w:r>
        <w:rPr>
          <w:rFonts w:ascii="Arial" w:hAnsi="Arial" w:cs="Arial"/>
          <w:color w:val="FF0000"/>
          <w:sz w:val="24"/>
          <w:szCs w:val="24"/>
          <w:lang w:eastAsia="en-GB"/>
        </w:rPr>
        <w:t xml:space="preserve"> that</w:t>
      </w:r>
      <w:r w:rsidRPr="001540DA">
        <w:rPr>
          <w:rFonts w:ascii="Arial" w:hAnsi="Arial" w:cs="Arial"/>
          <w:color w:val="FF0000"/>
          <w:sz w:val="24"/>
          <w:szCs w:val="24"/>
          <w:lang w:eastAsia="en-GB"/>
        </w:rPr>
        <w:t xml:space="preserve"> I have not used AI in the creation of this paper. </w:t>
      </w:r>
    </w:p>
    <w:p w14:paraId="3A5E47AC" w14:textId="77777777" w:rsidR="00B500A1" w:rsidRDefault="00B500A1" w:rsidP="00B500A1">
      <w:pPr>
        <w:rPr>
          <w:lang w:eastAsia="en-GB"/>
        </w:rPr>
      </w:pPr>
    </w:p>
    <w:p w14:paraId="1960D733" w14:textId="77777777" w:rsidR="00B500A1" w:rsidRDefault="00B500A1" w:rsidP="00B500A1">
      <w:pPr>
        <w:rPr>
          <w:lang w:eastAsia="en-GB"/>
        </w:rPr>
      </w:pPr>
    </w:p>
    <w:p w14:paraId="4E8EF924" w14:textId="77777777" w:rsidR="00B500A1" w:rsidRDefault="00B500A1" w:rsidP="00B500A1">
      <w:pPr>
        <w:rPr>
          <w:lang w:eastAsia="en-GB"/>
        </w:rPr>
      </w:pPr>
    </w:p>
    <w:p w14:paraId="2C0F0E08" w14:textId="77777777" w:rsidR="00B500A1" w:rsidRDefault="00B500A1" w:rsidP="00B500A1">
      <w:pPr>
        <w:rPr>
          <w:lang w:eastAsia="en-GB"/>
        </w:rPr>
      </w:pPr>
    </w:p>
    <w:p w14:paraId="2AAFBC85" w14:textId="77777777" w:rsidR="00B500A1" w:rsidRDefault="00B500A1" w:rsidP="00B500A1">
      <w:pPr>
        <w:rPr>
          <w:lang w:eastAsia="en-GB"/>
        </w:rPr>
      </w:pPr>
    </w:p>
    <w:p w14:paraId="5683D5F5" w14:textId="77777777" w:rsidR="00B500A1" w:rsidRDefault="00B500A1" w:rsidP="00B500A1">
      <w:pPr>
        <w:rPr>
          <w:lang w:eastAsia="en-GB"/>
        </w:rPr>
      </w:pPr>
    </w:p>
    <w:p w14:paraId="04771B77" w14:textId="77777777" w:rsidR="00B500A1" w:rsidRDefault="00B500A1" w:rsidP="00B500A1">
      <w:pPr>
        <w:rPr>
          <w:lang w:eastAsia="en-GB"/>
        </w:rPr>
      </w:pPr>
    </w:p>
    <w:p w14:paraId="1089C775" w14:textId="77777777" w:rsidR="00B500A1" w:rsidRDefault="00B500A1" w:rsidP="00B500A1">
      <w:pPr>
        <w:rPr>
          <w:lang w:eastAsia="en-GB"/>
        </w:rPr>
      </w:pPr>
    </w:p>
    <w:p w14:paraId="218EDFC2" w14:textId="77777777" w:rsidR="00B500A1" w:rsidRDefault="00B500A1" w:rsidP="00B500A1">
      <w:pPr>
        <w:rPr>
          <w:lang w:eastAsia="en-GB"/>
        </w:rPr>
      </w:pPr>
    </w:p>
    <w:p w14:paraId="6620741F" w14:textId="77777777" w:rsidR="00B500A1" w:rsidRDefault="00B500A1" w:rsidP="00B500A1">
      <w:pPr>
        <w:rPr>
          <w:lang w:eastAsia="en-GB"/>
        </w:rPr>
      </w:pPr>
    </w:p>
    <w:p w14:paraId="400518CA" w14:textId="77777777" w:rsidR="00B500A1" w:rsidRDefault="00B500A1" w:rsidP="00B500A1">
      <w:pPr>
        <w:rPr>
          <w:lang w:eastAsia="en-GB"/>
        </w:rPr>
      </w:pPr>
    </w:p>
    <w:p w14:paraId="4ED7F9F7" w14:textId="77777777" w:rsidR="00B500A1" w:rsidRDefault="00B500A1" w:rsidP="00B500A1">
      <w:pPr>
        <w:rPr>
          <w:lang w:eastAsia="en-GB"/>
        </w:rPr>
      </w:pPr>
    </w:p>
    <w:p w14:paraId="053EB3A9" w14:textId="77777777" w:rsidR="00B500A1" w:rsidRDefault="00B500A1" w:rsidP="00B500A1">
      <w:pPr>
        <w:rPr>
          <w:lang w:eastAsia="en-GB"/>
        </w:rPr>
      </w:pPr>
    </w:p>
    <w:p w14:paraId="14F5D6A6" w14:textId="77777777" w:rsidR="00B500A1" w:rsidRDefault="00B500A1" w:rsidP="00B500A1">
      <w:pPr>
        <w:rPr>
          <w:lang w:eastAsia="en-GB"/>
        </w:rPr>
      </w:pPr>
    </w:p>
    <w:p w14:paraId="2AD6E99F" w14:textId="77777777" w:rsidR="00B500A1" w:rsidRDefault="00B500A1" w:rsidP="00B500A1">
      <w:pPr>
        <w:rPr>
          <w:lang w:eastAsia="en-GB"/>
        </w:rPr>
      </w:pPr>
    </w:p>
    <w:p w14:paraId="0A9C4A01" w14:textId="77777777" w:rsidR="00B500A1" w:rsidRDefault="00B500A1" w:rsidP="00B500A1">
      <w:pPr>
        <w:rPr>
          <w:lang w:eastAsia="en-GB"/>
        </w:rPr>
      </w:pPr>
    </w:p>
    <w:p w14:paraId="019CBE42" w14:textId="77777777" w:rsidR="00B500A1" w:rsidRDefault="00B500A1" w:rsidP="00B500A1">
      <w:pPr>
        <w:rPr>
          <w:lang w:eastAsia="en-GB"/>
        </w:rPr>
      </w:pPr>
    </w:p>
    <w:p w14:paraId="20766374" w14:textId="55946832" w:rsidR="00B500A1" w:rsidRPr="009F5E4E" w:rsidRDefault="00B500A1" w:rsidP="009F5E4E">
      <w:pPr>
        <w:pStyle w:val="EU"/>
        <w:numPr>
          <w:ilvl w:val="0"/>
          <w:numId w:val="1"/>
        </w:numPr>
        <w:spacing w:line="360" w:lineRule="auto"/>
        <w:rPr>
          <w:color w:val="000000" w:themeColor="text1"/>
        </w:rPr>
      </w:pPr>
      <w:bookmarkStart w:id="1" w:name="_Toc200649758"/>
      <w:r w:rsidRPr="009F5E4E">
        <w:rPr>
          <w:color w:val="000000" w:themeColor="text1"/>
        </w:rPr>
        <w:t>Introduction</w:t>
      </w:r>
      <w:bookmarkEnd w:id="1"/>
      <w:r w:rsidRPr="009F5E4E">
        <w:rPr>
          <w:color w:val="000000" w:themeColor="text1"/>
        </w:rPr>
        <w:t xml:space="preserve"> </w:t>
      </w:r>
    </w:p>
    <w:p w14:paraId="31AEA607" w14:textId="23E899E0" w:rsidR="009B2091" w:rsidRPr="009F5E4E" w:rsidRDefault="009B2091" w:rsidP="009F5E4E">
      <w:pPr>
        <w:spacing w:line="360" w:lineRule="auto"/>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 xml:space="preserve">This research project seeks to rigorously examine the phenomenon of overbooking at the Ibis Nottingham Centre, particularly evaluating its impact on guest happiness, operational efficiency, and financial results. Overbooking, which means accepting more bookings than there are rooms available, is still a frequent practice in the hotel business. It is used to increase occupancy rates and boost income. But even though many hotels use it, overbooking often causes big problems for them. When overbooking surpasses the number of available rooms, visitors must be moved to other places to stay, which might make them angry and unhappy (Ivanov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Zhechev, 2012). During busy times, the staff at the Ibis Nottingham Centre often had to deal with these kinds of situations, which needed them to act quickly and talk to other neighbouring hotels to find new places for customers who had to leave. These unanticipated changes make things more complicated for the hotel staff, place more pressure on them to do their jobs, and might hurt the hotel's image by making guests less happy and loyal. If you don't handle overbooking well, it may lead to short-term unhappiness and long-term problems with repeat visits and visitor loyalty (Noone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Lee, 2011). Additionally, the administrative tasks that come with moving visitors usually contribute to the costs of running the business, such as transportation fees, financial compensation, and the possibility of pricing discrepancies if the new hotel charges more. As these mishaps happen more often, the hotel's operations become less efficient. This means that personnel have to spend more time dealing with emergencies instead of taking care of guests and running the hotel as usual. Consequently, the main goals of this research are clear: first, to critically assess how overbooking directly affects guests' experiences and satisfaction levels at the Ibis Nottingham Centre; second, to look at how these incidents affect internal operations, focussing on how they affect staff workload and morale; and third, to figure out the financial costs of moving guests around often, such as compensation and the cost of finding new places to stay. By accomplishing these goals, the study seeks to provide realistic and efficient solutions for hotel management to mitigate the adverse effects of overbooking, optimise operational operations, and elevate overall customer </w:t>
      </w:r>
      <w:r w:rsidR="009F5E4E" w:rsidRPr="009F5E4E">
        <w:rPr>
          <w:rFonts w:ascii="Arial" w:hAnsi="Arial" w:cs="Arial"/>
          <w:color w:val="000000" w:themeColor="text1"/>
          <w:sz w:val="24"/>
          <w:szCs w:val="24"/>
          <w:lang w:eastAsia="en-GB"/>
        </w:rPr>
        <w:t>happiness. This</w:t>
      </w:r>
      <w:r w:rsidRPr="009F5E4E">
        <w:rPr>
          <w:rFonts w:ascii="Arial" w:hAnsi="Arial" w:cs="Arial"/>
          <w:color w:val="000000" w:themeColor="text1"/>
          <w:sz w:val="24"/>
          <w:szCs w:val="24"/>
          <w:lang w:eastAsia="en-GB"/>
        </w:rPr>
        <w:t xml:space="preserve"> study not only enhances the operational efficacy of the Ibis Nottingham Centre but also advances scholarly comprehension of revenue management practices in the hospitality sector, highlighting the equilibrium between optimising occupancy and upholding superior service standards (Talluri </w:t>
      </w:r>
      <w:r w:rsidR="009F5E4E" w:rsidRPr="009F5E4E">
        <w:rPr>
          <w:rFonts w:ascii="Arial" w:hAnsi="Arial" w:cs="Arial"/>
          <w:color w:val="000000" w:themeColor="text1"/>
          <w:sz w:val="24"/>
          <w:szCs w:val="24"/>
          <w:lang w:eastAsia="en-GB"/>
        </w:rPr>
        <w:t xml:space="preserve">and </w:t>
      </w:r>
      <w:r w:rsidRPr="009F5E4E">
        <w:rPr>
          <w:rFonts w:ascii="Arial" w:hAnsi="Arial" w:cs="Arial"/>
          <w:color w:val="000000" w:themeColor="text1"/>
          <w:sz w:val="24"/>
          <w:szCs w:val="24"/>
          <w:lang w:eastAsia="en-GB"/>
        </w:rPr>
        <w:t xml:space="preserve">Van Ryzin, 2005). This research fills important gaps in the present literature on hospitality, especially when it comes to putting management strategies into action to fix problems that happen often because of overbooking. It also fits well with larger discussions in the hotel sector on the best ways to manage hotel income (Toh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Dekay, 2002). The study aims to provide informed suggestions that might significantly improve operational efficiency and guest happiness at the Ibis Nottingham Centre by thoroughly analysing these crucial aspects.</w:t>
      </w:r>
    </w:p>
    <w:p w14:paraId="4E4565A1" w14:textId="16B8A4B0" w:rsidR="009B2091" w:rsidRPr="009F5E4E" w:rsidRDefault="009B2091" w:rsidP="009F5E4E">
      <w:pPr>
        <w:pStyle w:val="EU"/>
        <w:numPr>
          <w:ilvl w:val="0"/>
          <w:numId w:val="1"/>
        </w:numPr>
        <w:spacing w:line="360" w:lineRule="auto"/>
        <w:rPr>
          <w:color w:val="000000" w:themeColor="text1"/>
        </w:rPr>
      </w:pPr>
      <w:bookmarkStart w:id="2" w:name="_Toc200649759"/>
      <w:r w:rsidRPr="009F5E4E">
        <w:rPr>
          <w:color w:val="000000" w:themeColor="text1"/>
        </w:rPr>
        <w:t>Literature Review</w:t>
      </w:r>
      <w:bookmarkEnd w:id="2"/>
    </w:p>
    <w:p w14:paraId="69293603" w14:textId="2D992941" w:rsidR="009B2091" w:rsidRPr="009F5E4E" w:rsidRDefault="009B2091" w:rsidP="009F5E4E">
      <w:pPr>
        <w:spacing w:line="360" w:lineRule="auto"/>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 xml:space="preserve">Good management of hotel room inventory and bookings is still a key part of operational excellence and financial success in the hospitality sector. Overbooking is a common strategy that hotels use to make the most money. It is taking more bookings than there are rooms available, hoping that some would cancel or not show up (Talluri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Van Ryzin, 2005). Scholars contend that, when properly handled, overbooking enhances occupancy rates and income streams, especially in markets marked by variable demand (Ivanov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Zhechev, 2012). Nevertheless, scholarly agreement recognises that mismanagement or extreme overbooking often results in adverse guest experiences, operational interruption, and harm to hotel reputation, emphasising the intricacy of reconciling revenue with service quality (Netessine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Shumsky, 2002). Previous research underscores the significant issue encountered by managers in effectively predicting cancellation probability to mitigate disturbance (Liberman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Yechiali, 1978). Additionally, hotels that see unanticipated surges in visitor arrivals owing to inaccurate forecasting have significant adverse consequences, including customer discontent and brand erosion, as well as heightened financial burdens associated with guest relocation (Bertsimas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Popescu, 2003). A substantial corpus of work has concentrated on the financial rationale for hotel overbooking, highlighting concepts of revenue management, dynamic pricing, and inventory control models (Bitran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Caldentey, 2003). Talluri and Van Ryzin's (2005) research laid the </w:t>
      </w:r>
      <w:r w:rsidR="004A5AE3" w:rsidRPr="009F5E4E">
        <w:rPr>
          <w:rFonts w:ascii="Arial" w:hAnsi="Arial" w:cs="Arial"/>
          <w:color w:val="000000" w:themeColor="text1"/>
          <w:sz w:val="24"/>
          <w:szCs w:val="24"/>
          <w:lang w:eastAsia="en-GB"/>
        </w:rPr>
        <w:t>base</w:t>
      </w:r>
      <w:r w:rsidRPr="009F5E4E">
        <w:rPr>
          <w:rFonts w:ascii="Arial" w:hAnsi="Arial" w:cs="Arial"/>
          <w:color w:val="000000" w:themeColor="text1"/>
          <w:sz w:val="24"/>
          <w:szCs w:val="24"/>
          <w:lang w:eastAsia="en-GB"/>
        </w:rPr>
        <w:t xml:space="preserve"> for yield management and showed how overbooking may help hotels make the most money. Subsequent studies validate that well-implemented revenue management systems substantially enhance profitability and occupancy, aiding hotels in responding to seasonal demand and competitive market forces (Weatherford </w:t>
      </w:r>
      <w:r w:rsidR="009F5E4E" w:rsidRPr="009F5E4E">
        <w:rPr>
          <w:rFonts w:ascii="Arial" w:hAnsi="Arial" w:cs="Arial"/>
          <w:color w:val="000000" w:themeColor="text1"/>
          <w:sz w:val="24"/>
          <w:szCs w:val="24"/>
          <w:lang w:eastAsia="en-GB"/>
        </w:rPr>
        <w:t xml:space="preserve">and </w:t>
      </w:r>
      <w:r w:rsidRPr="009F5E4E">
        <w:rPr>
          <w:rFonts w:ascii="Arial" w:hAnsi="Arial" w:cs="Arial"/>
          <w:color w:val="000000" w:themeColor="text1"/>
          <w:sz w:val="24"/>
          <w:szCs w:val="24"/>
          <w:lang w:eastAsia="en-GB"/>
        </w:rPr>
        <w:t>Kimes, 200</w:t>
      </w:r>
      <w:r w:rsidR="009F5E4E" w:rsidRPr="009F5E4E">
        <w:rPr>
          <w:rFonts w:ascii="Arial" w:hAnsi="Arial" w:cs="Arial"/>
          <w:color w:val="000000" w:themeColor="text1"/>
          <w:sz w:val="24"/>
          <w:szCs w:val="24"/>
          <w:lang w:eastAsia="en-GB"/>
        </w:rPr>
        <w:t>3</w:t>
      </w:r>
      <w:r w:rsidRPr="009F5E4E">
        <w:rPr>
          <w:rFonts w:ascii="Arial" w:hAnsi="Arial" w:cs="Arial"/>
          <w:color w:val="000000" w:themeColor="text1"/>
          <w:sz w:val="24"/>
          <w:szCs w:val="24"/>
          <w:lang w:eastAsia="en-GB"/>
        </w:rPr>
        <w:t xml:space="preserve">). Recent empirical research regularly demonstrates that exclusive reliance on revenue optimisation indicators may overlook essential qualitative elements, like visitor happiness and staff well-being, resulting in strategic blind </w:t>
      </w:r>
      <w:r w:rsidR="009F5E4E" w:rsidRPr="009F5E4E">
        <w:rPr>
          <w:rFonts w:ascii="Arial" w:hAnsi="Arial" w:cs="Arial"/>
          <w:color w:val="000000" w:themeColor="text1"/>
          <w:sz w:val="24"/>
          <w:szCs w:val="24"/>
          <w:lang w:eastAsia="en-GB"/>
        </w:rPr>
        <w:t xml:space="preserve">spots. </w:t>
      </w:r>
      <w:r w:rsidRPr="009F5E4E">
        <w:rPr>
          <w:rFonts w:ascii="Arial" w:hAnsi="Arial" w:cs="Arial"/>
          <w:color w:val="000000" w:themeColor="text1"/>
          <w:sz w:val="24"/>
          <w:szCs w:val="24"/>
          <w:lang w:eastAsia="en-GB"/>
        </w:rPr>
        <w:t>Noone and Lee (2011) provide empirical data indicating that visitor discontent stemming from forced relocation might significantly surpass short-term revenue advantages, especially in highly competitive urban markets where customer retention is crucial. In addition to financial analysis, academic research emphasises the need of managing guest expectations and service recovery in situations of overbooking. Service recovery, which is what happens after a service failure, has a big effect on how guests see things and how loyal they will be in the future (Kim, Yoo, and Lee, 2012). To reduce discontent caused by overbooking, it is important to have good service recovery measures, such as clear communication, quick reimbursement, and genuine apologies (Mattila, 2001). However, although service recovery measures can mitigate adverse outcomes, empirical evidence consistently demonstrates that their efficacy diminishes with repetition; recurrent negative incidents undermine guest trust and long-term loyalty, regardless of recovery efficacy</w:t>
      </w:r>
      <w:r w:rsidR="009F5E4E" w:rsidRPr="009F5E4E">
        <w:rPr>
          <w:rFonts w:ascii="Arial" w:hAnsi="Arial" w:cs="Arial"/>
          <w:color w:val="000000" w:themeColor="text1"/>
          <w:sz w:val="24"/>
          <w:szCs w:val="24"/>
          <w:lang w:eastAsia="en-GB"/>
        </w:rPr>
        <w:t xml:space="preserve">. </w:t>
      </w:r>
      <w:r w:rsidRPr="009F5E4E">
        <w:rPr>
          <w:rFonts w:ascii="Arial" w:hAnsi="Arial" w:cs="Arial"/>
          <w:color w:val="000000" w:themeColor="text1"/>
          <w:sz w:val="24"/>
          <w:szCs w:val="24"/>
          <w:lang w:eastAsia="en-GB"/>
        </w:rPr>
        <w:t xml:space="preserve">Additionally, the operational ramifications of recurrent overbooking situations constitute a relatively unexamined domain in hotel research. Empirical research underscores that operational interruptions impose considerable strain on personnel, resulting in heightened stress, diminished morale, and subsequent employee attrition, hence intensifying operational issues inside hotels (Karatepe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Uludag, 2008). Scholarly attention has underscored the essential dependency between staff happiness and customer experience, positing that operational pressure resulting from recurrent interruptions detrimentally affects overall service quality and employee-customer interactions (Chi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Gursoy, 2009). Despite these results, there is a lack of research that specifically examines how frequent overbooking incidents affect hotel operational efficiency and staff engagement, indicating a notable deficiency in the current hospitality management literature. Moreover, work examining solutions to alleviate the adverse effects of overbooking repeatedly underscores the need of efficient communication and anticipatory management approaches. Using the right communication tactics, such sending timely alerts and giving thorough explanations, may greatly lower unfavourable consumer impressions of service failures (Davidow, 2003). Additionally, effective prediction models using sophisticated analytical methods, machine learning, and historical booking data have shown improved precision in predicting guest arrivals, thereby reducing forced relocations (Lai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Ng, 2005). Even though these advanced forecasting models promise to help businesses run better, they aren't being used consistently, especially in mid-market hotels where limited resources make it hard to use advanced analytics, which makes them less useful and less accepted by the industry as a whole (Ivanov, 2014). Additionally, existing work on the hospitality industry mostly employs quantitative approaches, often overlooking profound qualitative findings on guest perceptions, staff reactions, and operational dynamics under overbooking situations (Kimes, 2011). Researchers have increasingly advocated for mixed-method techniques that combine quantitative data with qualitative insights to cultivate a more nuanced and holistic understanding of the effects of overbooking (Kimes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McGuire, 2001). Consequently, contemporary hotel management research need more qualitative and mixed-method investigations that specifically examine guest experiences, staff repercussions, and operational consequences resulting from recurrent overbooking incidents. Lastly, the scholarly literature is still not clear on the best ways to deal with operational problems that come up when overbooking happens, and many of the suggestions are too generic to be useful (Weatherford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Bodily, 1992). Practical advice from comprehensive, contextually-relevant case studies in mid-market hotels, like Ibis Nottingham Centre, are significantly scarce, highlighting a clear research need. This absence of specific, evidence-based advice makes it more harder for hotel managers to make operational changes and proactive customer service plans that are specifically customised to their businesses. To sum up, although there is a wealth of literature on hotel revenue management that elucidates the financial justification and possible economic advantages of overbooking, considerable deficiencies persist concerning its effects on guest satisfaction, operational disturbances, employee experiences, and context-specific management strategies. By using focused, contextually-rich case studies to fill up these knowledge gaps, we can make a big difference in hospitality research and practice. Consequently, this investigation into overbooking practices at Ibis Nottingham Centre aims to address these significant deficiencies by offering empirical evidence, pragmatic suggestions, and a comprehensive perspective on how hotels can adeptly manage the intricate trade-offs associated with overbooking strategies.</w:t>
      </w:r>
    </w:p>
    <w:p w14:paraId="505F95B3" w14:textId="783B4B16" w:rsidR="009B2091" w:rsidRPr="009F5E4E" w:rsidRDefault="009B2091" w:rsidP="009F5E4E">
      <w:pPr>
        <w:pStyle w:val="EU"/>
        <w:numPr>
          <w:ilvl w:val="0"/>
          <w:numId w:val="1"/>
        </w:numPr>
        <w:spacing w:line="360" w:lineRule="auto"/>
        <w:rPr>
          <w:color w:val="000000" w:themeColor="text1"/>
        </w:rPr>
      </w:pPr>
      <w:bookmarkStart w:id="3" w:name="_Toc200649760"/>
      <w:r w:rsidRPr="009F5E4E">
        <w:rPr>
          <w:color w:val="000000" w:themeColor="text1"/>
        </w:rPr>
        <w:t>Methods</w:t>
      </w:r>
      <w:bookmarkEnd w:id="3"/>
    </w:p>
    <w:p w14:paraId="1835B567" w14:textId="6B9D17FF" w:rsidR="00D36034" w:rsidRPr="009F5E4E" w:rsidRDefault="00D36034" w:rsidP="009F5E4E">
      <w:pPr>
        <w:spacing w:line="360" w:lineRule="auto"/>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 xml:space="preserve">The Methodology part employs a case study methodology to examine overbooking at Ibis Nottingham Centre, supplemented with netnography and practitioner observation. This technique facilitates a comprehensive, contextual examination of operational difficulties as they manifest in their actual environment (Çakar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Aykol, 2020).  A case study facilitates the use of diverse data sources—observations, online dialogues, and documents—along with triangulation, hence enhancing validity and reliability (Discetti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Anderson, 202</w:t>
      </w:r>
      <w:r w:rsidR="00AA1232" w:rsidRPr="009F5E4E">
        <w:rPr>
          <w:rFonts w:ascii="Arial" w:hAnsi="Arial" w:cs="Arial"/>
          <w:color w:val="000000" w:themeColor="text1"/>
          <w:sz w:val="24"/>
          <w:szCs w:val="24"/>
          <w:lang w:eastAsia="en-GB"/>
        </w:rPr>
        <w:t>3</w:t>
      </w:r>
      <w:r w:rsidRPr="009F5E4E">
        <w:rPr>
          <w:rFonts w:ascii="Arial" w:hAnsi="Arial" w:cs="Arial"/>
          <w:color w:val="000000" w:themeColor="text1"/>
          <w:sz w:val="24"/>
          <w:szCs w:val="24"/>
          <w:lang w:eastAsia="en-GB"/>
        </w:rPr>
        <w:t>)</w:t>
      </w:r>
      <w:r w:rsidR="009F5E4E" w:rsidRPr="009F5E4E">
        <w:rPr>
          <w:rFonts w:ascii="Arial" w:hAnsi="Arial" w:cs="Arial"/>
          <w:color w:val="000000" w:themeColor="text1"/>
          <w:sz w:val="24"/>
          <w:szCs w:val="24"/>
          <w:lang w:eastAsia="en-GB"/>
        </w:rPr>
        <w:t xml:space="preserve">. </w:t>
      </w:r>
      <w:r w:rsidRPr="009F5E4E">
        <w:rPr>
          <w:rFonts w:ascii="Arial" w:hAnsi="Arial" w:cs="Arial"/>
          <w:color w:val="000000" w:themeColor="text1"/>
          <w:sz w:val="24"/>
          <w:szCs w:val="24"/>
          <w:lang w:eastAsia="en-GB"/>
        </w:rPr>
        <w:t xml:space="preserve">Case studies are sometimes criticised for their low external generalisability and the potential for selection bias; nevertheless, transparency in sampling, systematic data collecting, and reflective practice may mitigate these issues (Çakar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Aykol, 2020). Utilising practitioner observation, the researcher personally observed guest relocations, staff practices, administrative modifications, and staff-guest interactions during genuine overbooking events. This firsthand data provides specific situational information, preserves operational subtleties, and enhances results from the literature. Netnography was used to examine visitor opinions, using organically produced web data from TripAdvisor and social media platforms. Netnography employs qualitative, ethnographic methodologies to analyse online interactions, enabling the documentation of emotional reactions, satisfaction trends, and expectations articulated by relocated visitors (Bartl et al., 2016). It is economical, unobtrusive, and offers historical conversation; nevertheless, it lacks researcher engagement and may be subject to bias from self-selected samples, which is alleviated by triangulation with observational and documentary data (Kozinets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Gretzel, 2022). The research incorporates secondary data analysis, including internal reports, hotel policy papers, and academic literature on inventory and yield management to contextualise results within wider theoretical and operational frameworks. Netnography enhances understanding by documenting unprompted guest feedback, illustrating the impact of apology, compensation, and management communication tactics on satisfaction (</w:t>
      </w:r>
      <w:r w:rsidR="00507C6D" w:rsidRPr="009F5E4E">
        <w:rPr>
          <w:rFonts w:ascii="Arial" w:hAnsi="Arial" w:cs="Arial"/>
          <w:color w:val="000000" w:themeColor="text1"/>
          <w:sz w:val="24"/>
          <w:szCs w:val="24"/>
          <w:lang w:eastAsia="en-GB"/>
        </w:rPr>
        <w:t>Costello et al., 2017</w:t>
      </w:r>
      <w:r w:rsidRPr="009F5E4E">
        <w:rPr>
          <w:rFonts w:ascii="Arial" w:hAnsi="Arial" w:cs="Arial"/>
          <w:color w:val="000000" w:themeColor="text1"/>
          <w:sz w:val="24"/>
          <w:szCs w:val="24"/>
          <w:lang w:eastAsia="en-GB"/>
        </w:rPr>
        <w:t xml:space="preserve">). Simultaneously, case study immersion elucidates the effects of interruptions on staff decision-making and morale. Practitioner observations revealed persistent stress associated with time limitations and coordination efforts, consistent with prior evidence on service recovery strain (Discetti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Anderson, 2022). The mixed-methods methodology improves internal validity since observations back up online stories and secondary data put the results in context. However, the limited context makes it hard to draw broader statistical conclusions. To counterbalance this disadvantage, the research emphasises depth, rigour, and openness in methodological selections. This technique provides a comprehensive academic framework for the analysis of overbooking at Ibis Nottingham Centre. It successfully merges practical, qualitative insights with digital ethnography and documentary analysis, allowing a comprehensive exploration of the impact of overbooking on guest happiness, operational processes, financial consequences, and staff well-being. The research uses many qualitative methodologies that are cross-checked using theme analysis to make sure that the results are deep and reliable. It also recognises that the results may not be applicable to other situations.</w:t>
      </w:r>
    </w:p>
    <w:p w14:paraId="5577C0E7" w14:textId="49915C9C" w:rsidR="00D36034" w:rsidRPr="009F5E4E" w:rsidRDefault="00F22E84" w:rsidP="009F5E4E">
      <w:pPr>
        <w:pStyle w:val="EU"/>
        <w:numPr>
          <w:ilvl w:val="0"/>
          <w:numId w:val="1"/>
        </w:numPr>
        <w:spacing w:line="360" w:lineRule="auto"/>
        <w:rPr>
          <w:color w:val="000000" w:themeColor="text1"/>
        </w:rPr>
      </w:pPr>
      <w:bookmarkStart w:id="4" w:name="_Toc200649761"/>
      <w:r w:rsidRPr="009F5E4E">
        <w:rPr>
          <w:color w:val="000000" w:themeColor="text1"/>
        </w:rPr>
        <w:t>Case Study Hotel Overview and Findings</w:t>
      </w:r>
      <w:bookmarkEnd w:id="4"/>
    </w:p>
    <w:p w14:paraId="03B9D095" w14:textId="77777777" w:rsidR="00507C6D" w:rsidRPr="009F5E4E" w:rsidRDefault="00507C6D" w:rsidP="009F5E4E">
      <w:pPr>
        <w:spacing w:line="360" w:lineRule="auto"/>
        <w:jc w:val="both"/>
        <w:rPr>
          <w:rFonts w:ascii="Arial" w:hAnsi="Arial" w:cs="Arial"/>
          <w:color w:val="000000" w:themeColor="text1"/>
          <w:sz w:val="24"/>
          <w:szCs w:val="24"/>
          <w:lang w:eastAsia="en-GB"/>
        </w:rPr>
      </w:pPr>
      <w:r w:rsidRPr="009F5E4E">
        <w:rPr>
          <w:rFonts w:ascii="Arial" w:hAnsi="Arial" w:cs="Arial"/>
          <w:noProof/>
          <w:color w:val="000000" w:themeColor="text1"/>
          <w:sz w:val="24"/>
          <w:szCs w:val="24"/>
        </w:rPr>
        <w:drawing>
          <wp:inline distT="0" distB="0" distL="0" distR="0" wp14:anchorId="368ED2A5" wp14:editId="67D06453">
            <wp:extent cx="3473532" cy="5575300"/>
            <wp:effectExtent l="0" t="0" r="0" b="6350"/>
            <wp:docPr id="1" name="Picture 1" descr="Ibis hotel front building outside exterior Nottingham City Cent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bis hotel front building outside exterior Nottingham City Centr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00321" cy="5618298"/>
                    </a:xfrm>
                    <a:prstGeom prst="rect">
                      <a:avLst/>
                    </a:prstGeom>
                    <a:noFill/>
                    <a:ln>
                      <a:noFill/>
                    </a:ln>
                  </pic:spPr>
                </pic:pic>
              </a:graphicData>
            </a:graphic>
          </wp:inline>
        </w:drawing>
      </w:r>
      <w:r w:rsidRPr="009F5E4E">
        <w:rPr>
          <w:rFonts w:ascii="Arial" w:hAnsi="Arial" w:cs="Arial"/>
          <w:color w:val="000000" w:themeColor="text1"/>
          <w:sz w:val="24"/>
          <w:szCs w:val="24"/>
          <w:lang w:eastAsia="en-GB"/>
        </w:rPr>
        <w:t xml:space="preserve"> </w:t>
      </w:r>
    </w:p>
    <w:p w14:paraId="764A87BD" w14:textId="783A1200" w:rsidR="00507C6D" w:rsidRPr="009F5E4E" w:rsidRDefault="00507C6D" w:rsidP="009F5E4E">
      <w:pPr>
        <w:spacing w:line="360" w:lineRule="auto"/>
        <w:jc w:val="both"/>
        <w:rPr>
          <w:rFonts w:ascii="Arial" w:hAnsi="Arial" w:cs="Arial"/>
          <w:color w:val="000000" w:themeColor="text1"/>
          <w:sz w:val="24"/>
          <w:szCs w:val="24"/>
          <w:lang w:eastAsia="en-GB"/>
        </w:rPr>
      </w:pPr>
      <w:r w:rsidRPr="009F5E4E">
        <w:rPr>
          <w:rFonts w:ascii="Arial" w:hAnsi="Arial" w:cs="Arial"/>
          <w:noProof/>
          <w:color w:val="000000" w:themeColor="text1"/>
          <w:sz w:val="24"/>
          <w:szCs w:val="24"/>
          <w:lang w:eastAsia="en-GB"/>
        </w:rPr>
        <w:drawing>
          <wp:inline distT="0" distB="0" distL="0" distR="0" wp14:anchorId="66D172F9" wp14:editId="367C6490">
            <wp:extent cx="3460750" cy="2588469"/>
            <wp:effectExtent l="0" t="0" r="6350" b="2540"/>
            <wp:docPr id="58843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43678" name=""/>
                    <pic:cNvPicPr/>
                  </pic:nvPicPr>
                  <pic:blipFill>
                    <a:blip r:embed="rId8"/>
                    <a:stretch>
                      <a:fillRect/>
                    </a:stretch>
                  </pic:blipFill>
                  <pic:spPr>
                    <a:xfrm>
                      <a:off x="0" y="0"/>
                      <a:ext cx="3472920" cy="2597572"/>
                    </a:xfrm>
                    <a:prstGeom prst="rect">
                      <a:avLst/>
                    </a:prstGeom>
                  </pic:spPr>
                </pic:pic>
              </a:graphicData>
            </a:graphic>
          </wp:inline>
        </w:drawing>
      </w:r>
    </w:p>
    <w:p w14:paraId="639C999C" w14:textId="2AC02F07" w:rsidR="003A11A9" w:rsidRPr="009F5E4E" w:rsidRDefault="003A11A9" w:rsidP="009F5E4E">
      <w:pPr>
        <w:spacing w:line="360" w:lineRule="auto"/>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 xml:space="preserve">Ibis Nottingham Centre is a good example of a mid-range hotel that works in a very competitive urban hospitality industry. The hotel is located at 16 Fletcher Gate in the heart of Nottingham's Lace Market, which is a historic area that is part of the city's main business district. It is an important part of Accor's Ibis portfolio, which includes more than 1,200 hotels around the world and is known for offering affordable, functional accommodations for business travellers and short-term leisure travellers (Dev et al., 2018). The resort has seven stories and 142 standard en-suite guest rooms. It opened in 2007 and was rebuilt in 2018 to keep up with brand-wide changes to the decor and service. Some of them are simple but important things like flat-screen TVs, workstations, free high-speed fibre Wi-Fi, power showers, hairdryers, and temperature control systems that can be set to your liking. Ibis has made certain rooms more accessible, which shows that the company follows international design standards and the rising need for more inclusive accommodation (Pagan, 2020). The brand offers simplicity, low prices, and consistency—things that both business travellers who require a place to stay for the night and visitors who want a central place to stay at a good price (Enz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Harrison, 2017). The Ibis Nottingham Centre located in the middle of the city, close to important transit hubs including Nottingham Railway Station and the Lace Market Tram Stop. It is also close to some of the city's biggest attractions, such as the National Justice Museum, the Motorpoint Arena, and Nottingham Castle. Because it is close to corporate centres and cultural attractions, the hotel enjoys a steady stream of bookings all year long. The demand goes up around local events, student graduations, and concert seasons, making it competitive in the Nottingham hospitality industry (Lolli et al., 2017). The hotel doesn't provide a lot of luxury amenities, which is in keeping with Accor's budget-friendly offerings. Instead, it focusses on efficiency with a 24-hour reception, speedy check-in and check-out, a bar lounge open 24 hours a day, and buffet-style breakfast services that include both continental and prepared alternatives. The hotel doesn't have a full-service restaurant, but it does have vending machines and offers food delivery partnerships, which is in line with lean-service models (Chen </w:t>
      </w:r>
      <w:r w:rsidR="009F5E4E" w:rsidRPr="009F5E4E">
        <w:rPr>
          <w:rFonts w:ascii="Arial" w:hAnsi="Arial" w:cs="Arial"/>
          <w:color w:val="000000" w:themeColor="text1"/>
          <w:sz w:val="24"/>
          <w:szCs w:val="24"/>
          <w:lang w:eastAsia="en-GB"/>
        </w:rPr>
        <w:t xml:space="preserve">and </w:t>
      </w:r>
      <w:r w:rsidRPr="009F5E4E">
        <w:rPr>
          <w:rFonts w:ascii="Arial" w:hAnsi="Arial" w:cs="Arial"/>
          <w:color w:val="000000" w:themeColor="text1"/>
          <w:sz w:val="24"/>
          <w:szCs w:val="24"/>
          <w:lang w:eastAsia="en-GB"/>
        </w:rPr>
        <w:t xml:space="preserve">Rothschild, 2019). This makes for a simple yet reliable guest experience. A small, multi-skilled staff at Ibis Nottingham Centre supports the operational core by doing work across departments to save expenses and make shifts more efficient. Housekeeping works in zones, and receptionists are typically taught on how to handle meals and do basic repairs. This shows how flexible the roles need to be in mid-market budget hotels (Baum, 2018). During the observed placement, staff duties were clear, but they were challenged often since there weren't enough staff members, particularly on weekends when there were a lot of new hires. The hotel mostly runs well when it's full, but overbooking was a big problem for operations. Overbooking is a revenue management strategy that hotels use to maximise occupancy and revenue per available room (RevPAR) by intentionally accepting more bookings than there are rooms available. This is based on previous patterns in cancellations and no-shows (Kimes, 2022). Although the idea behind it was good, putting it into action at Ibis Nottingham Centre showed some major flaws, especially in communication, accuracy of forecasts, and consistency of guest treatment. The hotel had 17 reported cases of overbooking between January and March 2025, which meant that 38 guests had to be moved. These usually happened during big events in the city or when a lot of big companies booked rooms near to the limits of their capacity. The internal reaction method included getting in touch with partner hotels who had already committed to do so, working out how to move guests, and giving them compensation in the form of full or partial refunds, loyalty points, or free future stays. In some cases, guests were moved to similar hotels like the Leonardo Hotel or Mercure Nottingham City Centre. However, interviews showed that staff often didn't know if rooms were available at other hotels because there weren't any real-time shared booking platforms. This caused delays and uncertainty during busy guest arrival times. These restrictions are similar to what others in the business have said about manual relocation methods and how they don't meet the needs of customers who want digital-first service (Hayes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Miller, 2021). The uneven use of the hotel's walk policy, which is Accor's internal system for moving guests around when they are overbooked, made these situations much more difficult. Guests who anticipated smooth solutions were left with service gaps and dissatisfaction. Interviews with staff showed that processes were clear in principle but not so clear in reality. Newer staff, especially those who work the night audit hours, said they </w:t>
      </w:r>
      <w:r w:rsidR="009F5E4E" w:rsidRPr="009F5E4E">
        <w:rPr>
          <w:rFonts w:ascii="Arial" w:hAnsi="Arial" w:cs="Arial"/>
          <w:color w:val="000000" w:themeColor="text1"/>
          <w:sz w:val="24"/>
          <w:szCs w:val="24"/>
          <w:lang w:eastAsia="en-GB"/>
        </w:rPr>
        <w:t>were not</w:t>
      </w:r>
      <w:r w:rsidRPr="009F5E4E">
        <w:rPr>
          <w:rFonts w:ascii="Arial" w:hAnsi="Arial" w:cs="Arial"/>
          <w:color w:val="000000" w:themeColor="text1"/>
          <w:sz w:val="24"/>
          <w:szCs w:val="24"/>
          <w:lang w:eastAsia="en-GB"/>
        </w:rPr>
        <w:t xml:space="preserve"> sure how to handle irate or bewildered visitors, especially when they weren't being watched by a manager. Emotional labour, which is the work needed to be cool and professional under stress, came up a lot. Staff members said that these situations were far more difficult than regular check-ins or little complaints (Grandey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Gabriel, 2015). This conclusion corresponds with hospitality research that recognises overbooking as both a financial risk and a significant contributor to staff burnout in the absence of sufficient training or autonomy (Karatepe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Uludag, 2018). Additionally, the internal reporting system was not routinely updated with the results of guest relocations, which made it hard for morning shift teams to follow up or debrief appropriately. From the point of view of guests, a netnographic examination of TripAdvisor and Google Reviews showed that those who were overbooked were not happy. Some of the most common themes were changes to travel plans that weren't anticipated, a lack of prior notice, and a feeling that the brand's claims didn't match the service reality. Some customers liked how competent and kind the staff was, while others thought the move was a sign of bigger problems, and other reviewers said they would not come again. These results corroborate other studies that associate operational problems during overbooking with enduring declines in consumer loyalty, even in the presence of compensation (Mattila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Ro, 2015). The financial consequences of overbooking go beyond only the costs of moving and paying for damages. Overbooking often raised RevPAR on nights when demand was strong, but hidden expenses like staff overtime, transportation reimbursements, brand harm, and extra guest service time made the total profitability of the business uncertain. An internal study showed that the hotel lost an average of £35 to £55 for each visitor it moved, taking all expenditures into account. This was more than a quarter, which meant that the direct and indirect expenditures were over £2,000, and the extra income did not make up for them. This highlights the need for accurate forecasting and digital revenue management systems that can adjust to changes in demand in real time. The Ibis Nottingham Centre has trouble with this because it relies on pre-set occupancy targets and historical patterns instead of tracking the market in real time (Noone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Lee, 2011). Staff also said that group reservations from third-party travel companies made it harder to make predictions since they </w:t>
      </w:r>
      <w:r w:rsidR="009F5E4E" w:rsidRPr="009F5E4E">
        <w:rPr>
          <w:rFonts w:ascii="Arial" w:hAnsi="Arial" w:cs="Arial"/>
          <w:color w:val="000000" w:themeColor="text1"/>
          <w:sz w:val="24"/>
          <w:szCs w:val="24"/>
          <w:lang w:eastAsia="en-GB"/>
        </w:rPr>
        <w:t>did not</w:t>
      </w:r>
      <w:r w:rsidRPr="009F5E4E">
        <w:rPr>
          <w:rFonts w:ascii="Arial" w:hAnsi="Arial" w:cs="Arial"/>
          <w:color w:val="000000" w:themeColor="text1"/>
          <w:sz w:val="24"/>
          <w:szCs w:val="24"/>
          <w:lang w:eastAsia="en-GB"/>
        </w:rPr>
        <w:t xml:space="preserve"> always communicate about cancellations or no-shows. Without real-time inventory updates, room availability was often underestimated, leading to last-minute overbookings that may have been averted with more flexible systems. From a systems point of view, the hotel's property management system (PMS) works with Accor's central booking platform. However, workers said it was inflexible and didn't have any capabilities that might help them foresee what would happen. The hotel may be able to better manage capacity and cut down on reactive overbooking by upgrading to more powerful forecasting systems and using artificial intelligence in inventory management (Ferguson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Smith, 2017). The human aspect of overbooking also provided significant insights throughout the placement. Feedback from employees showed that most of them liked their jobs and the team atmosphere, but being in high-stress situations over and over again without enough assistance made morale drop, particularly among younger or less experienced team members. One staff member said that even while relocation choices are important, "they always hit frontline staff hardest." This shows that there is a gap between strategic decisions and how they are carried out. The general manager recognised this conflict, saying that corporate-driven revenue goals frequently force the hotel to take hazardous reservations, particularly when occupancy throughout Accor's regional cluster is below average. This is part of a bigger problem with managing branded hotels, as regulations from the top down limit local autonomy in order to improve group-wide performance, which may hurt the quality of service at individual properties (Baum, 2018). To help with these problems, the hotel has started doing internal seminars on how to handle conflicts and build emotional strength. This is a good start, but it is still early days. Frontline workers said they wanted managers to be around more frequently during busy times and to have greater freedom to make choices on guest pay on the moment, which is something that brand standards usually don't allow. From the perspective of the visitors, the move seemed to have the greatest negative effect on families with kids, foreign tourists, and senior travellers, who found late-night modifications to their accommodations upsetting or confusing. On the other hand, lone business travellers were usually more understanding, especially when they were given a smooth move and clear information. This segmentation is in line with research that says guest demographics and the reason for travel affect how tolerant people are of service failure (Sparks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Browning, 2011). Another problem that was found was the delay in processing refunds, which was particularly frustrating for customers who booked via third-party sites. Even though personnel regularly went above the reimbursement timescales, some visitors still left bad reviews. This shows that even well-handled explanations don't always make people happy when their expectations aren't fulfilled. Dissatisfied clients often brought up the Ibis brand's value statement, which was "simple, smart, and friendly." This shows that brand stories may backfire when service doesn't fulfil even basic expectations (Chen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Rothschild, 2019). The results of the Ibis Nottingham Centre case study show that mid-market hospitality has to achieve a balance between making money and keeping guests happy. The hotel's good location, clear service offering, and experienced staff make it a good place to work, but its susceptibility to overbooking pressures shows that it needs to improve its forecasting, communication, staff autonomy, and consistency in procedures. Taking care of these things will not only make the business more resilient, but it will also make the property more in line with its brand values and what customers anticipate. This example offers significant insight into the intricate reality of hotel management among the constraints of budgetary brand demands, technical restrictions, and the exigencies of frontline service.</w:t>
      </w:r>
      <w:r w:rsidRPr="009F5E4E">
        <w:rPr>
          <w:rFonts w:ascii="Arial" w:hAnsi="Arial" w:cs="Arial"/>
          <w:color w:val="000000" w:themeColor="text1"/>
          <w:sz w:val="24"/>
          <w:szCs w:val="24"/>
        </w:rPr>
        <w:t xml:space="preserve"> </w:t>
      </w:r>
      <w:r w:rsidRPr="009F5E4E">
        <w:rPr>
          <w:rFonts w:ascii="Arial" w:hAnsi="Arial" w:cs="Arial"/>
          <w:color w:val="000000" w:themeColor="text1"/>
          <w:sz w:val="24"/>
          <w:szCs w:val="24"/>
          <w:lang w:eastAsia="en-GB"/>
        </w:rPr>
        <w:t xml:space="preserve">A more in-depth look into Ibis Nottingham Centre's operational environment was done utilising a mix of strategic frameworks to better understand its competitive position and how well it performs as a business. A SWOT analysis showed that the company has several assets, such as Accor's worldwide reputation, which helps people remember the brand, effective core service delivery, and a strategic position in the city centre that gets a lot of foot traffic and is easy to get there by public transportation. These things make it possible for the hotel to always attract business and leisure tourists, especially when there are events going on. However, some of the main problems are that they rely on static demand forecasting models, staff don't have enough freedom in guest recovery operations, and the way they handle overbooking isn't always consistent, which hurts guest trust. There are chances to improve yield management and lower the number of relocation occurrences by using dynamic pricing tools and sophisticated predictive analytics. Nottingham's growing domestic tourism and greater regional investment in cultural infrastructure can provide development opportunities if they are used wisely via targeted collaborations or seasonal promotions. On the other hand, threats include more competition from budget hotels with more flexible technology, the risk of damage to the hotel's reputation due to inconsistent service, and economic uncertainty that affects how much guests spend, especially in light of rising living costs and changes in mobility due to Brexit (Pike </w:t>
      </w:r>
      <w:r w:rsidR="009F5E4E" w:rsidRPr="009F5E4E">
        <w:rPr>
          <w:rFonts w:ascii="Arial" w:hAnsi="Arial" w:cs="Arial"/>
          <w:color w:val="000000" w:themeColor="text1"/>
          <w:sz w:val="24"/>
          <w:szCs w:val="24"/>
          <w:lang w:eastAsia="en-GB"/>
        </w:rPr>
        <w:t>and</w:t>
      </w:r>
      <w:r w:rsidRPr="009F5E4E">
        <w:rPr>
          <w:rFonts w:ascii="Arial" w:hAnsi="Arial" w:cs="Arial"/>
          <w:color w:val="000000" w:themeColor="text1"/>
          <w:sz w:val="24"/>
          <w:szCs w:val="24"/>
          <w:lang w:eastAsia="en-GB"/>
        </w:rPr>
        <w:t xml:space="preserve"> Page, 2020). A PEST analysis backs up these worries by showing how big-picture factors like political instability in labour regulation after Brexit, rising prices affecting operating costs and consumer price sensitivity, changes in society and culture that favour personalisation and sustainability, and technological disruption from platform-based competitors like Airbnb and digitally native hotel brands (Leung et al., 2015). The Competitor Analysis, which looks at how people think about pricing and quality, shows that Ibis Nottingham Centre is better than nearby rivals like Leonardo Hotel when it comes to cost and brand trust, but worse when it comes to client experience and flexibility. Competitors frequently offer similar prices with fresher interiors or service models that are more responsive. This makes it very important for guests to stay loyal to a brand. Netnographic data corroborated these findings, indicating that although numerous guests value the hotel's central location and polite staff, adverse reviews often highlight overbooking as a critical issue, with emotional terms such as “stressful,” “unexpected,” and “inconvenient” frequently appearing in online feedback (Xiang et al., 2017). This feeling shows how important it is to control your internet reputation in budget hospitality, as customers utilise review sites as their main way to make decisions. Looking back, the placement experience gave me a better idea of the problems that workers encounter every day when things are busy. For instance, at a local performance one night, overbooking impacted three families with kids. The front desk staff had to work with two partner hotels to get rooms for late-night arrivals while also dealing with complaints. Even while the procedure was done with respect, you could see the stress: calls had to be made quickly, empathy had to be maintained even when people were tired, and other work had to wait. This small interaction shows how one systemic problem affects the health of staff, the experience of guests, and the reputation of the brand. This supports academic arguments that frontline hospitality jobs are both emotionally demanding and operationally important (Solnet et al., 2019). So, putting these strategic insights into a clear operational plan, backed by real-time data, flexible service protocols, and giving employees more power, would help Ibis Nottingham Centre compete better and provide better service in a hospitality industry that is becoming more demanding.</w:t>
      </w:r>
    </w:p>
    <w:p w14:paraId="5DBD33E8" w14:textId="5088C11F" w:rsidR="003A11A9" w:rsidRPr="009F5E4E" w:rsidRDefault="003A11A9" w:rsidP="009F5E4E">
      <w:pPr>
        <w:pStyle w:val="EU"/>
        <w:numPr>
          <w:ilvl w:val="0"/>
          <w:numId w:val="1"/>
        </w:numPr>
        <w:spacing w:line="360" w:lineRule="auto"/>
        <w:rPr>
          <w:color w:val="000000" w:themeColor="text1"/>
        </w:rPr>
      </w:pPr>
      <w:bookmarkStart w:id="5" w:name="_Toc200649762"/>
      <w:r w:rsidRPr="009F5E4E">
        <w:rPr>
          <w:color w:val="000000" w:themeColor="text1"/>
        </w:rPr>
        <w:t>Discussion</w:t>
      </w:r>
      <w:bookmarkEnd w:id="5"/>
    </w:p>
    <w:p w14:paraId="2AA28479" w14:textId="6406DD2A" w:rsidR="003A11A9" w:rsidRPr="009F5E4E" w:rsidRDefault="00184C20" w:rsidP="009F5E4E">
      <w:pPr>
        <w:spacing w:line="360" w:lineRule="auto"/>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This discussion analyses the overbooking study conducted at Ibis Nottingham Centre and contextualises its findings within four interconnected domains of hospitality scholarship: revenue optimisation, service-failure recovery, employee emotional labour, and strategic adaptability in budget-hotel settings. The empirical evidence corroborates modelling that positions overbooking as a logical safeguard against no-show risk; however, it also illustrates that this safeguard becomes detrimental to value when the frequency of involuntary relocation surpasses a context-specific threshold determined by the aggregate costs of compensation, transportation, staff overtime, and adverse electronic word of mouth (Kimes 2022). Seventeen relocation incidents documented over a three-month period provide detailed evidence that concealed costs may surpass additional room income, hence validating displacement-cost forecasts in revenue-management literature (Ferguson and Smith 2017). Forecasting weakness emerged as a root cause: the property-management system employed static lead-time curves and ignored live demand signals, vindicating technology-contingency studies that call for machine-learning ingestion of high-frequency indicators such as ticket sales, competitor rate shifts, and local event feeds to raise predictive accuracy (Ivanov and Webster 2020). When guests had to move after they arrived, the quality of service went down because staff had to deal with phone calls from partner hotels while also calming down guests who were waiting in queue. This is similar to experiments that show that multitasking under time pressure makes people less accurate and increases service variance (Grandey and Gabriel 2015). Front-office workers were upset that corporate occupancy goals pushed for aggressive overbooking while local resources for recovery stayed the same. This is similar to criticisms of agency theory that say that central key performance indicators can misalign incentives and put risk on frontline teams (Baum 2018). Netnographic sentiment analysis corroborated the human cost: displaced guests used language indicative of betrayal and neglect, a trend aligned with loyalty research that associates breached fundamental commitments with heightened desertion and adverse advocacy (Xiang et al. 2017). However, a minority of instances where staff provided early warnings, accompanied guests, and extended gestures of care resulted in neutral sentiment, demonstrating service-recovery theory that procedural and interactional justice can mitigate the effects of failure when restitution is administered promptly and genuinely (Sparks and Browning 2011). The revenue-optimisation strand necessitates a recalibration of the hotel’s overbooking threshold via dynamic models that integrate cancellation probabilities categorised by booking channel, fare type, and event proximity, in accordance with recent developments in detailed no-show forecasting (Noone and Lee 2011). Such recalibration must also include the long-term revenue decline resulting from trust loss, a factor often neglected in algorithmic yield functions but highlighted in relational marketing literature that equates customer lifetime value with strategic asset status (Heskett et al. 2008). The study corroborates justice-theory claims that timeliness and transparency surpass monetary value for numerous guests; however, it expands this theory by illustrating how digital immediacy intensifies reputational stakes, as social media reviews propagate perceived injustice within minutes, thereby amplifying the impact of failure (Mariani and Borghi 2021). From an employee-wellbeing perspective, recurring overbooking scenarios induced emotional dissonance as workers were compelled to defend brand choices outside their control, corroborating emotional-labour research that associates surface acting with burnout and turnover intention (Karatepe and Uludag 2018). Finally, the strategic-adaptability strand shows that inflexible corporate templates can conflict with local volatility. For example, concert nights, tram strikes, and last-minute travel-agent blocks all caused demand surges that were too much for static system buffers to handle. This supports ambidexterity models that say organisations need to combine efficiency in exploitation with flexibility in exploration (O'Reilly and Tushman 2016). The results collectively advocate for a comprehensive governance framework that integrates predictive analytics, ethical leadership, and human-centered recovery methods into a unified service architecture. Dashboards that show not only occupancy and RevPAR but also predicted relocation costs, social media sentiment velocity, and staff mood scores could help decision-makers move away from revenue myopia and towards balanced scorecards. This supports behavioral-operations proposals that data visualisation affects risk appetite (Gino and Pisano 2016). Adding carbon-pricing data would make Accor's judgements about overbooking even more in line with the company's environmental goals. This is similar to studies that shows that being open about the environment makes a brand more genuine (de Grosbois 2021). The research makes progress in both theory and practice, even if it has certain known design flaws, such as focussing on one attribute, having a limited time period, and having a bias towards English-language reviews. It demonstrates a tipping-point logic in which revenue-driven overbooking conflicts with guest trust and staff welfare, therefore integrating quantitative yield models with qualitative service literature. It shows that empowerment, predictive technology, and clear communication are all interconnected levers. If any of these are missing, a sensible hedge becomes a risk to your reputation. And it puts the ethical side of things front and centre, reminding those who work in hospitality that their social licence rests on keeping the promise of a reserved room in an age when one bad review can reach thousands of people in a matter of hours. Subsequent research ought to evaluate multi-property machine-learning engines that concurrently enhance occupancy, emotional labour distribution, and carbon footprint, examining whether integrated dashboards diminish involuntary relocation occurrences by one standard deviation within analogous market segments. Cross-cultural replications may determine whether collectivist service climates mitigate the psychological impact of overbooking more successfully than individualist climates, therefore enhancing developing intercultural service-failure models. Longitudinal mixed-methods designs that use transaction records, multilingual sentiment scraping, and wearable stress sensors would also get around the time and language limits that were mentioned before. This would let researchers see how small changes in algorithmic accuracy and staff autonomy affect guest loyalty and brand equity scores over several fiscal cycles. Lastly, policy experts should look at how expanding EU-style denied-boarding compensation to hotel markets will affect people's wellbeing. This kind of investigation would help bring together different theories and provide budget-hotel management useful information to help them deal with changing demand and rules.</w:t>
      </w:r>
      <w:r w:rsidRPr="009F5E4E">
        <w:rPr>
          <w:rFonts w:ascii="Arial" w:hAnsi="Arial" w:cs="Arial"/>
          <w:color w:val="000000" w:themeColor="text1"/>
          <w:sz w:val="24"/>
          <w:szCs w:val="24"/>
        </w:rPr>
        <w:t xml:space="preserve"> </w:t>
      </w:r>
      <w:r w:rsidRPr="009F5E4E">
        <w:rPr>
          <w:rFonts w:ascii="Arial" w:hAnsi="Arial" w:cs="Arial"/>
          <w:color w:val="000000" w:themeColor="text1"/>
          <w:sz w:val="24"/>
          <w:szCs w:val="24"/>
          <w:lang w:eastAsia="en-GB"/>
        </w:rPr>
        <w:t>Strategic frameworks reveal the systemic reasons driving the overbooking cycle at Ibis Nottingham Centre, converting event data into an assessment of the mismatch between resource allocation and environmental instability. A thorough SWOT audit shows that the hotel's location in the city centre, strong brand equity from Accor, and intentionally lean labour routines are all internal strengths that lead to reliable cost efficiency and steady foot traffic. However, the same audit also shows that the hotel's legacy forecasting engine, its strict cluster-level price controls, and its narrow empowerment bandwidth, which forces staff to get permission even for small recovery gestures, are all major weaknesses. On the opportunity axis, cloud-hosted neural networks that take in ticket-sale feeds, university term calendars, and competitor rate movements could make forecasts more accurate. At the same time, cross-promotion packages with Nottingham's growing festival and conference calendar could turn latent demand waves into money. However, threats come from quick-moving competitors like Leonardo Hotel, which combines real-time inventory with AI-guided walk rules, and from platform-enabled alternatives like Airbnb's "guaranteed-stay" categories, which have decentralised stock that makes it almost impossible to deny room. A PEST reading adds to that picture: post-Brexit visa rules make it harder to find workers in the EU and make cleaning schedules harder to follow; inflation raises the cost of energy and food; socio-cultural impatience with unpredictability increases reputational risk; and cheap AI software makes it easier for tech-savvy independents to join, which makes the performance gap bigger for those who are behind. Competitor mapping along a price–quality frontier puts Ibis on the efficient-price boundary but one gradient below its peers for perceived experiential quality. If the hotel could reduce relocation volatility, it would move closer to the frontier without spending any money, which would support the performance-frontier theory that disciplined process control unlocks latent quality capacity (Guillet and Kucukusta 2016). Reflective field observation corroborates the frontier diagnosis: during a Saturday concert night, simultaneous shocks—a housekeeping shortfall caused by sick leave, a city-wide taxi strike, and an 8-room overbooking—triggered a chain reaction of delayed room releases, queue congestion, bar-lounge understaffing, and social-media complaints, mirroring queueing-theory demonstrations of disruption cascades in tightly coupled services (Boshoff 2020). The experience highlighted the need for operational flexibility, swift information dissemination, and decentralised decision-making authority, reflecting ambidexterity research that posits businesses must reconcile exploitation efficiency with exploratory adaptability to prosper in volatile environments (O’Reilly and Tushman 2016). Putting these little occurrences into the service-profit chain makes it clear how important relocation is for the future: unmet promises about accommodations hurt emotional commitment, which lowers repurchase and word-of-mouth advocacy—two key ways to develop once a destination achieves maturity (Heskett et al. 2008). Neglecting relational capital creates a fake economy. Digital transformation research confirm that lesson: Property-specific machine-learning models that include loyalty tier, weather, and event data may improve prediction accuracy by double-digit percentages. However, cultural inertia, not capital expense, is the key reason why these models are not being used (Mariani and Borghi 2021). Sustainability discourse further intersects with overbooking because relocation lengthens guest journeys, inflates carbon emissions, and multiplies single-use items; embedding an internal carbon price could discourage excessive hedge ratios and align practice with Accor’s public net-zero pledges (de Grosbois 2021). Regulatory pressure may hasten this transition, as consumer groups campaign for EU-style denied-boarding compensation; fixed statutory compensation would transform relocation penalties from probabilistic to guaranteed, necessitating a strategic reevaluation of permissible hedge levels (Gill and Zeithaml 2022). According to resource-based theory, Ibis's rarest asset is the tacit, multicultural know-how of its frontline team. However, this potential advantage only becomes clear when it is channelled through empowering processes. This is because rigid scripts turn adaptive people into mechanical compliance devices and stifle their creativity (Hughes and Roggeveen 2020). Lean-service ideology therefore advocates for the comprehensive mapping of the booking experience, emphasising the inefficiencies generated by relocations—such as multiple check-ins, superfluous data input, and guests idly waiting—and using kaizen cycles to mitigate these inefficiencies (Yang 2021). Modular recovery protocols designed as decision trees with progressively escalating gestures tailored to guest-lifetime value can align brand standardisation with personal empathy, reflecting blueprint research that indicates flexibility protects efficiency while maintaining genuine warmth (Vargo and Lusch 2016). Behavioral-operations researchers suggest nudge dashboards that provide real-time estimates of relocation costs to reduce overconfidence based on occupancy and help people make safer booking choices (Gino and Pisano 2016). Ethical-leadership research argues that clear communication of overbooking limits may transform the approach from perceived dishonesty to prudent risk management, maintaining credibility in a context reinforced by social media (de Jong and Elfring 2015). These findings are limited. The single-property scope and three-month horizon do not take into account seasonal, cultural, and multi-site variability. Cost estimates are based on management spreadsheets instead of audited statements. Stress data are self-reported instead of biometric. English-language netnography does not include Mandarin and Arabic sentiment, which are markets that are becoming more important for UK inbound tourism. Subsequent research should use longitudinal multi-property methodologies, correlate expenses with verified financial records, integrate self-reported data with wearable stress monitors, and analyse multilingual reviews. Comparative research examining franchised and independent budget hotels under similar demand frameworks would elucidate the moderating influence of governance systems on overbooking results. There are five areas where actionable implications may be found. First, put guest-lifetime-value weights and rolling sentiment indices into overbooking algorithms so that each acceptance choice is based on a combination of revenue and relational equity. Second, connect to a federated partner-hotel extranet and start reallocations before guests arrive when the expected capacity risk goes over certain levels based on cancellation-volatility bands. This is similar to how airlines handle interline transfers. Third, give supervisors the power to grant compensation up to a certain amount, which will speed up justice and cut down on escalation cycles. Fourth, make wellness programs like mindfulness breaks, peer debriefs, and micro-learning in emotional regulation a permanent part of the workplace to help workers stay strong in the face of emotional dissonance (Peco-Torrens and Mestre-Alavedra 2021). Fifth, use automatic SMS warnings that frame the move as a collaborative improvement instead of a last-minute surprise. This works best when done with warmth, honesty, and speed (Kau and Loh 2019). Another consequence has to do with getting different groups to work together. Shareholders want revenue flows that come from occupancy, brand custodians want to protect their reputation, staff want workloads that are easy to handle, visitors want dependability, regulators want justice, and local communities want to keep an eye on environmental stewardship. The Ibis story demonstrates that a focus on occupancy may temporarily appease investors, but it may lead to reputational debt that eventually diminishes cash flow, exemplifying the agency-stakeholder friction discussed in governance literature. Using balanced scorecards that take into account things like finance, guest equity, staff wellness, and environmental effect may help boards avoid bias towards one measure. Scenario studies, which look at how macro shocks like energy spikes or visa changes might affect risk, can also help boards see how risk builds up over time. Also, tying CEO bonuses to the net-promoter trajectory instead of raw occupancy would spread responsibility along the service-profit chain and be in line with sustainability-linked pay trends in larger hotel organisations. For line personnel, clear dashboards that show daily cancellation rates, real inventory gaps, and opportunities for preemptive walks turn abstract algorithms into useful information and make it easier for them to think. From a guest's point of view, adding optional green-fuel taxi vouchers or carbon-offset credits to relocation packages might turn a bad occurrence into a values-driven distinction and show a real dedication to sustainability goals. Today, strong governance dashboards that show trade-offs in real time might help bring these conflicting agendas together more effectively. All of these parts work together to support one main idea: for sustainable revenue management in today's economy, you need an integrated system where predictive analytics, a culture that puts people first, open governance, environmental responsibility, and flexible process engineering all work together. Overbooking is only possible when it is part of a larger system. Without these protections, the technique leads to repeated operational failures and damage to the company's image. The story of the Ibis Nottingham Centre serves as both a warning and a guide for budget hotel owners all over the world. It shows that disciplined data science, empowered people, and ethical transparency can turn an old revenue hedge into a responsibly managed tool that helps, rather than hurts, long-term brand success.</w:t>
      </w:r>
    </w:p>
    <w:p w14:paraId="6CE15EE4" w14:textId="20F71317" w:rsidR="00A61E44" w:rsidRPr="009F5E4E" w:rsidRDefault="00184C20" w:rsidP="009F5E4E">
      <w:pPr>
        <w:pStyle w:val="EU"/>
        <w:numPr>
          <w:ilvl w:val="0"/>
          <w:numId w:val="1"/>
        </w:numPr>
        <w:spacing w:line="360" w:lineRule="auto"/>
        <w:rPr>
          <w:color w:val="000000" w:themeColor="text1"/>
        </w:rPr>
      </w:pPr>
      <w:bookmarkStart w:id="6" w:name="_Toc200649763"/>
      <w:r w:rsidRPr="009F5E4E">
        <w:rPr>
          <w:color w:val="000000" w:themeColor="text1"/>
        </w:rPr>
        <w:t>Conclusion and Recommendations</w:t>
      </w:r>
      <w:bookmarkEnd w:id="6"/>
    </w:p>
    <w:p w14:paraId="7853C69E" w14:textId="52052594" w:rsidR="00A61E44" w:rsidRPr="009F5E4E" w:rsidRDefault="00A61E44" w:rsidP="009F5E4E">
      <w:pPr>
        <w:spacing w:line="360" w:lineRule="auto"/>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In conclusion, the inquiry into overbooking at Ibis Nottingham Centre uncovers a delicate equilibrium between revenue aspirations and service realities. Field data suggest that taking too many bookings may increase occupancy and RevPAR. However, as involuntary walks go above a low single-digit threshold, hidden relocation costs like refunds, transportation, and harm to reputation eat away at those advantages. Seventeen relocation examples in three months showed how static forecasting techniques and inflexible cluster pricing increase risk by not taking into account actual demand signals from concerts, conferences, and third-party group blocks. The consequences from the operations spread across the system: front-office staff had to do more than one thing at once, empathy accuracy dropped, wait times rose, and internet evaluations became very bad. Employees were stressed out and not given enough control, which hurt morale and made them more likely to leave. This shows that financial hedges become unsustainable when they hurt human capital. Strategic evaluations showed that the hotel was better on cost than its rivals but worse on perceived quality. This showed that controlling relocation volatility might bring the property closer to the performance frontier without spending any money. Some of the opportunities that have been found include cloud-based neural forecasting, a partner-hotel extranet for proactive reallocation, and recovery procedures that are based on the lifetime value of guests. Threats include not having enough workers, growing expenses of doing business due to inflation, consumers being less tolerant of uncertainty, and nimble digital competitors that guarantee availability. Based on these findings, five priority actions should be taken: add sentiment-weighted lifetime value to overbooking algorithms; automate early alert messaging to guests; give supervisors the power to settle issues right away within clear limits; make staff wellbeing breaks and peer debriefs a regular part of the job; and add a carbon price to discourage high hedge ratios. When used collectively, these steps bring together predictive analytics, a culture that puts people first, and environmental responsibility. This turns overbooking from a recurrent problem into a controllable, strategically regulated tool. So, the case gives budget hotels a model they can use to make money without losing the faith of their guests or the strength of their employees, which will help them stay competitive and ethical in the long run.</w:t>
      </w:r>
    </w:p>
    <w:p w14:paraId="45D1221F" w14:textId="2CA57B95" w:rsidR="00A61E44" w:rsidRPr="009F5E4E" w:rsidRDefault="00A61E44" w:rsidP="009F5E4E">
      <w:pPr>
        <w:spacing w:line="360" w:lineRule="auto"/>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To improve Ibis Nottingham Centre's overbooking policy in a way that is founded on evidence, five projects must work together: revenue analytics, guest communication, staff empowerment, digital architecture, and environmental stewardship (Kimes 2022). First, the hotel should stop using static spreadsheets to make predictions and switch to a cloud-hosted neural network that takes in real-time predictors like ticket sales, search engine query volume, weather changes, competitor rate moves, and historical cancellation rates. It should then recalculate the allowable hedge ratio every sixty minutes. Machine-learning trials in similar properties cut involuntary relocations by a quarter while keeping occupancy rates up (Mariani and Borghi 2021). Second, a two-step guest-engagement protocol must activate whenever predicted risk breaches a calibrated ceiling: an opt-in SMS thirty-six hours pre-arrival offering credit for voluntary rebooking, followed, if necessary, by a day-of-arrival concierge call that frames relocation as a complimentary upgrade with carbon-neutral transport; proactive disclosure and tangible goodwill halve complaint frequency and lift post-stay satisfaction above baseline (Sparks and Browning 2011). Third, the limits on empowerment should be raised so that managers can approve refunds, room transfers, or loyalty-point top-ups up to a certain amount without needing higher-level approval. Research shows that the speed of resolution, not the size of the refund, affects whether customers will buy again and reduces negative online word of mouth (Karatepe and Uludag 2018). Fourth, the property should join a federated extranet that combines live inventory from Accor and vetted independents. This would allow for an airline-style "seat-swap" that instantly books and vouches for relocated guests, eliminating frantic phone chains and freeing up reception staff to serve waiting patrons (Ferguson and Smith 2017). Fifth, a wellbeing micro-programme—incorporating rotating mindfulness breaks, structured peer debriefs following high-stress shifts, and quarterly resilience workshops—should be integrated into schedules; longitudinal studies associate these interventions with significant reductions in burnout and quantifiable improvements in customer empathy (Grandey and Gabriel 2015). Complementary techniques enhance these pillars. Adding guest lifetime value and rolling sentiment indices to the neural prediction protects high-equity travellers and stops hedging ratios that exchange loyalty for little gains (Heskett et al. 2008). Quarterly scenario drills that stress-test projections against multiple disruptions, such train strikes and arena sell-outs happening at the same time, cut response time by 40% and recovery costs by half. This is similar to hospitality simulations that link rehearsal fluency to service resilience (Yang 2021). The framework is held together by environmental and governance mechanisms. Putting an internal carbon price on each relocated km makes ecological externalities worth money, stops too much hedging, and makes sure that Accor's net-zero goal is followed (de Grosbois 2021). A micro-service architecture that connects the property management system, the partner hotel extranet, and the guest messaging platform will make sure that cancellations free up inventory across the network in seconds and automatically adjust hedge ratios. This will stop mismatches between supply and demand at reception (Ivanov and Webster 2020). To solidify behavioural change, revenue and front-office teams ought to collaboratively develop dashboards that compare projected RevPAR, relocation costs, net-promoter trajectories, and staff mood scores obtained from pulse surveys; behavioral-operations experiments indicate that multi-metric displays steer decision-makers away from occupancy myopia towards balanced scorecards (Gino and Pisano 2016). Lastly, adding a rotating cross-training program where desk staff and housekeepers work together and vice versa helps everyone understand each other better, gives the department more room to work, and helps it recover when many shocks hit at once (Hughes and Roggeveen 2020). Audits will be done every so often to make sure that the rules are being followed and to compare outcomes to practice (Gill and Zeithaml 2022). These initiatives turn overbooking from a simple way to make money into a strategically controlled tool that balances profit, people, and the planet by combining predictive analytics, proactive communication, empowerment, network collaboration, lean discipline, and ethical transparency. This brings the hotel closer to the price–quality frontier without needing to spend a lot of money on renovations and ensures that guests, employees, and owners will still be competitive in the future.</w:t>
      </w:r>
    </w:p>
    <w:p w14:paraId="4936C891" w14:textId="77777777" w:rsidR="00507C6D" w:rsidRPr="009F5E4E" w:rsidRDefault="00507C6D" w:rsidP="009F5E4E">
      <w:pPr>
        <w:spacing w:line="360" w:lineRule="auto"/>
        <w:jc w:val="both"/>
        <w:rPr>
          <w:rFonts w:ascii="Arial" w:hAnsi="Arial" w:cs="Arial"/>
          <w:color w:val="000000" w:themeColor="text1"/>
          <w:sz w:val="24"/>
          <w:szCs w:val="24"/>
          <w:lang w:eastAsia="en-GB"/>
        </w:rPr>
      </w:pPr>
    </w:p>
    <w:p w14:paraId="412D84C7" w14:textId="77777777" w:rsidR="00507C6D" w:rsidRPr="009F5E4E" w:rsidRDefault="00507C6D" w:rsidP="009F5E4E">
      <w:pPr>
        <w:spacing w:line="360" w:lineRule="auto"/>
        <w:jc w:val="both"/>
        <w:rPr>
          <w:rFonts w:ascii="Arial" w:hAnsi="Arial" w:cs="Arial"/>
          <w:color w:val="000000" w:themeColor="text1"/>
          <w:sz w:val="24"/>
          <w:szCs w:val="24"/>
          <w:lang w:eastAsia="en-GB"/>
        </w:rPr>
      </w:pPr>
    </w:p>
    <w:p w14:paraId="10961DAF" w14:textId="77777777" w:rsidR="00507C6D" w:rsidRPr="009F5E4E" w:rsidRDefault="00507C6D" w:rsidP="009F5E4E">
      <w:pPr>
        <w:spacing w:line="360" w:lineRule="auto"/>
        <w:jc w:val="both"/>
        <w:rPr>
          <w:rFonts w:ascii="Arial" w:hAnsi="Arial" w:cs="Arial"/>
          <w:color w:val="000000" w:themeColor="text1"/>
          <w:sz w:val="24"/>
          <w:szCs w:val="24"/>
          <w:lang w:eastAsia="en-GB"/>
        </w:rPr>
      </w:pPr>
    </w:p>
    <w:p w14:paraId="3D784D72" w14:textId="77777777" w:rsidR="00507C6D" w:rsidRPr="009F5E4E" w:rsidRDefault="00507C6D" w:rsidP="009F5E4E">
      <w:pPr>
        <w:spacing w:line="360" w:lineRule="auto"/>
        <w:jc w:val="both"/>
        <w:rPr>
          <w:rFonts w:ascii="Arial" w:hAnsi="Arial" w:cs="Arial"/>
          <w:color w:val="000000" w:themeColor="text1"/>
          <w:sz w:val="24"/>
          <w:szCs w:val="24"/>
          <w:lang w:eastAsia="en-GB"/>
        </w:rPr>
      </w:pPr>
    </w:p>
    <w:p w14:paraId="6B5C72B3" w14:textId="77777777" w:rsidR="00507C6D" w:rsidRPr="009F5E4E" w:rsidRDefault="00507C6D" w:rsidP="009F5E4E">
      <w:pPr>
        <w:spacing w:line="360" w:lineRule="auto"/>
        <w:jc w:val="both"/>
        <w:rPr>
          <w:rFonts w:ascii="Arial" w:hAnsi="Arial" w:cs="Arial"/>
          <w:color w:val="000000" w:themeColor="text1"/>
          <w:sz w:val="24"/>
          <w:szCs w:val="24"/>
          <w:lang w:eastAsia="en-GB"/>
        </w:rPr>
      </w:pPr>
    </w:p>
    <w:p w14:paraId="7A4021F4" w14:textId="77777777" w:rsidR="00507C6D" w:rsidRPr="009F5E4E" w:rsidRDefault="00507C6D" w:rsidP="009F5E4E">
      <w:pPr>
        <w:spacing w:line="360" w:lineRule="auto"/>
        <w:jc w:val="both"/>
        <w:rPr>
          <w:rFonts w:ascii="Arial" w:hAnsi="Arial" w:cs="Arial"/>
          <w:color w:val="000000" w:themeColor="text1"/>
          <w:sz w:val="24"/>
          <w:szCs w:val="24"/>
          <w:lang w:eastAsia="en-GB"/>
        </w:rPr>
      </w:pPr>
    </w:p>
    <w:p w14:paraId="4CDAB6E8" w14:textId="77777777" w:rsidR="00507C6D" w:rsidRPr="009F5E4E" w:rsidRDefault="00507C6D" w:rsidP="009F5E4E">
      <w:pPr>
        <w:spacing w:line="360" w:lineRule="auto"/>
        <w:jc w:val="both"/>
        <w:rPr>
          <w:rFonts w:ascii="Arial" w:hAnsi="Arial" w:cs="Arial"/>
          <w:color w:val="000000" w:themeColor="text1"/>
          <w:sz w:val="24"/>
          <w:szCs w:val="24"/>
          <w:lang w:eastAsia="en-GB"/>
        </w:rPr>
      </w:pPr>
    </w:p>
    <w:p w14:paraId="25FFED69" w14:textId="77777777" w:rsidR="00507C6D" w:rsidRPr="009F5E4E" w:rsidRDefault="00507C6D" w:rsidP="009F5E4E">
      <w:pPr>
        <w:spacing w:line="360" w:lineRule="auto"/>
        <w:jc w:val="both"/>
        <w:rPr>
          <w:rFonts w:ascii="Arial" w:hAnsi="Arial" w:cs="Arial"/>
          <w:color w:val="000000" w:themeColor="text1"/>
          <w:sz w:val="24"/>
          <w:szCs w:val="24"/>
          <w:lang w:eastAsia="en-GB"/>
        </w:rPr>
      </w:pPr>
    </w:p>
    <w:p w14:paraId="4BD69FA7" w14:textId="77777777" w:rsidR="00507C6D" w:rsidRPr="009F5E4E" w:rsidRDefault="00507C6D" w:rsidP="009F5E4E">
      <w:pPr>
        <w:spacing w:line="360" w:lineRule="auto"/>
        <w:jc w:val="both"/>
        <w:rPr>
          <w:rFonts w:ascii="Arial" w:hAnsi="Arial" w:cs="Arial"/>
          <w:color w:val="000000" w:themeColor="text1"/>
          <w:sz w:val="24"/>
          <w:szCs w:val="24"/>
          <w:lang w:eastAsia="en-GB"/>
        </w:rPr>
      </w:pPr>
    </w:p>
    <w:p w14:paraId="26D0924E" w14:textId="77777777" w:rsidR="00507C6D" w:rsidRPr="009F5E4E" w:rsidRDefault="00507C6D" w:rsidP="009F5E4E">
      <w:pPr>
        <w:spacing w:line="360" w:lineRule="auto"/>
        <w:jc w:val="both"/>
        <w:rPr>
          <w:rFonts w:ascii="Arial" w:hAnsi="Arial" w:cs="Arial"/>
          <w:color w:val="000000" w:themeColor="text1"/>
          <w:sz w:val="24"/>
          <w:szCs w:val="24"/>
          <w:lang w:eastAsia="en-GB"/>
        </w:rPr>
      </w:pPr>
    </w:p>
    <w:p w14:paraId="1D24D2FD" w14:textId="23EB16F4" w:rsidR="00A61E44" w:rsidRPr="009F5E4E" w:rsidRDefault="00A61E44" w:rsidP="009F5E4E">
      <w:pPr>
        <w:pStyle w:val="EU"/>
        <w:spacing w:line="360" w:lineRule="auto"/>
        <w:rPr>
          <w:color w:val="000000" w:themeColor="text1"/>
        </w:rPr>
      </w:pPr>
      <w:bookmarkStart w:id="7" w:name="_Toc200649764"/>
      <w:r w:rsidRPr="009F5E4E">
        <w:rPr>
          <w:color w:val="000000" w:themeColor="text1"/>
        </w:rPr>
        <w:t>References</w:t>
      </w:r>
      <w:bookmarkEnd w:id="7"/>
      <w:r w:rsidRPr="009F5E4E">
        <w:rPr>
          <w:color w:val="000000" w:themeColor="text1"/>
        </w:rPr>
        <w:t xml:space="preserve"> </w:t>
      </w:r>
    </w:p>
    <w:p w14:paraId="5F854D89" w14:textId="77777777" w:rsidR="00A61E44" w:rsidRPr="009F5E4E" w:rsidRDefault="00A61E44" w:rsidP="009F5E4E">
      <w:pPr>
        <w:spacing w:line="360" w:lineRule="auto"/>
        <w:rPr>
          <w:rFonts w:ascii="Arial" w:hAnsi="Arial" w:cs="Arial"/>
          <w:color w:val="000000" w:themeColor="text1"/>
          <w:sz w:val="24"/>
          <w:szCs w:val="24"/>
          <w:lang w:eastAsia="en-GB"/>
        </w:rPr>
      </w:pPr>
    </w:p>
    <w:p w14:paraId="5C770B94" w14:textId="77777777"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Annamalah, S., 2024. The value of case study research in practice: A methodological review. Journal of Applied Economic Sciences, 19(4), pp.485–498.</w:t>
      </w:r>
    </w:p>
    <w:p w14:paraId="09DABFBD" w14:textId="4880B657"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Bartl, M. et al., 2016. A review and analysis of literature on netnography research. International Journal of Technology Marketing, 11(2), pp.165–196</w:t>
      </w:r>
    </w:p>
    <w:p w14:paraId="661960F2" w14:textId="332FC946"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Baum, T., 2018. Human Resource Management for Tourism, Hospitality and Leisure: An International Perspective. Cengage Learning.</w:t>
      </w:r>
    </w:p>
    <w:p w14:paraId="18CB0CE6" w14:textId="291D19E4"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Bertsimas, D. &amp; Popescu, I. (2003) ‘Optimal inequalities in probability theory: a convex optimization approach’, Operations Research, 51(1), pp. 95–108.</w:t>
      </w:r>
    </w:p>
    <w:p w14:paraId="4A1E0276" w14:textId="40BAA048" w:rsidR="00A61E44"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Bitran, G. &amp; Caldentey, R. (2003) ‘An overview of pricing models for revenue management’, Manufacturing &amp; Service Operations Management, 5(3), pp. 203–229.</w:t>
      </w:r>
    </w:p>
    <w:p w14:paraId="53A8975E" w14:textId="0BC1591E"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Boshoff, C., 2020. Services Marketing: A Contemporary Approach. Juta.</w:t>
      </w:r>
    </w:p>
    <w:p w14:paraId="5C56160C" w14:textId="45677CCB"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Buhalis, D. &amp; Leung, R., 2018. Smart hospitality—contextualisation and implications. Information Technology &amp; Tourism, 20(3), pp.189–203.</w:t>
      </w:r>
    </w:p>
    <w:p w14:paraId="533C3C5C" w14:textId="4E90FD52"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Çakar, K. &amp; Aykol, Ş., 2020. Case study as a research method in hospitality and tourism research: A systematic literature review (1974–2020). Cornell Hospitality Quarterly, 62(1), pp.21–31</w:t>
      </w:r>
    </w:p>
    <w:p w14:paraId="546642C7" w14:textId="7C2C2C26"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Chen, R.J.C. &amp; Rothschild, M.L., 2019. Branding in budget hotels: A review. Journal of Hospitality and Tourism Management, 38, pp.1–10.</w:t>
      </w:r>
    </w:p>
    <w:p w14:paraId="50ABE4BB" w14:textId="3DC392A4"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Chen, R. &amp; Luo, J.M., 2020. Chain hotel performance metrics and strategic trade-offs. International Journal of Hospitality Management, 85, 102353.</w:t>
      </w:r>
    </w:p>
    <w:p w14:paraId="1634BF4A" w14:textId="22915FBA"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Chi, C.G. &amp; Gursoy, D. (2009) ‘Employee satisfaction, customer satisfaction, and financial performance: An empirical examination’, International Journal of Hospitality Management, 28(2), pp. 245–253.</w:t>
      </w:r>
    </w:p>
    <w:p w14:paraId="749E9879" w14:textId="27623249"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Costello, L., McDermott, M.L. and Wallace, R., 2017. Netnography: Range of practices, misperceptions, and missed opportunities. International journal of qualitative methods, 16(1), p.1609406917700647.</w:t>
      </w:r>
    </w:p>
    <w:p w14:paraId="6345CAC0" w14:textId="009B299E"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Davidow, M. (2003) ‘Organizational responses to customer complaints: what works and what doesn’t’, Journal of Business Research, 56(3), pp. 225–235.</w:t>
      </w:r>
    </w:p>
    <w:p w14:paraId="7B81113D" w14:textId="77777777"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de Grosbois, D. (2021) Corporate social responsibility reporting in the lodging industry. Tourism and Hospitality Research, 21(2), 210–223.</w:t>
      </w:r>
    </w:p>
    <w:p w14:paraId="7224071C" w14:textId="217F4A19"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de Jong, B. &amp; Elfring, T., 2015. Trust and innovation in hospitality services. Service Industries Journal, 35(1–2), pp.73–94.</w:t>
      </w:r>
    </w:p>
    <w:p w14:paraId="2856FE7D" w14:textId="1051772E"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Dev, C.S., Hamilton, R.D. &amp; Rust, R.T., 2018. Meeting the challenges of service innovation: Lessons from hospitality. Business Horizons, 61(6), pp.907–915.</w:t>
      </w:r>
    </w:p>
    <w:p w14:paraId="2500BF6A" w14:textId="652187FA"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Discetti, R. and Anderson, V., 2023. The value of netnography for research in HRD. Human Resource Development Review, 22(1), pp.59-83.</w:t>
      </w:r>
    </w:p>
    <w:p w14:paraId="1862A0CD" w14:textId="558AD22B"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Enz, C.A. &amp; Harrison, J.S., 2017. Competitive dynamics and strategic choices in the hospitality industry. Cornell Hospitality Quarterly, 58(1), pp.10–24.</w:t>
      </w:r>
    </w:p>
    <w:p w14:paraId="03C4899D" w14:textId="77777777" w:rsidR="00A61E44" w:rsidRPr="009F5E4E" w:rsidRDefault="00A61E44"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Ferguson, M. &amp; Smith, S. (2017) Displacement analysis and hotel revenue. Journal of Revenue and Pricing Management, 16(2), 114–121.</w:t>
      </w:r>
    </w:p>
    <w:p w14:paraId="24CCD036" w14:textId="7D63F98E"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Ferguson, M. &amp; Smith, S.D., 2017. The changing landscape of hotel revenue management. Journal of Revenue and Pricing Management, 16(2), pp.114–121.</w:t>
      </w:r>
    </w:p>
    <w:p w14:paraId="25E00B0D" w14:textId="77777777" w:rsidR="00A61E44" w:rsidRPr="009F5E4E" w:rsidRDefault="00A61E44"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Gill, M. &amp; Zeithaml, V. (2022) Regulating customer compensation in hospitality. Journal of Consumer Policy, 45(3), 489–510.</w:t>
      </w:r>
    </w:p>
    <w:p w14:paraId="23D386EB" w14:textId="32C94C7A" w:rsidR="009F5E4E" w:rsidRPr="009F5E4E" w:rsidRDefault="009F5E4E"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Gillet D &amp; Kucukusta D 2016 Price–quality positioning in urban lodging International Journal of Contemporary Hospitality Management 28 2724–2746</w:t>
      </w:r>
    </w:p>
    <w:p w14:paraId="1F14C259" w14:textId="77777777" w:rsidR="00A61E44" w:rsidRPr="009F5E4E" w:rsidRDefault="00A61E44"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Gino, F. &amp; Pisano, G. (2016) The behavioural operations of risk. Harvard Business Review, 94(2), 32–38.</w:t>
      </w:r>
    </w:p>
    <w:p w14:paraId="4C0CD062" w14:textId="6D842DBE" w:rsidR="00A61E44"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 xml:space="preserve">Grandey, A.A. &amp; Gabriel, A.S., 2015. Emotional labor at a crossroads: Where do we go from here? Annual Review of Organizational Psychology and Organizational Behavior, 2(1), pp.323–349. </w:t>
      </w:r>
      <w:r w:rsidR="00A61E44" w:rsidRPr="009F5E4E">
        <w:rPr>
          <w:rFonts w:ascii="Arial" w:hAnsi="Arial" w:cs="Arial"/>
          <w:color w:val="000000" w:themeColor="text1"/>
          <w:sz w:val="24"/>
          <w:szCs w:val="24"/>
          <w:lang w:eastAsia="en-GB"/>
        </w:rPr>
        <w:t>Heskett, J., Jones, T., Loveman, G., Sasser, W. &amp; Schlesinger, L. (2008) Putting the service-profit chain to work. Harvard Business Review, 86(7), 118–129.</w:t>
      </w:r>
    </w:p>
    <w:p w14:paraId="5E97B83D" w14:textId="13F24F2F"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Guillet, B. &amp; Kucukusta, D., 2016. Price–quality positioning in urban lodging. International Journal of Contemporary Hospitality Management, 28(12), pp.2724–2746.</w:t>
      </w:r>
    </w:p>
    <w:p w14:paraId="5D5A284D" w14:textId="5742DB03"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Hayes, D. &amp; Miller, A., 2021. Revenue Management for the Hospitality Industry. Wiley.</w:t>
      </w:r>
    </w:p>
    <w:p w14:paraId="7F85E318" w14:textId="70EBA4F8"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Heskett J et al 2008. Putting the service-profit chain to work Harvard Business Review 86 118-129</w:t>
      </w:r>
    </w:p>
    <w:p w14:paraId="22A32CA0" w14:textId="77777777" w:rsidR="00A61E44" w:rsidRPr="009F5E4E" w:rsidRDefault="00A61E44"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Hughes, D. &amp; Roggeveen, A. (2020) Psychological safety in hospitality teams. International Journal of Hospitality Management, 87, 102498.</w:t>
      </w:r>
    </w:p>
    <w:p w14:paraId="58CBC33B" w14:textId="4D5BEDE2" w:rsidR="00A61E44" w:rsidRPr="009F5E4E" w:rsidRDefault="00A61E44"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Ivanov, S. &amp; Zhechev, V., (2012). Hotel revenue management: From theory to practice. Varna University of Management Research Journal, 4(1), pp. 18-32.</w:t>
      </w:r>
    </w:p>
    <w:p w14:paraId="1B3BE024" w14:textId="70746DD1"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Ivanov, S. (2014) ‘Hotel revenue management: From theory to practice’, International Journal of Hospitality Management, 36, pp. 39–47.</w:t>
      </w:r>
    </w:p>
    <w:p w14:paraId="68F3B49D" w14:textId="77777777" w:rsidR="00A61E44" w:rsidRPr="009F5E4E" w:rsidRDefault="00A61E44"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Ivanov, S. &amp; Webster, C. (2020) Artificial intelligence and cancellation forecasting in hotels. Tourism Management Perspectives, 36, 100752.</w:t>
      </w:r>
    </w:p>
    <w:p w14:paraId="2E6B54C3" w14:textId="13F42FED"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Jones, P., Hillier, D. &amp; Comfort, D., 2016. Sustainability in the global hotel industry. International Journal of Contemporary Hospitality Management, 28(1), pp.36–67.</w:t>
      </w:r>
    </w:p>
    <w:p w14:paraId="49178966" w14:textId="77777777"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Karatepe, O.M. &amp; Uludag, O. (2008) ‘A study of the effects of job stress on job satisfaction, turnover intention and self-reported service quality’, International Journal of Hospitality Management, 27(1), pp. 91–105.</w:t>
      </w:r>
    </w:p>
    <w:p w14:paraId="6864D79B" w14:textId="24BB862F" w:rsidR="00A61E44" w:rsidRPr="009F5E4E" w:rsidRDefault="00A61E44"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Karatepe, O. &amp; Uludag, O. (2018) Emotional dissonance and burnout among hotel employees. Journal of Human Resources in Hospitality and Tourism, 17(2), 200–217.</w:t>
      </w:r>
    </w:p>
    <w:p w14:paraId="6920B1B8" w14:textId="59FD9AE5"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Karatepe, O.M. &amp; Uludag, O., 2018. Role of emotional dissonance and emotional exhaustion in the job performance of hotel employees. Journal of Human Resources in Hospitality and Tourism, 17(2), pp.200–217.</w:t>
      </w:r>
    </w:p>
    <w:p w14:paraId="1A75207D" w14:textId="0BBF6C70"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Kau, A. &amp; Loh, E., 2019. The service recovery paradox in hotels. Journal of Hospitality Marketing &amp; Management, 28(2), pp.204–226.</w:t>
      </w:r>
    </w:p>
    <w:p w14:paraId="43853789" w14:textId="14CCDEC6" w:rsidR="00507C6D"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Kim, M.G., Yoo, J. &amp; Lee, J.H. (2012) ‘Post-recovery satisfaction and word-of-mouth: The role of perceived justice and empathy’, International Journal of Hospitality Management, 31(2), pp. 574–583.</w:t>
      </w:r>
    </w:p>
    <w:p w14:paraId="7469FE3D" w14:textId="0514568C"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Kim, M. &amp; Thapa, B., 2018. CSR and service failure forgiveness in tourism. Tourism Management, 64, pp.66–76.</w:t>
      </w:r>
    </w:p>
    <w:p w14:paraId="0096CEE9" w14:textId="69E98484"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Kimes, S.E. (2011) ‘The future of hotel revenue management’, Journal of Revenue and Pricing Management, 10(1), pp. 62–74.</w:t>
      </w:r>
    </w:p>
    <w:p w14:paraId="22209F96" w14:textId="3CD552E1"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Kimes, S., 2022. Overbooking impacts on satisfaction and profitability. Journal of Revenue and Pricing Management, 21(2), pp.145–158.</w:t>
      </w:r>
    </w:p>
    <w:p w14:paraId="491A81B9" w14:textId="348C5E9E"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Kimes, S.E. &amp; McGuire, K.A. (2001) ‘Function-space revenue management: A case study from Singapore’, Cornell Hospitality Quarterly, 42(4), pp. 33–46.</w:t>
      </w:r>
    </w:p>
    <w:p w14:paraId="7FB036B6" w14:textId="77777777" w:rsidR="00A61E44" w:rsidRPr="009F5E4E" w:rsidRDefault="00A61E44"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Kimes, S. (2022) Overbooking impacts on satisfaction and profitability. Journal of Revenue and Pricing Management, 21(2), 145–158.</w:t>
      </w:r>
    </w:p>
    <w:p w14:paraId="209929FB" w14:textId="67196280"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Kozinets, R.V. &amp; Gretzel, U., 2020. Netnography: The essential guide to qualitative social media research. London: Sage Publications</w:t>
      </w:r>
    </w:p>
    <w:p w14:paraId="78F08144" w14:textId="095D52A3"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Krippendorff, K., 2016. Content analysis: An introduction to its methodology. Thousand Oaks, CA: Sage Publications.</w:t>
      </w:r>
    </w:p>
    <w:p w14:paraId="4734B802" w14:textId="2653A06B"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Lai, K.K. &amp; Ng, W.L. (2005) ‘A stochastic approach to hotel overbooking’, European Journal of Operational Research, 161(2), pp. 342–352.</w:t>
      </w:r>
    </w:p>
    <w:p w14:paraId="463C6B78" w14:textId="77CEAE3D"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Leung, D., Xue, L. &amp; Bai, B., 2015. Internet marketing research in hospitality and tourism: A review and journal preferences. International Journal of Contemporary Hospitality Management, 27(1), pp.34–60.</w:t>
      </w:r>
    </w:p>
    <w:p w14:paraId="4FF0EBF6" w14:textId="3FCB6425"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Leung, R., Law, R. &amp; Lee, H., 2015. Technology contingency factors in revenue management. International Journal of Hospitality Management, 46, pp.92–101.</w:t>
      </w:r>
    </w:p>
    <w:p w14:paraId="7CAA8AC9" w14:textId="0AF9D890"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Liberman, V. &amp; Yechiali, U. (1978) ‘Hotel overbooking problem: An inventory model’, Management Science, 24(11), pp. 1117–1126.</w:t>
      </w:r>
    </w:p>
    <w:p w14:paraId="75713561" w14:textId="62FB1299"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Lolli, J.C., Hayes, D.K. &amp; Miller, A.A., 2017. Hotel Operations Management. Pearson Education.</w:t>
      </w:r>
    </w:p>
    <w:p w14:paraId="0555A756" w14:textId="05BD224E"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Mariani, M. &amp; Borghi, M., 2021. Big data analytics in hospitality. International Journal of Hospitality Management, 98, 102995.</w:t>
      </w:r>
    </w:p>
    <w:p w14:paraId="21CE461D" w14:textId="16FECB6C"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Mattila, A.S. (2001) ‘The impact of relationship type on customer loyalty in the context of service failures’, Journal of Service Research, 4(1), pp. 53–63.</w:t>
      </w:r>
    </w:p>
    <w:p w14:paraId="4CFC7543" w14:textId="2E7BBFCE"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Mattila, A.S. &amp; Ro, H., 2015. The effects of customer dissatisfaction on return intentions in hospitality services. International Journal of Hospitality Management, 46, pp.28–35.</w:t>
      </w:r>
    </w:p>
    <w:p w14:paraId="068FB7EE" w14:textId="2EC1C12F"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Morales, D.R. &amp; Wang, J. (2010) ‘Integrating price and inventory control under lost sales in hotel revenue management’, Journal of Revenue and Pricing Management, 9(3), pp. 224–240.</w:t>
      </w:r>
    </w:p>
    <w:p w14:paraId="6657FDAB" w14:textId="528FD737"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Netessine, S. &amp; Shumsky, R.A. (2002) ‘Introduction to the theory and practice of yield management’, Management Science, 48(3), pp. 375–388.</w:t>
      </w:r>
    </w:p>
    <w:p w14:paraId="262FE96B" w14:textId="77777777" w:rsidR="00A61E44" w:rsidRPr="009F5E4E" w:rsidRDefault="00A61E44"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Mariani, M. &amp; Borghi, M. (2021) Big-data analytics in hospitality and tourism. International Journal of Hospitality Management, 98, 102995.</w:t>
      </w:r>
    </w:p>
    <w:p w14:paraId="2CD284F6" w14:textId="67C37D62"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Noone, B.M. &amp; Lee, C.H., 2011. Hotel overbooking: The effect of overbooking policies on customer loyalty and satisfaction. Journal of Revenue and Pricing Management, 10(4), pp. 324-337.</w:t>
      </w:r>
    </w:p>
    <w:p w14:paraId="10E3E24D" w14:textId="091822D2"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O’Reilly, C. &amp; Tushman, M., 2016. Lead and disrupt: How to solve the innovator’s dilemma. California Management Review, 58(3), pp.50–76.</w:t>
      </w:r>
    </w:p>
    <w:p w14:paraId="6EA0B084" w14:textId="2570FEF3"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Peco-Torrens, O. &amp; Mestre-Alavedra, J., 2021. Mindfulness and emotional exhaustion among hotel staff. Mediterranean Journal of Social Sciences, 12(2), pp.60–70.</w:t>
      </w:r>
    </w:p>
    <w:p w14:paraId="5B7683F1" w14:textId="2AA9EA73" w:rsidR="00E153AF"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Pike, S. &amp; Page, S.J., 2020. Marketing for tourism and hospitality: collaboration, technology and experiences. Journal of Tourism Futures, 6(2), pp.103–117.</w:t>
      </w:r>
    </w:p>
    <w:p w14:paraId="1AE88524" w14:textId="3FE16F8F"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Pizam, A. &amp; Shani, A., 2021. Facility upgrades and economy-hotel competitiveness. Journal of Hospitality and Tourism Research, 45(8), pp.1426–1448.</w:t>
      </w:r>
    </w:p>
    <w:p w14:paraId="72504941" w14:textId="7AB7F328"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Slivar, I., Goričanec, B. &amp; Janković, S., 2022. Triple-bottom-line performance in budget hotels. Sustainability, 14(5), 2861.</w:t>
      </w:r>
    </w:p>
    <w:p w14:paraId="369E25CE" w14:textId="49A2E90E"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Solnet, D., Kralj, A. &amp; Baum, T., 2019. 360 degrees of pressure in hotel HR. Worldwide Hospitality and Tourism Themes, 11(1), pp.29–39.</w:t>
      </w:r>
    </w:p>
    <w:p w14:paraId="21F80E73" w14:textId="77777777"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Smith, A.K., Bolton, R.N. &amp; Wagner, J. (1999) ‘A model of customer satisfaction with service encounters involving failure and recovery’, Journal of Marketing Research, 36(3), pp. 356–372.</w:t>
      </w:r>
    </w:p>
    <w:p w14:paraId="20A06AB5" w14:textId="65867D45"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Solnet, D., Kralj, A. &amp; Baum, T., 2019. 360 degrees of pressure: The changing role of the HR professional in the hospitality industry. Worldwide Hospitality and Tourism Themes, 11(1), pp.29–39.</w:t>
      </w:r>
    </w:p>
    <w:p w14:paraId="17161E26" w14:textId="6A3CA2ED"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Sparks, B. &amp; Browning, V., 2011. Online reviews and booking intentions. Tourism Management, 32(6), pp.1310–1323.</w:t>
      </w:r>
    </w:p>
    <w:p w14:paraId="1BC44D7F" w14:textId="4F899192"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Talluri, K.T. &amp; Van Ryzin, G.J., 2005. The theory and practice of revenue management. Springer Science &amp; Business Media, New York.</w:t>
      </w:r>
    </w:p>
    <w:p w14:paraId="533DF477" w14:textId="1A5D1F62"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Toh, R.S. &amp; Dekay, C.F., 2002. Hotel room-inventory management: An overbooking model. Cornell Hotel and Restaurant Administration Quarterly, 43(4), pp. 79-90.</w:t>
      </w:r>
    </w:p>
    <w:p w14:paraId="65110F79" w14:textId="1E1290EF"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Vargo, S. &amp; Lusch, R., 2016. Institutions and axioms: an extension and update of service-dominant logic. Journal of the Academy of Marketing Science, 44(1), pp.5–23.</w:t>
      </w:r>
    </w:p>
    <w:p w14:paraId="098FF97C" w14:textId="3170CA25"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Whalen, E.A., 2018. Understanding a shifting methodology: A content analysis of the use of netnography in hospitality and tourism research. International Journal of Contemporary Hospitality Management, 30(11), pp.3423–3441</w:t>
      </w:r>
    </w:p>
    <w:p w14:paraId="4F2ACFC9" w14:textId="204F03F9"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Weatherford, L.R. &amp; Bodily, S.E. (1992) ‘A taxonomy and research overview of perishable-asset revenue management: Yield management, overbooking, and pricing’, Operations Research, 40(5), pp. 831–844.</w:t>
      </w:r>
    </w:p>
    <w:p w14:paraId="3872414A" w14:textId="77777777"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Weatherford, L.R. &amp; Kimes, S.E. (2003) ‘Forecasting for hotel revenue management: Testing aggregation against disaggregation’, Cornell Hospitality Quarterly, 44(3), pp. 115–129.</w:t>
      </w:r>
    </w:p>
    <w:p w14:paraId="1E139E36" w14:textId="19B1DF3F" w:rsidR="00507C6D" w:rsidRPr="009F5E4E" w:rsidRDefault="00507C6D"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Xiang, Z., Schwartz, Z., Gerdes Jr, J.H. &amp; Uysal, M., 2017. What can big data and text analytics tell us about hotel guest experience and satisfaction? International Journal of Hospitality Management, 66, pp.1–12.</w:t>
      </w:r>
    </w:p>
    <w:p w14:paraId="123F839C" w14:textId="27D099CE" w:rsidR="00AA1232"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Yang, L. (2021) Lean service improvement in hospitality. International Journal of Productivity and Performance Management, 70(9), 2271–2292.</w:t>
      </w:r>
    </w:p>
    <w:p w14:paraId="559E78E1" w14:textId="29A8B557" w:rsidR="00A61E44" w:rsidRPr="009F5E4E" w:rsidRDefault="00AA1232"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Yeoman, I. &amp; Watson, S. (1997) ‘Yield management: A review of research on revenue and inventory management in the hospitality industry’, International Journal of Contemporary Hospitality Management, 9(1), pp. 18–23.</w:t>
      </w:r>
    </w:p>
    <w:p w14:paraId="50E1DF5D" w14:textId="02357840" w:rsidR="00E153AF" w:rsidRPr="009F5E4E" w:rsidRDefault="00E153AF" w:rsidP="009F5E4E">
      <w:pPr>
        <w:spacing w:line="360" w:lineRule="auto"/>
        <w:ind w:left="360"/>
        <w:jc w:val="both"/>
        <w:rPr>
          <w:rFonts w:ascii="Arial" w:hAnsi="Arial" w:cs="Arial"/>
          <w:color w:val="000000" w:themeColor="text1"/>
          <w:sz w:val="24"/>
          <w:szCs w:val="24"/>
          <w:lang w:eastAsia="en-GB"/>
        </w:rPr>
      </w:pPr>
      <w:r w:rsidRPr="009F5E4E">
        <w:rPr>
          <w:rFonts w:ascii="Arial" w:hAnsi="Arial" w:cs="Arial"/>
          <w:color w:val="000000" w:themeColor="text1"/>
          <w:sz w:val="24"/>
          <w:szCs w:val="24"/>
          <w:lang w:eastAsia="en-GB"/>
        </w:rPr>
        <w:t>Yin, R., 2018. Case Study Research and Applications. Sage.</w:t>
      </w:r>
    </w:p>
    <w:p w14:paraId="3B903903" w14:textId="77777777" w:rsidR="00A61E44" w:rsidRPr="00AA1232" w:rsidRDefault="00A61E44" w:rsidP="00AA1232">
      <w:pPr>
        <w:spacing w:line="360" w:lineRule="auto"/>
        <w:jc w:val="both"/>
        <w:rPr>
          <w:rFonts w:ascii="Arial" w:hAnsi="Arial" w:cs="Arial"/>
          <w:sz w:val="24"/>
          <w:szCs w:val="24"/>
          <w:lang w:eastAsia="en-GB"/>
        </w:rPr>
      </w:pPr>
    </w:p>
    <w:p w14:paraId="26E809CC" w14:textId="77777777" w:rsidR="00A61E44" w:rsidRPr="00AA1232" w:rsidRDefault="00A61E44" w:rsidP="00AA1232">
      <w:pPr>
        <w:spacing w:line="360" w:lineRule="auto"/>
        <w:jc w:val="both"/>
        <w:rPr>
          <w:rFonts w:ascii="Arial" w:hAnsi="Arial" w:cs="Arial"/>
          <w:sz w:val="24"/>
          <w:szCs w:val="24"/>
          <w:lang w:eastAsia="en-GB"/>
        </w:rPr>
      </w:pPr>
    </w:p>
    <w:p w14:paraId="2ECCAB8E" w14:textId="77777777" w:rsidR="00A61E44" w:rsidRPr="00AA1232" w:rsidRDefault="00A61E44" w:rsidP="00AA1232">
      <w:pPr>
        <w:spacing w:line="360" w:lineRule="auto"/>
        <w:jc w:val="both"/>
        <w:rPr>
          <w:rFonts w:ascii="Arial" w:hAnsi="Arial" w:cs="Arial"/>
          <w:sz w:val="24"/>
          <w:szCs w:val="24"/>
          <w:lang w:eastAsia="en-GB"/>
        </w:rPr>
      </w:pPr>
    </w:p>
    <w:p w14:paraId="7CDE3542" w14:textId="77777777" w:rsidR="00A61E44" w:rsidRPr="00AA1232" w:rsidRDefault="00A61E44" w:rsidP="00AA1232">
      <w:pPr>
        <w:spacing w:line="360" w:lineRule="auto"/>
        <w:jc w:val="both"/>
        <w:rPr>
          <w:rFonts w:ascii="Arial" w:hAnsi="Arial" w:cs="Arial"/>
          <w:sz w:val="24"/>
          <w:szCs w:val="24"/>
          <w:lang w:eastAsia="en-GB"/>
        </w:rPr>
      </w:pPr>
    </w:p>
    <w:p w14:paraId="73AE1A89" w14:textId="77777777" w:rsidR="00A61E44" w:rsidRPr="00AA1232" w:rsidRDefault="00A61E44" w:rsidP="00AA1232">
      <w:pPr>
        <w:spacing w:line="360" w:lineRule="auto"/>
        <w:jc w:val="both"/>
        <w:rPr>
          <w:rFonts w:ascii="Arial" w:hAnsi="Arial" w:cs="Arial"/>
          <w:sz w:val="24"/>
          <w:szCs w:val="24"/>
          <w:lang w:eastAsia="en-GB"/>
        </w:rPr>
      </w:pPr>
    </w:p>
    <w:p w14:paraId="5392F5C5" w14:textId="77777777" w:rsidR="00A61E44" w:rsidRPr="00AA1232" w:rsidRDefault="00A61E44" w:rsidP="00AA1232">
      <w:pPr>
        <w:spacing w:line="360" w:lineRule="auto"/>
        <w:jc w:val="both"/>
        <w:rPr>
          <w:rFonts w:ascii="Arial" w:hAnsi="Arial" w:cs="Arial"/>
          <w:sz w:val="24"/>
          <w:szCs w:val="24"/>
          <w:lang w:eastAsia="en-GB"/>
        </w:rPr>
      </w:pPr>
    </w:p>
    <w:sectPr w:rsidR="00A61E44" w:rsidRPr="00AA1232" w:rsidSect="00A61E44">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ECA5E" w14:textId="77777777" w:rsidR="00214C44" w:rsidRDefault="00214C44" w:rsidP="00B500A1">
      <w:pPr>
        <w:spacing w:after="0" w:line="240" w:lineRule="auto"/>
      </w:pPr>
      <w:r>
        <w:separator/>
      </w:r>
    </w:p>
  </w:endnote>
  <w:endnote w:type="continuationSeparator" w:id="0">
    <w:p w14:paraId="7AD0F1B0" w14:textId="77777777" w:rsidR="00214C44" w:rsidRDefault="00214C44" w:rsidP="00B50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595207"/>
      <w:docPartObj>
        <w:docPartGallery w:val="Page Numbers (Bottom of Page)"/>
        <w:docPartUnique/>
      </w:docPartObj>
    </w:sdtPr>
    <w:sdtEndPr>
      <w:rPr>
        <w:noProof/>
      </w:rPr>
    </w:sdtEndPr>
    <w:sdtContent>
      <w:p w14:paraId="16AFA5C1" w14:textId="3E81A36F" w:rsidR="00B500A1" w:rsidRDefault="00B500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196DCD" w14:textId="77777777" w:rsidR="00B500A1" w:rsidRDefault="00B50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CFE41" w14:textId="77777777" w:rsidR="00214C44" w:rsidRDefault="00214C44" w:rsidP="00B500A1">
      <w:pPr>
        <w:spacing w:after="0" w:line="240" w:lineRule="auto"/>
      </w:pPr>
      <w:r>
        <w:separator/>
      </w:r>
    </w:p>
  </w:footnote>
  <w:footnote w:type="continuationSeparator" w:id="0">
    <w:p w14:paraId="6B94BCF5" w14:textId="77777777" w:rsidR="00214C44" w:rsidRDefault="00214C44" w:rsidP="00B500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684F"/>
    <w:multiLevelType w:val="hybridMultilevel"/>
    <w:tmpl w:val="E6BA2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C0749D"/>
    <w:multiLevelType w:val="hybridMultilevel"/>
    <w:tmpl w:val="03FAF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A51509"/>
    <w:multiLevelType w:val="hybridMultilevel"/>
    <w:tmpl w:val="64C2F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FC2B3C"/>
    <w:multiLevelType w:val="hybridMultilevel"/>
    <w:tmpl w:val="4DD65862"/>
    <w:lvl w:ilvl="0" w:tplc="02749DF8">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4584">
    <w:abstractNumId w:val="3"/>
  </w:num>
  <w:num w:numId="2" w16cid:durableId="935674918">
    <w:abstractNumId w:val="1"/>
  </w:num>
  <w:num w:numId="3" w16cid:durableId="1390956792">
    <w:abstractNumId w:val="0"/>
  </w:num>
  <w:num w:numId="4" w16cid:durableId="720403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0A1"/>
    <w:rsid w:val="00037E90"/>
    <w:rsid w:val="001540DA"/>
    <w:rsid w:val="00172855"/>
    <w:rsid w:val="00184C20"/>
    <w:rsid w:val="00214C44"/>
    <w:rsid w:val="002B60B2"/>
    <w:rsid w:val="003A11A9"/>
    <w:rsid w:val="004A5AE3"/>
    <w:rsid w:val="00507C6D"/>
    <w:rsid w:val="00633211"/>
    <w:rsid w:val="0068659D"/>
    <w:rsid w:val="007B0CC3"/>
    <w:rsid w:val="009B2091"/>
    <w:rsid w:val="009D3511"/>
    <w:rsid w:val="009F5E4E"/>
    <w:rsid w:val="00A61E44"/>
    <w:rsid w:val="00AA1232"/>
    <w:rsid w:val="00B151A8"/>
    <w:rsid w:val="00B500A1"/>
    <w:rsid w:val="00C82D1F"/>
    <w:rsid w:val="00D36034"/>
    <w:rsid w:val="00D73CFE"/>
    <w:rsid w:val="00E153AF"/>
    <w:rsid w:val="00EE1154"/>
    <w:rsid w:val="00F22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1A12A"/>
  <w15:chartTrackingRefBased/>
  <w15:docId w15:val="{1CEF56DC-B57E-48BE-BBED-42CFFF86F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500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00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00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00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00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00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00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00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500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00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00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00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00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00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00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00A1"/>
    <w:rPr>
      <w:rFonts w:eastAsiaTheme="majorEastAsia" w:cstheme="majorBidi"/>
      <w:color w:val="272727" w:themeColor="text1" w:themeTint="D8"/>
    </w:rPr>
  </w:style>
  <w:style w:type="paragraph" w:styleId="Title">
    <w:name w:val="Title"/>
    <w:basedOn w:val="Normal"/>
    <w:next w:val="Normal"/>
    <w:link w:val="TitleChar"/>
    <w:uiPriority w:val="10"/>
    <w:qFormat/>
    <w:rsid w:val="00B500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0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00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00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00A1"/>
    <w:pPr>
      <w:spacing w:before="160"/>
      <w:jc w:val="center"/>
    </w:pPr>
    <w:rPr>
      <w:i/>
      <w:iCs/>
      <w:color w:val="404040" w:themeColor="text1" w:themeTint="BF"/>
    </w:rPr>
  </w:style>
  <w:style w:type="character" w:customStyle="1" w:styleId="QuoteChar">
    <w:name w:val="Quote Char"/>
    <w:basedOn w:val="DefaultParagraphFont"/>
    <w:link w:val="Quote"/>
    <w:uiPriority w:val="29"/>
    <w:rsid w:val="00B500A1"/>
    <w:rPr>
      <w:i/>
      <w:iCs/>
      <w:color w:val="404040" w:themeColor="text1" w:themeTint="BF"/>
    </w:rPr>
  </w:style>
  <w:style w:type="paragraph" w:styleId="ListParagraph">
    <w:name w:val="List Paragraph"/>
    <w:basedOn w:val="Normal"/>
    <w:uiPriority w:val="34"/>
    <w:qFormat/>
    <w:rsid w:val="00B500A1"/>
    <w:pPr>
      <w:ind w:left="720"/>
      <w:contextualSpacing/>
    </w:pPr>
  </w:style>
  <w:style w:type="character" w:styleId="IntenseEmphasis">
    <w:name w:val="Intense Emphasis"/>
    <w:basedOn w:val="DefaultParagraphFont"/>
    <w:uiPriority w:val="21"/>
    <w:qFormat/>
    <w:rsid w:val="00B500A1"/>
    <w:rPr>
      <w:i/>
      <w:iCs/>
      <w:color w:val="2F5496" w:themeColor="accent1" w:themeShade="BF"/>
    </w:rPr>
  </w:style>
  <w:style w:type="paragraph" w:styleId="IntenseQuote">
    <w:name w:val="Intense Quote"/>
    <w:basedOn w:val="Normal"/>
    <w:next w:val="Normal"/>
    <w:link w:val="IntenseQuoteChar"/>
    <w:uiPriority w:val="30"/>
    <w:qFormat/>
    <w:rsid w:val="00B500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00A1"/>
    <w:rPr>
      <w:i/>
      <w:iCs/>
      <w:color w:val="2F5496" w:themeColor="accent1" w:themeShade="BF"/>
    </w:rPr>
  </w:style>
  <w:style w:type="character" w:styleId="IntenseReference">
    <w:name w:val="Intense Reference"/>
    <w:basedOn w:val="DefaultParagraphFont"/>
    <w:uiPriority w:val="32"/>
    <w:qFormat/>
    <w:rsid w:val="00B500A1"/>
    <w:rPr>
      <w:b/>
      <w:bCs/>
      <w:smallCaps/>
      <w:color w:val="2F5496" w:themeColor="accent1" w:themeShade="BF"/>
      <w:spacing w:val="5"/>
    </w:rPr>
  </w:style>
  <w:style w:type="paragraph" w:styleId="Header">
    <w:name w:val="header"/>
    <w:basedOn w:val="Normal"/>
    <w:link w:val="HeaderChar"/>
    <w:uiPriority w:val="99"/>
    <w:unhideWhenUsed/>
    <w:rsid w:val="00B500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0A1"/>
  </w:style>
  <w:style w:type="paragraph" w:styleId="Footer">
    <w:name w:val="footer"/>
    <w:basedOn w:val="Normal"/>
    <w:link w:val="FooterChar"/>
    <w:uiPriority w:val="99"/>
    <w:unhideWhenUsed/>
    <w:rsid w:val="00B500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0A1"/>
  </w:style>
  <w:style w:type="paragraph" w:styleId="TOCHeading">
    <w:name w:val="TOC Heading"/>
    <w:basedOn w:val="Heading1"/>
    <w:next w:val="Normal"/>
    <w:uiPriority w:val="39"/>
    <w:unhideWhenUsed/>
    <w:qFormat/>
    <w:rsid w:val="009F5E4E"/>
    <w:pPr>
      <w:outlineLvl w:val="9"/>
    </w:pPr>
    <w:rPr>
      <w:kern w:val="0"/>
      <w:lang w:val="en-US"/>
      <w14:ligatures w14:val="none"/>
    </w:rPr>
  </w:style>
  <w:style w:type="paragraph" w:styleId="TOC1">
    <w:name w:val="toc 1"/>
    <w:basedOn w:val="Normal"/>
    <w:next w:val="Normal"/>
    <w:autoRedefine/>
    <w:uiPriority w:val="39"/>
    <w:unhideWhenUsed/>
    <w:rsid w:val="009F5E4E"/>
    <w:pPr>
      <w:spacing w:after="100"/>
    </w:pPr>
  </w:style>
  <w:style w:type="character" w:styleId="Hyperlink">
    <w:name w:val="Hyperlink"/>
    <w:basedOn w:val="DefaultParagraphFont"/>
    <w:uiPriority w:val="99"/>
    <w:unhideWhenUsed/>
    <w:rsid w:val="009F5E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10402</Words>
  <Characters>59295</Characters>
  <Application>Microsoft Office Word</Application>
  <DocSecurity>0</DocSecurity>
  <Lines>494</Lines>
  <Paragraphs>139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Executive summary </vt:lpstr>
      <vt:lpstr>Introduction </vt:lpstr>
      <vt:lpstr>Literature Review</vt:lpstr>
      <vt:lpstr>Methods</vt:lpstr>
      <vt:lpstr>Case Study Hotel Overview and Findings</vt:lpstr>
      <vt:lpstr>Discussion</vt:lpstr>
      <vt:lpstr>Conclusion and Recommendations</vt:lpstr>
      <vt:lpstr>References </vt:lpstr>
    </vt:vector>
  </TitlesOfParts>
  <Company/>
  <LinksUpToDate>false</LinksUpToDate>
  <CharactersWithSpaces>69558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cp:revision>
  <dcterms:created xsi:type="dcterms:W3CDTF">2025-06-12T18:45:00Z</dcterms:created>
  <dcterms:modified xsi:type="dcterms:W3CDTF">2025-06-12T19:49:00Z</dcterms:modified>
</cp:coreProperties>
</file>