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33C1AF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C0CFE">
              <w:rPr>
                <w:b/>
                <w:color w:val="auto"/>
                <w:sz w:val="32"/>
              </w:rPr>
              <w:t>Monica Duarte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E344A79" w:rsidR="00575A8F" w:rsidRDefault="00EC0CFE" w:rsidP="00E6298B">
            <w:pPr>
              <w:overflowPunct/>
              <w:autoSpaceDE/>
              <w:autoSpaceDN/>
              <w:adjustRightInd/>
              <w:ind w:right="107"/>
              <w:textAlignment w:val="auto"/>
              <w:rPr>
                <w:b/>
                <w:color w:val="auto"/>
                <w:sz w:val="32"/>
              </w:rPr>
            </w:pPr>
            <w:r>
              <w:rPr>
                <w:b/>
                <w:color w:val="auto"/>
                <w:sz w:val="32"/>
              </w:rPr>
              <w:t>2320500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D7EC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D7EC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D7EC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D7EC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D7EC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D7EC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6D7EC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D7EC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D7EC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D7EC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D7EC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D7EC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4358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719F3E6" w14:textId="77777777" w:rsidR="00EC0CFE" w:rsidRPr="00310EFD" w:rsidRDefault="00EC0CFE" w:rsidP="00EC0CFE">
      <w:pPr>
        <w:jc w:val="both"/>
        <w:rPr>
          <w:color w:val="000000" w:themeColor="text1"/>
          <w:sz w:val="24"/>
          <w:szCs w:val="24"/>
        </w:rPr>
      </w:pPr>
      <w:r w:rsidRPr="00310EFD">
        <w:rPr>
          <w:color w:val="000000" w:themeColor="text1"/>
          <w:sz w:val="24"/>
          <w:szCs w:val="24"/>
        </w:rPr>
        <w:t>In this essay I will reflect on the coping strategies I have used during my initial 6-month training and how these strategies should prepare me to be resilient in the challenging role of a police officer. This stage of the training was mainly classroom based, and included assignments, two exams, and practical exercises where we applied the theory we learnt in the classroom.</w:t>
      </w:r>
    </w:p>
    <w:p w14:paraId="49AEA6A1" w14:textId="77777777" w:rsidR="00EC0CFE" w:rsidRPr="00310EFD" w:rsidRDefault="00EC0CFE" w:rsidP="00EC0CFE">
      <w:pPr>
        <w:jc w:val="both"/>
        <w:rPr>
          <w:color w:val="000000" w:themeColor="text1"/>
          <w:sz w:val="24"/>
          <w:szCs w:val="24"/>
        </w:rPr>
      </w:pPr>
    </w:p>
    <w:p w14:paraId="4C3B53CA" w14:textId="627CAE85" w:rsidR="00EC0CFE" w:rsidRPr="00310EFD" w:rsidRDefault="00EC0CFE" w:rsidP="00EC0CFE">
      <w:pPr>
        <w:jc w:val="both"/>
        <w:rPr>
          <w:color w:val="000000" w:themeColor="text1"/>
          <w:sz w:val="24"/>
          <w:szCs w:val="24"/>
        </w:rPr>
      </w:pPr>
      <w:r w:rsidRPr="00310EFD">
        <w:rPr>
          <w:color w:val="000000" w:themeColor="text1"/>
          <w:sz w:val="24"/>
          <w:szCs w:val="24"/>
        </w:rPr>
        <w:t xml:space="preserve">I will be using Borton’s Model of Reflection (Borton, 1970) which uses a framework with 3 questions - What, So what, and </w:t>
      </w:r>
      <w:r w:rsidR="002B6DB8">
        <w:rPr>
          <w:color w:val="000000" w:themeColor="text1"/>
          <w:sz w:val="24"/>
          <w:szCs w:val="24"/>
        </w:rPr>
        <w:t>Now What</w:t>
      </w:r>
      <w:r w:rsidRPr="00310EFD">
        <w:rPr>
          <w:color w:val="000000" w:themeColor="text1"/>
          <w:sz w:val="24"/>
          <w:szCs w:val="24"/>
        </w:rPr>
        <w:t xml:space="preserve">? The </w:t>
      </w:r>
      <w:r w:rsidR="002B6DB8">
        <w:rPr>
          <w:color w:val="000000" w:themeColor="text1"/>
          <w:sz w:val="24"/>
          <w:szCs w:val="24"/>
        </w:rPr>
        <w:t>“</w:t>
      </w:r>
      <w:r w:rsidRPr="00310EFD">
        <w:rPr>
          <w:color w:val="000000" w:themeColor="text1"/>
          <w:sz w:val="24"/>
          <w:szCs w:val="24"/>
        </w:rPr>
        <w:t>What</w:t>
      </w:r>
      <w:r w:rsidR="002B6DB8">
        <w:rPr>
          <w:color w:val="000000" w:themeColor="text1"/>
          <w:sz w:val="24"/>
          <w:szCs w:val="24"/>
        </w:rPr>
        <w:t>”</w:t>
      </w:r>
      <w:r w:rsidRPr="00310EFD">
        <w:rPr>
          <w:color w:val="000000" w:themeColor="text1"/>
          <w:sz w:val="24"/>
          <w:szCs w:val="24"/>
        </w:rPr>
        <w:t xml:space="preserve"> question prompts to describe what has happened, including an overview of the situation, issues encountered, the reflector’s role, and their actions. The “So what” question, the most rational one, analysis the outcome of the situation, how the reflector feels and felt and what were the positive and negative aspects of the experience. Finally, the “What now” question helps the reflector to consider the implications of this learning experience for future practice. Borton stresses that this is a fluid process where the reflector may move between questions as new information or insights are gathered (Janse, 2022).</w:t>
      </w:r>
    </w:p>
    <w:p w14:paraId="1B0A5C67" w14:textId="77777777" w:rsidR="00EC0CFE" w:rsidRPr="00310EFD" w:rsidRDefault="00EC0CFE" w:rsidP="00EC0CFE">
      <w:pPr>
        <w:jc w:val="both"/>
        <w:rPr>
          <w:color w:val="000000" w:themeColor="text1"/>
          <w:sz w:val="24"/>
          <w:szCs w:val="24"/>
        </w:rPr>
      </w:pPr>
    </w:p>
    <w:p w14:paraId="7787A418" w14:textId="7D60AFF2" w:rsidR="00EC0CFE" w:rsidRPr="00310EFD" w:rsidRDefault="00EC0CFE" w:rsidP="00EC0CFE">
      <w:pPr>
        <w:jc w:val="both"/>
        <w:rPr>
          <w:color w:val="000000" w:themeColor="text1"/>
          <w:sz w:val="24"/>
          <w:szCs w:val="24"/>
        </w:rPr>
      </w:pPr>
      <w:r w:rsidRPr="00310EFD">
        <w:rPr>
          <w:color w:val="000000" w:themeColor="text1"/>
          <w:sz w:val="24"/>
          <w:szCs w:val="24"/>
        </w:rPr>
        <w:t xml:space="preserve">According to the World Health Organization (2023), stress can be described as a state of worry or tension caused by situations considered challenging by the individual. Stress is a natural human response to a perceived threat, however the impact of stress on an individual is mediated by their coping strategies (WHO, 2023). The chosen coping strategies and how they are used reflect the individual’s resilience to challenging situations, or in other words their ability to cope with a stressful event (American Psychological Association, 2018). Studies have shown that emergency workers, in particular police officers, are exposed to more stressors than other occupations due to the frequency of stressful events, operational pressure, and most recently media coverage which has a significant impact in their mental health (Acquadro et al., 2015; Velazques </w:t>
      </w:r>
      <w:r w:rsidR="002B6DB8">
        <w:rPr>
          <w:color w:val="000000" w:themeColor="text1"/>
          <w:sz w:val="24"/>
          <w:szCs w:val="24"/>
        </w:rPr>
        <w:t>and</w:t>
      </w:r>
      <w:r w:rsidRPr="00310EFD">
        <w:rPr>
          <w:color w:val="000000" w:themeColor="text1"/>
          <w:sz w:val="24"/>
          <w:szCs w:val="24"/>
        </w:rPr>
        <w:t xml:space="preserve"> Hernandez, 2019). </w:t>
      </w:r>
    </w:p>
    <w:p w14:paraId="29AF3444" w14:textId="77777777" w:rsidR="00EC0CFE" w:rsidRPr="00310EFD" w:rsidRDefault="00EC0CFE" w:rsidP="00EC0CFE">
      <w:pPr>
        <w:jc w:val="both"/>
        <w:rPr>
          <w:color w:val="000000" w:themeColor="text1"/>
          <w:sz w:val="24"/>
          <w:szCs w:val="24"/>
        </w:rPr>
      </w:pPr>
    </w:p>
    <w:p w14:paraId="4174DECF" w14:textId="77777777" w:rsidR="00EC0CFE" w:rsidRPr="00310EFD" w:rsidRDefault="00EC0CFE" w:rsidP="00EC0CFE">
      <w:pPr>
        <w:shd w:val="clear" w:color="auto" w:fill="FFFFFF" w:themeFill="background1"/>
        <w:jc w:val="both"/>
        <w:rPr>
          <w:color w:val="000000" w:themeColor="text1"/>
          <w:sz w:val="24"/>
          <w:szCs w:val="24"/>
        </w:rPr>
      </w:pPr>
      <w:r w:rsidRPr="00310EFD">
        <w:rPr>
          <w:color w:val="000000" w:themeColor="text1"/>
          <w:sz w:val="24"/>
          <w:szCs w:val="24"/>
        </w:rPr>
        <w:t xml:space="preserve">Despite the initial training excluding direct interaction with the wider public, I still found it a challenging experience for several reasons. I was previously working from home which meant I was no longer used to work face-to-face and now I was in a classroom with 26 other individuals all from different backgrounds. There was also pressure to prepare for exams outside our working hours and I ended up finding it difficult to rest and enjoy social activities as I felt guilt for not using that time to revise. This in turn affected my sleep </w:t>
      </w:r>
      <w:r w:rsidRPr="00310EFD">
        <w:rPr>
          <w:color w:val="000000" w:themeColor="text1"/>
          <w:sz w:val="24"/>
          <w:szCs w:val="24"/>
        </w:rPr>
        <w:lastRenderedPageBreak/>
        <w:t xml:space="preserve">because I would go to sleep and wake up thinking about work, including my dreams would replay what I had studied that day. Three months into the course I accepted this was not sustainable and developed the first coping strategy. </w:t>
      </w:r>
    </w:p>
    <w:p w14:paraId="3B947754" w14:textId="77777777" w:rsidR="00EC0CFE" w:rsidRPr="00310EFD" w:rsidRDefault="00EC0CFE" w:rsidP="00EC0CFE">
      <w:pPr>
        <w:jc w:val="both"/>
        <w:rPr>
          <w:color w:val="000000" w:themeColor="text1"/>
          <w:sz w:val="24"/>
          <w:szCs w:val="24"/>
        </w:rPr>
      </w:pPr>
    </w:p>
    <w:p w14:paraId="49B299F9" w14:textId="28E96E2A" w:rsidR="00EC0CFE" w:rsidRPr="00310EFD" w:rsidRDefault="00EC0CFE" w:rsidP="00EC0CFE">
      <w:pPr>
        <w:jc w:val="both"/>
        <w:rPr>
          <w:color w:val="000000" w:themeColor="text1"/>
          <w:sz w:val="24"/>
          <w:szCs w:val="24"/>
        </w:rPr>
      </w:pPr>
      <w:r w:rsidRPr="00310EFD">
        <w:rPr>
          <w:color w:val="000000" w:themeColor="text1"/>
          <w:sz w:val="24"/>
          <w:szCs w:val="24"/>
        </w:rPr>
        <w:t xml:space="preserve">I started blocking time to rest and socialise, and asking my partner’s support to </w:t>
      </w:r>
      <w:r w:rsidR="00DA74FD">
        <w:rPr>
          <w:color w:val="000000" w:themeColor="text1"/>
          <w:sz w:val="24"/>
          <w:szCs w:val="24"/>
        </w:rPr>
        <w:t>fulfil this intention.</w:t>
      </w:r>
      <w:r w:rsidRPr="00310EFD">
        <w:rPr>
          <w:color w:val="000000" w:themeColor="text1"/>
          <w:sz w:val="24"/>
          <w:szCs w:val="24"/>
        </w:rPr>
        <w:t xml:space="preserve"> I decided that Friday evenings were to rest and one morning or afternoon during the weekend was to enjoy myself and be with friends. I only allowed myself to revise 1 hour on weekdays and I informed my partner of my plan so I could have their support by not allowing me to revise when I should not. This strategy allowed me to actually relax when I was not revising as I was not feeling guilty. I realised</w:t>
      </w:r>
      <w:r w:rsidR="00DA74FD">
        <w:rPr>
          <w:color w:val="000000" w:themeColor="text1"/>
          <w:sz w:val="24"/>
          <w:szCs w:val="24"/>
        </w:rPr>
        <w:t>,</w:t>
      </w:r>
      <w:r w:rsidRPr="00310EFD">
        <w:rPr>
          <w:color w:val="000000" w:themeColor="text1"/>
          <w:sz w:val="24"/>
          <w:szCs w:val="24"/>
        </w:rPr>
        <w:t xml:space="preserve"> however</w:t>
      </w:r>
      <w:r w:rsidR="00DA74FD">
        <w:rPr>
          <w:color w:val="000000" w:themeColor="text1"/>
          <w:sz w:val="24"/>
          <w:szCs w:val="24"/>
        </w:rPr>
        <w:t>,</w:t>
      </w:r>
      <w:r w:rsidRPr="00310EFD">
        <w:rPr>
          <w:color w:val="000000" w:themeColor="text1"/>
          <w:sz w:val="24"/>
          <w:szCs w:val="24"/>
        </w:rPr>
        <w:t xml:space="preserve"> that I have a tendency to revise outside the allocated hours and therefore my partner’s support was essential to remind me it was not revision time and that I should stick to my schedule. After a few weeks, I started feeling more energised because I was able to sleep better and enjoy other activities and my life was no longer just about work and revising. As I started feeling better physical and mentally, I was more productive when I revised and therefore became easier to stick to my schedule. Hardiness is a personality construct that reflects one’s resilience in stressful situations, and is composed by the three traits – Commitment, Control and Challenge (Stein </w:t>
      </w:r>
      <w:r w:rsidR="006D7EC7">
        <w:rPr>
          <w:color w:val="000000" w:themeColor="text1"/>
          <w:sz w:val="24"/>
          <w:szCs w:val="24"/>
        </w:rPr>
        <w:t>and</w:t>
      </w:r>
      <w:r w:rsidRPr="00310EFD">
        <w:rPr>
          <w:color w:val="000000" w:themeColor="text1"/>
          <w:sz w:val="24"/>
          <w:szCs w:val="24"/>
        </w:rPr>
        <w:t xml:space="preserve"> Bartone, 2020). Control refers to one’s ability to focus on the matters they can have a direct impact on instead of feeling at lost with what is being their control (Desai, 2020). Therefore, setting a schedule for revision outside working hours provided me with a new sense of control that allowed me to cope with the challenges of the work. </w:t>
      </w:r>
    </w:p>
    <w:p w14:paraId="63C9B1BB" w14:textId="77777777" w:rsidR="00EC0CFE" w:rsidRPr="00310EFD" w:rsidRDefault="00EC0CFE" w:rsidP="00EC0CFE">
      <w:pPr>
        <w:jc w:val="both"/>
        <w:rPr>
          <w:color w:val="000000" w:themeColor="text1"/>
          <w:sz w:val="24"/>
          <w:szCs w:val="24"/>
        </w:rPr>
      </w:pPr>
    </w:p>
    <w:p w14:paraId="4BB44FB0" w14:textId="77777777" w:rsidR="00EC0CFE" w:rsidRPr="00310EFD" w:rsidRDefault="00EC0CFE" w:rsidP="00EC0CFE">
      <w:pPr>
        <w:jc w:val="both"/>
        <w:rPr>
          <w:color w:val="000000" w:themeColor="text1"/>
          <w:sz w:val="24"/>
          <w:szCs w:val="24"/>
        </w:rPr>
      </w:pPr>
      <w:r w:rsidRPr="00310EFD">
        <w:rPr>
          <w:color w:val="000000" w:themeColor="text1"/>
          <w:sz w:val="24"/>
          <w:szCs w:val="24"/>
        </w:rPr>
        <w:t xml:space="preserve">Starting a new job is always challenging and I quickly realised that there were organisational changes often, e.g. days to work from home would change last minute, unexpected extra work that needed to be complete outside working hours, and a quick turnaround between theory and practice. This reminded me of the uncertainty of the pandemic times and I decided to try meditation as it helped me before. During the COVID-19 pandemic, I was meditating 30 minutes prior to go to work. I found that spending that time in silence in the morning made me feel calmer during the day, particularly when changes and challenges would rise on the job as a consequence of the pandemic restrictions. During training, I only practiced 15 minutes every morning to make it achievable but I soon noticed some results. I felt less anxious and when there were changes at work these did not affect me and I could easily accept these changes. Studies have shown that meditation helps people to focus on the present instead of worrying about the future which in turn reduces the body’s stress response and the person is less likely to react to negative thoughts and emotions (American Psychological Association, 2019; Acquadro, et al., 2018). </w:t>
      </w:r>
    </w:p>
    <w:p w14:paraId="5F61FD56" w14:textId="77777777" w:rsidR="00EC0CFE" w:rsidRPr="00310EFD" w:rsidRDefault="00EC0CFE" w:rsidP="00EC0CFE">
      <w:pPr>
        <w:jc w:val="both"/>
        <w:rPr>
          <w:color w:val="000000" w:themeColor="text1"/>
          <w:sz w:val="24"/>
          <w:szCs w:val="24"/>
        </w:rPr>
      </w:pPr>
    </w:p>
    <w:p w14:paraId="4D40A362" w14:textId="77777777" w:rsidR="00EC0CFE" w:rsidRPr="00310EFD" w:rsidRDefault="00EC0CFE" w:rsidP="00EC0CFE">
      <w:pPr>
        <w:jc w:val="both"/>
        <w:rPr>
          <w:color w:val="000000" w:themeColor="text1"/>
          <w:sz w:val="24"/>
          <w:szCs w:val="24"/>
        </w:rPr>
      </w:pPr>
      <w:r w:rsidRPr="00310EFD">
        <w:rPr>
          <w:color w:val="000000" w:themeColor="text1"/>
          <w:sz w:val="24"/>
          <w:szCs w:val="24"/>
        </w:rPr>
        <w:t>Now, at the end of the 6 months of initial training and about to start my hub attachment, I learned that I need to focus on what I can control and to be mindful of my boundaries between my professional and personal life. I will continue to ensure these boundaries are in place by allocating no more than 2 of my set of days off to revision. Furthermore, I will continue to meditate 15 minutes in the morning because it helps me to stay grounded and prevent heightened responses to stressful events. I believe in the role there will be more changes and situations that can trigger intense emotions and meditation helps me to manage these emotions without impacting my decision-making or making me feel anxious.</w:t>
      </w:r>
    </w:p>
    <w:p w14:paraId="3B855813" w14:textId="77777777" w:rsidR="00FF7784" w:rsidRPr="00310EFD" w:rsidRDefault="00FF7784" w:rsidP="00E6298B">
      <w:pPr>
        <w:ind w:right="107"/>
        <w:jc w:val="both"/>
        <w:rPr>
          <w:color w:val="000000" w:themeColor="text1"/>
          <w:sz w:val="24"/>
          <w:szCs w:val="24"/>
        </w:rPr>
      </w:pPr>
    </w:p>
    <w:p w14:paraId="0590AAF8" w14:textId="2EDF43BC" w:rsidR="00FF7784" w:rsidRPr="00310EFD" w:rsidRDefault="00EC0CFE" w:rsidP="00E6298B">
      <w:pPr>
        <w:ind w:right="107"/>
        <w:jc w:val="both"/>
        <w:rPr>
          <w:color w:val="000000" w:themeColor="text1"/>
          <w:sz w:val="24"/>
          <w:szCs w:val="24"/>
        </w:rPr>
      </w:pPr>
      <w:r w:rsidRPr="00310EFD">
        <w:rPr>
          <w:color w:val="000000" w:themeColor="text1"/>
          <w:sz w:val="24"/>
          <w:szCs w:val="24"/>
        </w:rPr>
        <w:t xml:space="preserve">Word count: 1052 </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E6B7674" w14:textId="77777777" w:rsidR="00C23313" w:rsidRPr="00310EFD" w:rsidRDefault="00C23313" w:rsidP="00C23313">
      <w:pPr>
        <w:jc w:val="both"/>
        <w:rPr>
          <w:color w:val="000000" w:themeColor="text1"/>
          <w:sz w:val="24"/>
          <w:szCs w:val="24"/>
        </w:rPr>
      </w:pPr>
      <w:r w:rsidRPr="00310EFD">
        <w:rPr>
          <w:color w:val="000000" w:themeColor="text1"/>
          <w:sz w:val="24"/>
          <w:szCs w:val="24"/>
        </w:rPr>
        <w:t>In this essay, I will be critically assessing an incident when I had to apply my communication skills and I will use Gibbs’ Reflective Cycle (Gibbs, 1988) to guide this reflection. I will start by explaining the Gibbs’ Reflective Cycle and go through the reflection using a conflict I had with a victim of a crime.</w:t>
      </w:r>
    </w:p>
    <w:p w14:paraId="5BAC2704" w14:textId="77777777" w:rsidR="00C23313" w:rsidRPr="00310EFD" w:rsidRDefault="00C23313" w:rsidP="00C23313">
      <w:pPr>
        <w:jc w:val="both"/>
        <w:rPr>
          <w:color w:val="000000" w:themeColor="text1"/>
          <w:sz w:val="24"/>
          <w:szCs w:val="24"/>
        </w:rPr>
      </w:pPr>
    </w:p>
    <w:p w14:paraId="7661AD5A" w14:textId="77777777" w:rsidR="00C23313" w:rsidRPr="00310EFD" w:rsidRDefault="00C23313" w:rsidP="00C23313">
      <w:pPr>
        <w:jc w:val="both"/>
        <w:rPr>
          <w:color w:val="000000" w:themeColor="text1"/>
          <w:sz w:val="24"/>
          <w:szCs w:val="24"/>
        </w:rPr>
      </w:pPr>
      <w:r w:rsidRPr="00310EFD">
        <w:rPr>
          <w:color w:val="000000" w:themeColor="text1"/>
          <w:sz w:val="24"/>
          <w:szCs w:val="24"/>
        </w:rPr>
        <w:t>Reflective models in general provide practitioners with a structure to reflect on their experiences and how they can improve moving forward (Ingham-Broomfield, 2021). The Gibbs’ Reflective Cycle in particular structures the reflective process into six steps: 1) Description of what happened, 2) Feelings about the experience, 3) Evaluation of the situation, 4) Analysis of the experience by questioning what led to the situation and comparing to similar situations, 5) Conclusion on learning points, and 6) Action plan for how to act in future situations (Gibbs, 1988).</w:t>
      </w:r>
    </w:p>
    <w:p w14:paraId="1C443AED" w14:textId="77777777" w:rsidR="00C23313" w:rsidRDefault="00C23313" w:rsidP="00C23313">
      <w:pPr>
        <w:jc w:val="both"/>
        <w:rPr>
          <w:color w:val="000000" w:themeColor="text1"/>
          <w:sz w:val="24"/>
          <w:szCs w:val="24"/>
        </w:rPr>
      </w:pPr>
    </w:p>
    <w:p w14:paraId="262639FD" w14:textId="61B185CE" w:rsidR="00C23313" w:rsidRPr="00310EFD" w:rsidRDefault="00C23313" w:rsidP="00C23313">
      <w:pPr>
        <w:jc w:val="both"/>
        <w:rPr>
          <w:color w:val="000000" w:themeColor="text1"/>
          <w:sz w:val="24"/>
          <w:szCs w:val="24"/>
        </w:rPr>
      </w:pPr>
      <w:r w:rsidRPr="00310EFD">
        <w:rPr>
          <w:color w:val="000000" w:themeColor="text1"/>
          <w:sz w:val="24"/>
          <w:szCs w:val="24"/>
        </w:rPr>
        <w:t xml:space="preserve">For the first cases I came across as a student officer in the Hub department, I assisted my mentor (the Officer In Case - OIC) as an Investigating Officer. This meant my mentor was in charge of the investigation, but I assisted with the preparation of the interview, case file and completion of outstanding actions. This was a case of domestic related harassment where the victim reported his ex-partner and mother of his children was constantly sending him messages either trying to reconciliate the relationship or being abusive towards him. There had been previous reports from the victim stating the suspect was under the influence of alcohol and trying to meet with him, and sending him messages of a romantic nature when he asked her multiple times to stop. However, in none of these occasions the suspect had been charged. My mentor interviewed the suspect and it was decided that the suspect’s mobile phone and laptop were going to be seized and she would be bailed with conditions to not contact her ex-husband. Following the Victim’s Code of Practice for Victims of Crime in England and Wales (2020), the victim was to be contacted to be updated with the </w:t>
      </w:r>
      <w:r w:rsidRPr="00310EFD">
        <w:rPr>
          <w:color w:val="000000" w:themeColor="text1"/>
          <w:sz w:val="24"/>
          <w:szCs w:val="24"/>
        </w:rPr>
        <w:lastRenderedPageBreak/>
        <w:t xml:space="preserve">outcome of the investigation, bail conditions imposed and what would happen going forward. I then called the victim, introduced myself, provided him with an overview of what the suspect said during interview and the decision made to bail her with conditions. However, the victim was very unhappy with the outcome, started shouting saying that the police never did anything and that he did not want to support prosecution any further. I explained to the </w:t>
      </w:r>
      <w:r w:rsidR="00520E19">
        <w:rPr>
          <w:color w:val="000000" w:themeColor="text1"/>
          <w:sz w:val="24"/>
          <w:szCs w:val="24"/>
        </w:rPr>
        <w:t>victim</w:t>
      </w:r>
      <w:r w:rsidRPr="00310EFD">
        <w:rPr>
          <w:color w:val="000000" w:themeColor="text1"/>
          <w:sz w:val="24"/>
          <w:szCs w:val="24"/>
        </w:rPr>
        <w:t xml:space="preserve"> that I understood his frustration and that I knew it was not the first report but that we were taking the matter seriously and that is why she had conditions in place and her devices were seized. I also said that we wanted to be in contact with him so we could keep him up-to-date and he could contact the OIC directly if he had any questions. The victim was still frustrated and said he did not care anymore and there was no point. I then said I would strongly advise him to go ahead with the prosecution but it was his right to stop supporting the investigation and in that case officers would need to see him so he could provide a withdrawal statement. He once again said he did not care and he would “sign whatever would be needed and end this”. Being new to the role and with a lot to learn regarding investigation and criminal proceedings, I was not sure what I could say to reassure the victim. I did not feel agitated during the call and I was able to remain calm. However, after the call I started feeling frustrated with </w:t>
      </w:r>
      <w:r w:rsidR="00520E19">
        <w:rPr>
          <w:color w:val="000000" w:themeColor="text1"/>
          <w:sz w:val="24"/>
          <w:szCs w:val="24"/>
        </w:rPr>
        <w:t xml:space="preserve">the reasons behind the victim’s decision </w:t>
      </w:r>
      <w:r w:rsidRPr="00310EFD">
        <w:rPr>
          <w:color w:val="000000" w:themeColor="text1"/>
          <w:sz w:val="24"/>
          <w:szCs w:val="24"/>
        </w:rPr>
        <w:t>and worried that the victim may require help in the future and will not contact the Police.</w:t>
      </w:r>
    </w:p>
    <w:p w14:paraId="238B7874" w14:textId="77777777" w:rsidR="00C23313" w:rsidRDefault="00C23313" w:rsidP="00C23313">
      <w:pPr>
        <w:jc w:val="both"/>
        <w:rPr>
          <w:color w:val="000000" w:themeColor="text1"/>
          <w:sz w:val="24"/>
          <w:szCs w:val="24"/>
        </w:rPr>
      </w:pPr>
    </w:p>
    <w:p w14:paraId="3898AFF1" w14:textId="39DEECB9" w:rsidR="00C23313" w:rsidRDefault="00C23313" w:rsidP="00C23313">
      <w:pPr>
        <w:jc w:val="both"/>
        <w:rPr>
          <w:color w:val="000000" w:themeColor="text1"/>
          <w:sz w:val="24"/>
          <w:szCs w:val="24"/>
        </w:rPr>
      </w:pPr>
      <w:r w:rsidRPr="00310EFD">
        <w:rPr>
          <w:noProof/>
          <w:color w:val="000000" w:themeColor="text1"/>
          <w:sz w:val="24"/>
          <w:szCs w:val="24"/>
        </w:rPr>
        <w:drawing>
          <wp:anchor distT="0" distB="0" distL="114300" distR="114300" simplePos="0" relativeHeight="251662336" behindDoc="0" locked="0" layoutInCell="1" allowOverlap="1" wp14:anchorId="7C3A048B" wp14:editId="19E38A92">
            <wp:simplePos x="0" y="0"/>
            <wp:positionH relativeFrom="margin">
              <wp:align>right</wp:align>
            </wp:positionH>
            <wp:positionV relativeFrom="paragraph">
              <wp:posOffset>1702439</wp:posOffset>
            </wp:positionV>
            <wp:extent cx="2753999" cy="2051054"/>
            <wp:effectExtent l="0" t="0" r="8251" b="6346"/>
            <wp:wrapTight wrapText="bothSides">
              <wp:wrapPolygon edited="0">
                <wp:start x="0" y="0"/>
                <wp:lineTo x="0" y="21466"/>
                <wp:lineTo x="21515" y="21466"/>
                <wp:lineTo x="21515" y="0"/>
                <wp:lineTo x="0" y="0"/>
              </wp:wrapPolygon>
            </wp:wrapTight>
            <wp:docPr id="1284064907" name="Picture 1" descr="Betari's Box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2753999" cy="2051054"/>
                    </a:xfrm>
                    <a:prstGeom prst="rect">
                      <a:avLst/>
                    </a:prstGeom>
                    <a:noFill/>
                    <a:ln>
                      <a:noFill/>
                      <a:prstDash/>
                    </a:ln>
                  </pic:spPr>
                </pic:pic>
              </a:graphicData>
            </a:graphic>
          </wp:anchor>
        </w:drawing>
      </w:r>
      <w:r w:rsidRPr="00310EFD">
        <w:rPr>
          <w:color w:val="000000" w:themeColor="text1"/>
          <w:sz w:val="24"/>
          <w:szCs w:val="24"/>
        </w:rPr>
        <w:t>I believe there were positive and negative aspects to this experience. I was pleased that I was able to remain calm during the interaction and that I did not feel stressed. I think this was because I knew I was safe as it was a phone call but also because I did not feel it was a response to something I had personally done. By remaining calm I understood why the suspect may feel frustrated (which I will explore later in this essay) and that allowed me to be more empathic towards him. The Betari’s Box is a conflict management model that can help to understand the dynamic between myself and the suspect during this conflict. The Betari’s Box Model defends that one’s attitude will impact their behaviour which in turn will impact the other’s attitude and consequently their behaviour (</w:t>
      </w:r>
      <w:bookmarkStart w:id="0" w:name="_Hlk169010149"/>
      <w:r w:rsidRPr="00310EFD">
        <w:rPr>
          <w:color w:val="000000" w:themeColor="text1"/>
          <w:sz w:val="24"/>
          <w:szCs w:val="24"/>
        </w:rPr>
        <w:t>Revolution Learning and Development, 2021</w:t>
      </w:r>
      <w:bookmarkEnd w:id="0"/>
      <w:r w:rsidRPr="00310EFD">
        <w:rPr>
          <w:color w:val="000000" w:themeColor="text1"/>
          <w:sz w:val="24"/>
          <w:szCs w:val="24"/>
        </w:rPr>
        <w:t xml:space="preserve">). Attitude can be defined as the state of mind that will impact one’s decision-making on how to act or behave. If throughout an encounter someone becomes more upset by someone’s actions, this can also escalate their behaviour which will then impact the way the other person will perceive the situation and consequently act. This can then become a vicious cycle (as shown in Figure 1). The cycle can be broken </w:t>
      </w:r>
      <w:r w:rsidR="003B2AB2">
        <w:rPr>
          <w:color w:val="000000" w:themeColor="text1"/>
          <w:sz w:val="24"/>
          <w:szCs w:val="24"/>
        </w:rPr>
        <w:t xml:space="preserve">when one recognises their own </w:t>
      </w:r>
      <w:r w:rsidRPr="00310EFD">
        <w:rPr>
          <w:color w:val="000000" w:themeColor="text1"/>
          <w:sz w:val="24"/>
          <w:szCs w:val="24"/>
        </w:rPr>
        <w:t xml:space="preserve">attitudes and then reconsider their behaviour (Making Business Matter, 2023).  </w:t>
      </w:r>
    </w:p>
    <w:p w14:paraId="665780D0" w14:textId="46042D39" w:rsidR="003B2AB2" w:rsidRPr="009E1806" w:rsidRDefault="00043587" w:rsidP="009E1806">
      <w:pPr>
        <w:jc w:val="both"/>
        <w:rPr>
          <w:color w:val="000000" w:themeColor="text1"/>
          <w:sz w:val="24"/>
          <w:szCs w:val="24"/>
        </w:rPr>
      </w:pPr>
      <w:r>
        <w:rPr>
          <w:noProof/>
        </w:rPr>
        <w:pict w14:anchorId="59ED2749">
          <v:shapetype id="_x0000_t202" coordsize="21600,21600" o:spt="202" path="m,l,21600r21600,l21600,xe">
            <v:stroke joinstyle="miter"/>
            <v:path gradientshapeok="t" o:connecttype="rect"/>
          </v:shapetype>
          <v:shape id="Text Box 1" o:spid="_x0000_s2051" type="#_x0000_t202" style="position:absolute;left:0;text-align:left;margin-left:496.95pt;margin-top:1.25pt;width:216.85pt;height:13pt;z-index:25166336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wrapcoords="-75 0 -75 20329 21600 20329 21600 0 -75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WH4ygEAAIUDAAAOAAAAZHJzL2Uyb0RvYy54bWysU9uO0zAQfUfiHyy/06RFXdio6Qq2KkJa&#10;AVLZD3Acu7HkeMzYbVK+nrHTC7BviDw4Y8/F55wZrx7G3rKjwmDA1Xw+KzlTTkJr3L7mz9+3b95z&#10;FqJwrbDgVM1PKvCH9etXq8FXagEd2FYhoyIuVIOveRejr4oiyE71IszAK0dODdiLSFvcFy2Kgar3&#10;tliU5V0xALYeQaoQ6HQzOfk619dayfhV66AiszUnbDGvmNcmrcV6Jao9Ct8ZeYYh/gFFL4yjS6+l&#10;NiIKdkDzolRvJEIAHWcS+gK0NlJlDsRmXv7FZtcJrzIXEif4q0zh/5WVX447/w1ZHD/CSA1Mggw+&#10;VIEOE59RY5/+hJSRnyQ8XWVTY2SSDhfvlm/v75ecSfLN75bzMuta3LI9hvhJQc+SUXOktmS1xPEp&#10;RLqRQi8h6bIA1rRbY23e4L55tMiOglq4zV8CSSl/hFmXgh2ktNzUVHAjQjfFJndxI5asODYjOZPZ&#10;QHsiEWiOCV0H+JOzgWai5uHHQaDizH52JHoaoIuBF6O5GMJJSq155GwyH+M0aNRpL+KT23mZFJ5w&#10;fjhE0CaTvyE4Y6ReZ4LnuUzD9Ps+R91ez/oXAAAA//8DAFBLAwQUAAYACAAAACEAkrFXzNwAAAAF&#10;AQAADwAAAGRycy9kb3ducmV2LnhtbEyPzU7DMBCE70i8g7VIXBB1SOmP0jgVtHArh5aq5228JBHx&#10;OrKdJn17zAmOoxnNfJOvR9OKCznfWFbwNElAEJdWN1wpOH6+Py5B+ICssbVMCq7kYV3c3uSYaTvw&#10;ni6HUIlYwj5DBXUIXSalL2sy6Ce2I47el3UGQ5SuktrhEMtNK9MkmUuDDceFGjva1FR+H3qjYL51&#10;/bDnzcP2+LbDj65KT6/Xk1L3d+PLCkSgMfyF4Rc/okMRmc62Z+1FqyAeCQrSGYhoPk+nCxDnqJcz&#10;kEUu/9MXPwAAAP//AwBQSwECLQAUAAYACAAAACEAtoM4kv4AAADhAQAAEwAAAAAAAAAAAAAAAAAA&#10;AAAAW0NvbnRlbnRfVHlwZXNdLnhtbFBLAQItABQABgAIAAAAIQA4/SH/1gAAAJQBAAALAAAAAAAA&#10;AAAAAAAAAC8BAABfcmVscy8ucmVsc1BLAQItABQABgAIAAAAIQCn4WH4ygEAAIUDAAAOAAAAAAAA&#10;AAAAAAAAAC4CAABkcnMvZTJvRG9jLnhtbFBLAQItABQABgAIAAAAIQCSsVfM3AAAAAUBAAAPAAAA&#10;AAAAAAAAAAAAACQEAABkcnMvZG93bnJldi54bWxQSwUGAAAAAAQABADzAAAALQUAAAAA&#10;" stroked="f">
            <v:textbox inset="0,0,0,0">
              <w:txbxContent>
                <w:p w14:paraId="4BA1A3E7" w14:textId="77777777" w:rsidR="00C23313" w:rsidRDefault="00C23313" w:rsidP="00C23313">
                  <w:pPr>
                    <w:pStyle w:val="Caption"/>
                  </w:pPr>
                  <w:r>
                    <w:t>Figure 1. Betari's Box</w:t>
                  </w:r>
                </w:p>
              </w:txbxContent>
            </v:textbox>
            <w10:wrap type="tight" anchorx="margin"/>
          </v:shape>
        </w:pict>
      </w:r>
    </w:p>
    <w:p w14:paraId="54A2740F" w14:textId="2A30375A" w:rsidR="00C23313" w:rsidRDefault="009E1806" w:rsidP="00C23313">
      <w:pPr>
        <w:jc w:val="both"/>
        <w:rPr>
          <w:color w:val="000000" w:themeColor="text1"/>
          <w:sz w:val="24"/>
          <w:szCs w:val="24"/>
        </w:rPr>
      </w:pPr>
      <w:r>
        <w:rPr>
          <w:color w:val="000000" w:themeColor="text1"/>
          <w:sz w:val="24"/>
          <w:szCs w:val="24"/>
        </w:rPr>
        <w:t>When analysing</w:t>
      </w:r>
      <w:r w:rsidR="00C23313" w:rsidRPr="00310EFD">
        <w:rPr>
          <w:color w:val="000000" w:themeColor="text1"/>
          <w:sz w:val="24"/>
          <w:szCs w:val="24"/>
        </w:rPr>
        <w:t xml:space="preserve"> the conflict I had with this victim, I first identified his behaviour – he was speaking loud, at a fast pace and saying he no longer supported prosecution because he did not trust the police anymore. I initially felt surprised because I was not expecting this behaviour but then I realised I needed to do my best to reassure the victim. I then started explaining why the suspect was released with bail conditions but the suspect cut me off and continued shouting and saying he did not care anymore. I do not know how he was feeling but I can assume he was still frustrated. I also felt slightly frustrated when he interrupted me, however I decided to let him talk and vent as even though he was angry and speaking </w:t>
      </w:r>
      <w:r w:rsidR="00C23313" w:rsidRPr="00310EFD">
        <w:rPr>
          <w:color w:val="000000" w:themeColor="text1"/>
          <w:sz w:val="24"/>
          <w:szCs w:val="24"/>
        </w:rPr>
        <w:lastRenderedPageBreak/>
        <w:t xml:space="preserve">loud he was not being verbally abusive. As I let him speak he appeared to calm down and stopped shouting. He eventually apologised for shouting and that this was not directed at me but he was tired of providing multiple statements and “nothing ever happen”. As I saw he was calmer, I then felt more comfortable to speak again and I told him I understood what he was saying and it was his right to withdraw his support. I then told him that I would contact him again the next day to arrange for a withdrawal statement to be taken from him but it was okay if until then he would decide to support prosecution again. </w:t>
      </w:r>
    </w:p>
    <w:p w14:paraId="77E60842" w14:textId="77777777" w:rsidR="003B2AB2" w:rsidRPr="00310EFD" w:rsidRDefault="003B2AB2" w:rsidP="00C23313">
      <w:pPr>
        <w:jc w:val="both"/>
        <w:rPr>
          <w:color w:val="000000" w:themeColor="text1"/>
          <w:sz w:val="24"/>
          <w:szCs w:val="24"/>
        </w:rPr>
      </w:pPr>
    </w:p>
    <w:p w14:paraId="774B5689" w14:textId="77777777" w:rsidR="00C23313" w:rsidRDefault="00C23313" w:rsidP="00C23313">
      <w:pPr>
        <w:jc w:val="both"/>
        <w:rPr>
          <w:color w:val="000000" w:themeColor="text1"/>
          <w:sz w:val="24"/>
          <w:szCs w:val="24"/>
        </w:rPr>
      </w:pPr>
      <w:r w:rsidRPr="00310EFD">
        <w:rPr>
          <w:color w:val="000000" w:themeColor="text1"/>
          <w:sz w:val="24"/>
          <w:szCs w:val="24"/>
        </w:rPr>
        <w:t xml:space="preserve">I believe that even though the situation did not have the outcome I wanted, I am able to see that the situation could have escalated had I not given the victim the time and space to express himself. I think it was also positive that I was able to be aware of my state of mind so I did not let it negatively influence my behaviour. </w:t>
      </w:r>
    </w:p>
    <w:p w14:paraId="271EADB8" w14:textId="77777777" w:rsidR="003B2AB2" w:rsidRPr="00310EFD" w:rsidRDefault="003B2AB2" w:rsidP="00C23313">
      <w:pPr>
        <w:jc w:val="both"/>
        <w:rPr>
          <w:color w:val="000000" w:themeColor="text1"/>
          <w:sz w:val="24"/>
          <w:szCs w:val="24"/>
        </w:rPr>
      </w:pPr>
    </w:p>
    <w:p w14:paraId="2043C5F9" w14:textId="37ED64F8" w:rsidR="00C23313" w:rsidRPr="00310EFD" w:rsidRDefault="00C23313" w:rsidP="00C23313">
      <w:pPr>
        <w:jc w:val="both"/>
        <w:rPr>
          <w:color w:val="000000" w:themeColor="text1"/>
          <w:sz w:val="24"/>
          <w:szCs w:val="24"/>
        </w:rPr>
      </w:pPr>
      <w:r w:rsidRPr="00310EFD">
        <w:rPr>
          <w:color w:val="000000" w:themeColor="text1"/>
          <w:sz w:val="24"/>
          <w:szCs w:val="24"/>
        </w:rPr>
        <w:t xml:space="preserve">During the interaction with the victim, I believe I was able to use effective communication skills by active listening to what the victim had to say and showing I understood him but paraphrasing what he was saying and bridge to my response. I was also genuine during our interaction and showed empathy by saying I understood his frustration. I think that the use of my communication skills led to the suspect not to escalate his behaviour and be respectful to me even though he was speaking loud. Even though the use of communication skills are the foundation to build rapport, the rapport building with the victim should have started from the moment the case was passed on to the Hub instead of only contacting the victim to update about the investigation outcome. Rapport building is also linked with trust; Fatima </w:t>
      </w:r>
      <w:r w:rsidR="006D7EC7">
        <w:rPr>
          <w:color w:val="000000" w:themeColor="text1"/>
          <w:sz w:val="24"/>
          <w:szCs w:val="24"/>
        </w:rPr>
        <w:t>and</w:t>
      </w:r>
      <w:r w:rsidRPr="00310EFD">
        <w:rPr>
          <w:color w:val="000000" w:themeColor="text1"/>
          <w:sz w:val="24"/>
          <w:szCs w:val="24"/>
        </w:rPr>
        <w:t xml:space="preserve"> Razzaque (2014) concluded that trust based on competence and goodwill positively influence rapport and this increased rapport is correlated with higher service satisfaction. Similarly, Macintosh (2009) showed that expertise and dependability were directly related to trust, however familiarity was indirectly associated with trust through the mediation of rapport. This shows that even though familiarity with a service is not directly linked with trust, trust through familiarity can be improved if rapport levels are increased. The victim had reported the suspect two other times to the police but in both instances the suspect was not charged and this may have left the victim questioning police competence and negatively impacting his trust on the police. I am not aware of how the communication between the police and the victim was in those instances but in the incident I dealt with, I know the first time the victim was contacted by the Officer In Case was when the suspect was going to be released and not when the Officer In Case became in charge of the investigation. </w:t>
      </w:r>
    </w:p>
    <w:p w14:paraId="630EB334" w14:textId="77777777" w:rsidR="00C23313" w:rsidRPr="00310EFD" w:rsidRDefault="00C23313" w:rsidP="00C23313">
      <w:pPr>
        <w:jc w:val="both"/>
        <w:rPr>
          <w:color w:val="000000" w:themeColor="text1"/>
          <w:sz w:val="24"/>
          <w:szCs w:val="24"/>
        </w:rPr>
      </w:pPr>
    </w:p>
    <w:p w14:paraId="45FDB240" w14:textId="77777777" w:rsidR="00C23313" w:rsidRPr="00310EFD" w:rsidRDefault="00C23313" w:rsidP="00C23313">
      <w:pPr>
        <w:jc w:val="both"/>
        <w:rPr>
          <w:color w:val="000000" w:themeColor="text1"/>
          <w:sz w:val="24"/>
          <w:szCs w:val="24"/>
        </w:rPr>
      </w:pPr>
      <w:r w:rsidRPr="00310EFD">
        <w:rPr>
          <w:color w:val="000000" w:themeColor="text1"/>
          <w:sz w:val="24"/>
          <w:szCs w:val="24"/>
        </w:rPr>
        <w:t>I did not encounter any cultural, ethnic or language issues, however the victim in this case is a male and I am unsure what his previous experiences are in relation to reporting domestic related incidents. However, research and policies related to victims of Domestic Violence are often focused on women. Men represent a small portion of the study samples which means policies and training based on these studies are not entirely applicable to the experience of a male victim of domestic violence (Cook, 2009). Moreover, societal expectations and stereotypes on the role of a male in a Western society impacts on the ability of the male victim to seek support but also on the ability of services to support male victims. Men have reported not being believed when asking for help (Bates, 2019) leading to a decrease of reports made to the police and supporting services (Machado et al., 2016). Studies on domestic violence support services have showed that the service provided to male victims is mixed at best (Bates, 2019).</w:t>
      </w:r>
    </w:p>
    <w:p w14:paraId="30AC0B5B" w14:textId="77777777" w:rsidR="00C23313" w:rsidRPr="00310EFD" w:rsidRDefault="00C23313" w:rsidP="00C23313">
      <w:pPr>
        <w:jc w:val="both"/>
        <w:rPr>
          <w:color w:val="000000" w:themeColor="text1"/>
          <w:sz w:val="24"/>
          <w:szCs w:val="24"/>
        </w:rPr>
      </w:pPr>
    </w:p>
    <w:p w14:paraId="533C6E2F" w14:textId="6D291B3E" w:rsidR="00C23313" w:rsidRPr="00310EFD" w:rsidRDefault="00C23313" w:rsidP="00C23313">
      <w:pPr>
        <w:jc w:val="both"/>
        <w:rPr>
          <w:color w:val="000000" w:themeColor="text1"/>
          <w:sz w:val="24"/>
          <w:szCs w:val="24"/>
        </w:rPr>
      </w:pPr>
      <w:r w:rsidRPr="00310EFD">
        <w:rPr>
          <w:color w:val="000000" w:themeColor="text1"/>
          <w:sz w:val="24"/>
          <w:szCs w:val="24"/>
        </w:rPr>
        <w:lastRenderedPageBreak/>
        <w:t xml:space="preserve">Adding to that, police </w:t>
      </w:r>
      <w:r w:rsidR="003B2AB2">
        <w:rPr>
          <w:color w:val="000000" w:themeColor="text1"/>
          <w:sz w:val="24"/>
          <w:szCs w:val="24"/>
        </w:rPr>
        <w:t>are</w:t>
      </w:r>
      <w:r w:rsidRPr="00310EFD">
        <w:rPr>
          <w:color w:val="000000" w:themeColor="text1"/>
          <w:sz w:val="24"/>
          <w:szCs w:val="24"/>
        </w:rPr>
        <w:t xml:space="preserve"> currently under a lot of public scrutiny. According to the 2020 </w:t>
      </w:r>
      <w:bookmarkStart w:id="1" w:name="_Hlk169010551"/>
      <w:r w:rsidRPr="00310EFD">
        <w:rPr>
          <w:color w:val="000000" w:themeColor="text1"/>
          <w:sz w:val="24"/>
          <w:szCs w:val="24"/>
        </w:rPr>
        <w:t>Crime Survey for England and Wales</w:t>
      </w:r>
      <w:bookmarkEnd w:id="1"/>
      <w:r w:rsidRPr="00310EFD">
        <w:rPr>
          <w:color w:val="000000" w:themeColor="text1"/>
          <w:sz w:val="24"/>
          <w:szCs w:val="24"/>
        </w:rPr>
        <w:t xml:space="preserve"> (Office for National Statistics, 2020), public confidence in the police decreased from 62% in 2017 to 55% in 2020, and the Trust in Government Survey (2024) showed that in 2023 29% of the population had low levels of trust in the police. One natural consequence of a decrease of trust in the police is that people will be less likely to contact the police if they need help and to assist the police when conducting investigations. According to the HMICFRS (2020), in 2019 a suspect was charged in only 7.8% of crimes reported, a decrease from 7.1% in 2018. In the same HMICFRS report, it was noted that 22.6% of the cases in 2019 were closed as the victim did not support prosecution which is an increase from 20% in 2018.</w:t>
      </w:r>
    </w:p>
    <w:p w14:paraId="505BEFE4" w14:textId="77777777" w:rsidR="00C23313" w:rsidRDefault="00C23313" w:rsidP="00C23313">
      <w:pPr>
        <w:jc w:val="both"/>
        <w:rPr>
          <w:color w:val="000000" w:themeColor="text1"/>
          <w:sz w:val="24"/>
          <w:szCs w:val="24"/>
        </w:rPr>
      </w:pPr>
    </w:p>
    <w:p w14:paraId="720EF077" w14:textId="14CEAB2A" w:rsidR="00C23313" w:rsidRPr="00310EFD" w:rsidRDefault="006D7EC7" w:rsidP="00C23313">
      <w:pPr>
        <w:jc w:val="both"/>
        <w:rPr>
          <w:color w:val="000000" w:themeColor="text1"/>
          <w:sz w:val="24"/>
          <w:szCs w:val="24"/>
        </w:rPr>
      </w:pPr>
      <w:r>
        <w:rPr>
          <w:color w:val="000000" w:themeColor="text1"/>
          <w:sz w:val="24"/>
          <w:szCs w:val="24"/>
        </w:rPr>
        <w:t>In conclusion, w</w:t>
      </w:r>
      <w:r w:rsidR="00C23313" w:rsidRPr="00310EFD">
        <w:rPr>
          <w:color w:val="000000" w:themeColor="text1"/>
          <w:sz w:val="24"/>
          <w:szCs w:val="24"/>
        </w:rPr>
        <w:t xml:space="preserve">hen considering all the points above, it is not surprising that the victim no longer wanted to support prosecution considering how unsatisfied he was with the service provided by the police. Moreover, this clearly does not appear to be a rare exception but instead a wider social issue which naturally impacts day-to-day decision-making. I believe it is vital, mainly in the current social climate, that the police provide a great customer service and work towards re-building the trust the public has in the police. I understand that while for me it is the first time I am dealing with a certain incident, the victim may have had multiple incidents with the suspect and these may have been reported to the police. </w:t>
      </w:r>
    </w:p>
    <w:p w14:paraId="422C01FC" w14:textId="77777777" w:rsidR="00C23313" w:rsidRDefault="00C23313" w:rsidP="00C23313">
      <w:pPr>
        <w:jc w:val="both"/>
        <w:rPr>
          <w:color w:val="000000" w:themeColor="text1"/>
          <w:sz w:val="24"/>
          <w:szCs w:val="24"/>
        </w:rPr>
      </w:pPr>
    </w:p>
    <w:p w14:paraId="2D550B05" w14:textId="1127E403" w:rsidR="00C23313" w:rsidRPr="00310EFD" w:rsidRDefault="00C23313" w:rsidP="00C23313">
      <w:pPr>
        <w:jc w:val="both"/>
        <w:rPr>
          <w:color w:val="000000" w:themeColor="text1"/>
          <w:sz w:val="24"/>
          <w:szCs w:val="24"/>
        </w:rPr>
      </w:pPr>
      <w:r w:rsidRPr="00310EFD">
        <w:rPr>
          <w:color w:val="000000" w:themeColor="text1"/>
          <w:sz w:val="24"/>
          <w:szCs w:val="24"/>
        </w:rPr>
        <w:t xml:space="preserve">Going forward </w:t>
      </w:r>
      <w:r w:rsidR="006D7EC7">
        <w:rPr>
          <w:color w:val="000000" w:themeColor="text1"/>
          <w:sz w:val="24"/>
          <w:szCs w:val="24"/>
        </w:rPr>
        <w:t>I will ensure that when I am given a new case, I will contact the victim promptly and before interviewing the suspect so they feel heard and that they are the priority in the investigation. Moreover,</w:t>
      </w:r>
      <w:r w:rsidRPr="00310EFD">
        <w:rPr>
          <w:color w:val="000000" w:themeColor="text1"/>
          <w:sz w:val="24"/>
          <w:szCs w:val="24"/>
        </w:rPr>
        <w:t xml:space="preserve">I will not assume that someone will be pleased if I inform them that the suspect will be released on bail or that the victim will be unsatisfied if the suspect is not charged. What can be considered a positive outcome in a police investigation, it does not necessarily mean a positive outcome in the victim’s eyes. They may be frustrated by actual or perceived lack of action by the police and someone being bailed being a sign that nothing significant is being done but at the same time someone may not be ready to go through a criminal case and no further action is what they perceive at the time as the most beneficial outcome. </w:t>
      </w:r>
    </w:p>
    <w:p w14:paraId="79C6F38B" w14:textId="77777777" w:rsidR="00AA666E" w:rsidRPr="00310EFD" w:rsidRDefault="00AA666E" w:rsidP="00E6298B">
      <w:pPr>
        <w:ind w:right="107"/>
        <w:jc w:val="both"/>
        <w:rPr>
          <w:color w:val="000000" w:themeColor="text1"/>
          <w:sz w:val="24"/>
          <w:szCs w:val="24"/>
        </w:rPr>
      </w:pPr>
    </w:p>
    <w:p w14:paraId="44C1E3F5" w14:textId="4489178D" w:rsidR="00C23313" w:rsidRPr="00310EFD" w:rsidRDefault="00C23313" w:rsidP="00E6298B">
      <w:pPr>
        <w:ind w:right="107"/>
        <w:jc w:val="both"/>
        <w:rPr>
          <w:color w:val="000000" w:themeColor="text1"/>
          <w:sz w:val="24"/>
          <w:szCs w:val="24"/>
        </w:rPr>
      </w:pPr>
      <w:r w:rsidRPr="00310EFD">
        <w:rPr>
          <w:color w:val="000000" w:themeColor="text1"/>
          <w:sz w:val="24"/>
          <w:szCs w:val="24"/>
        </w:rPr>
        <w:t>Word count: 20</w:t>
      </w:r>
      <w:r w:rsidR="006D7EC7">
        <w:rPr>
          <w:color w:val="000000" w:themeColor="text1"/>
          <w:sz w:val="24"/>
          <w:szCs w:val="24"/>
        </w:rPr>
        <w:t>94</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64D3E4F"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In this essay, I will be discussing how the Policing Code of Ethics impacted my decision making dealing with a suspect, how the Victim’s Code guided the support I provided to the victim and how I considered legislation, social and cultural factors, equality, diversity and human rights throughout the investigation. I will start by providing an overview of the incident, followed by the considerations I had when interviewing the suspect, and finally how I supported the victim.</w:t>
      </w:r>
    </w:p>
    <w:p w14:paraId="0C5C66CC"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 xml:space="preserve">I was the Officer in Case (OIC) for a report of domestic related assault and controlling behaviour. The police was called by the victim without the suspect noticing and said he had assaulted her. </w:t>
      </w:r>
      <w:r>
        <w:rPr>
          <w:color w:val="000000" w:themeColor="text1"/>
          <w:sz w:val="24"/>
          <w:szCs w:val="24"/>
        </w:rPr>
        <w:t>The suspect and the victim were elderly and while the suspect was from the United States of America (USA) the victim was from Wales.</w:t>
      </w:r>
      <w:r w:rsidRPr="00310EFD">
        <w:rPr>
          <w:color w:val="000000" w:themeColor="text1"/>
          <w:sz w:val="24"/>
          <w:szCs w:val="24"/>
        </w:rPr>
        <w:t>The offender moved to Wales 5 years ago and 6 months after meeting the victim, they got married. The victim became his sponsor for residency purposes and covered all the associated expenses, became estranged from her family, and all her social activities were interlinked with her husband’s</w:t>
      </w:r>
      <w:r>
        <w:rPr>
          <w:color w:val="000000" w:themeColor="text1"/>
          <w:sz w:val="24"/>
          <w:szCs w:val="24"/>
        </w:rPr>
        <w:t>.</w:t>
      </w:r>
      <w:r w:rsidRPr="00310EFD">
        <w:rPr>
          <w:color w:val="000000" w:themeColor="text1"/>
          <w:sz w:val="24"/>
          <w:szCs w:val="24"/>
        </w:rPr>
        <w:t xml:space="preserve"> For the past 3 years, the offender has been trying to </w:t>
      </w:r>
      <w:r>
        <w:rPr>
          <w:color w:val="000000" w:themeColor="text1"/>
          <w:sz w:val="24"/>
          <w:szCs w:val="24"/>
        </w:rPr>
        <w:t>gain</w:t>
      </w:r>
      <w:r w:rsidRPr="00310EFD">
        <w:rPr>
          <w:color w:val="000000" w:themeColor="text1"/>
          <w:sz w:val="24"/>
          <w:szCs w:val="24"/>
        </w:rPr>
        <w:t xml:space="preserve"> a firearm holder licence despite the victim opposing to have guns in the house. The victim has also directed some of her mail to the neighbour’s</w:t>
      </w:r>
      <w:r>
        <w:rPr>
          <w:color w:val="000000" w:themeColor="text1"/>
          <w:sz w:val="24"/>
          <w:szCs w:val="24"/>
        </w:rPr>
        <w:t xml:space="preserve"> house</w:t>
      </w:r>
      <w:r w:rsidRPr="00310EFD">
        <w:rPr>
          <w:color w:val="000000" w:themeColor="text1"/>
          <w:sz w:val="24"/>
          <w:szCs w:val="24"/>
        </w:rPr>
        <w:t xml:space="preserve"> because the suspect would go through her mail, phone and belongings. There was an incident last year where the police was called to a domestic incident involving these two individuals and the husband claimed his wife had early dementia and that is why she behaved erratically. </w:t>
      </w:r>
    </w:p>
    <w:p w14:paraId="4FE04A98"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 xml:space="preserve">When preparing to interview the suspect I had particular consideration to social and cultural factors. The suspect was from the USA and he has allegedly worked there as a Sheriff but also been arrested there. The suspect’s contact with the Criminal Justice System (CJS) in the USA may work against him because beliefs he may have about the CJS in the USA are </w:t>
      </w:r>
      <w:r w:rsidRPr="00310EFD">
        <w:rPr>
          <w:color w:val="000000" w:themeColor="text1"/>
          <w:sz w:val="24"/>
          <w:szCs w:val="24"/>
        </w:rPr>
        <w:lastRenderedPageBreak/>
        <w:t xml:space="preserve">not applicable in the UK. The policies on suspect interviewing (or interrogation in the USA) are dramatically different between the two countries. For instance, while the USA uses a direct and accusatory approach that can involve active persuasion, the UK uses a rapport-based non accusatory approach aiming at gathering high quality information on an investigation (Inbau et al., 2004; Milne, 1999; Shuy, 1998). </w:t>
      </w:r>
    </w:p>
    <w:p w14:paraId="6A9A82AE"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 xml:space="preserve">Using the PEACE framework for investigative interviewing (College of Policing, 2023), I started by Planning and Preparing for the interview where I </w:t>
      </w:r>
      <w:r>
        <w:rPr>
          <w:color w:val="000000" w:themeColor="text1"/>
          <w:sz w:val="24"/>
          <w:szCs w:val="24"/>
        </w:rPr>
        <w:t>considered</w:t>
      </w:r>
      <w:r w:rsidRPr="00310EFD">
        <w:rPr>
          <w:color w:val="000000" w:themeColor="text1"/>
          <w:sz w:val="24"/>
          <w:szCs w:val="24"/>
        </w:rPr>
        <w:t xml:space="preserve"> the suspect’s social and cultural background as previously mentioned. As my MSc dissertation focused on the interview of suspects and compared techniques used in the USA and UK, I was familiar with those differences. The Engage and Explain phase of the PEACE framework includes building rapport and going through the Police and Criminal Evidence Act (1984) requirements of interview, such as explaining legal rights and ensuring understanding of the caution. An aide memoire is used during the Engage and Explain part of the interview, however during the Planning and Preparation </w:t>
      </w:r>
      <w:r>
        <w:rPr>
          <w:color w:val="000000" w:themeColor="text1"/>
          <w:sz w:val="24"/>
          <w:szCs w:val="24"/>
        </w:rPr>
        <w:t>I</w:t>
      </w:r>
      <w:r w:rsidRPr="00310EFD">
        <w:rPr>
          <w:color w:val="000000" w:themeColor="text1"/>
          <w:sz w:val="24"/>
          <w:szCs w:val="24"/>
        </w:rPr>
        <w:t xml:space="preserve"> tailored the aide memoire to the needs of the suspect. Considering my previous work experience, the equality and diversity training I received on the job, and the Code of Ethics principles of Respect and Empathy, I am aware that equality is not achieved by treating everyone the same but instead considering people’s individual aspects and tailor the service/communication </w:t>
      </w:r>
      <w:r>
        <w:rPr>
          <w:color w:val="000000" w:themeColor="text1"/>
          <w:sz w:val="24"/>
          <w:szCs w:val="24"/>
        </w:rPr>
        <w:t>accordingly</w:t>
      </w:r>
      <w:r w:rsidRPr="00310EFD">
        <w:rPr>
          <w:color w:val="000000" w:themeColor="text1"/>
          <w:sz w:val="24"/>
          <w:szCs w:val="24"/>
        </w:rPr>
        <w:t xml:space="preserve">. The suspect had chosen not to use his right to free and independent legal advice and I was unclear if this was due to beliefs that if he would not have a solicitor he would appear “less guilty”. Therefore, when discussing the right to legal advice in interview I explained to the suspect that having this advice would not harm his defence and stressed he was entitled to have a solicitor at any point during the interview. I am also aware that I have an accent so I told the suspect that if at any point he did not understood what I said to ask me to repeat. I was then able to tailor the interview to the suspect’s needs, build rapport by showing I have his interests into consideration, and maximise the quality of the evidence gathered. </w:t>
      </w:r>
    </w:p>
    <w:p w14:paraId="449448C5" w14:textId="77777777" w:rsidR="003D5D5E"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During and after</w:t>
      </w:r>
      <w:r>
        <w:rPr>
          <w:color w:val="000000" w:themeColor="text1"/>
          <w:sz w:val="24"/>
          <w:szCs w:val="24"/>
        </w:rPr>
        <w:t xml:space="preserve"> the</w:t>
      </w:r>
      <w:r w:rsidRPr="00310EFD">
        <w:rPr>
          <w:color w:val="000000" w:themeColor="text1"/>
          <w:sz w:val="24"/>
          <w:szCs w:val="24"/>
        </w:rPr>
        <w:t xml:space="preserve"> interview, the suspect said he believed there was no need for this case to go to court and that he was a law-abiding citizen who is engaging in his local church, community and has done out-reach work with the police. I explained to the suspect that the police are impartial investigators and decisions are made based on evidence (College of Policing, 2024)</w:t>
      </w:r>
      <w:r>
        <w:rPr>
          <w:color w:val="000000" w:themeColor="text1"/>
          <w:sz w:val="24"/>
          <w:szCs w:val="24"/>
        </w:rPr>
        <w:t>,</w:t>
      </w:r>
      <w:r w:rsidRPr="00310EFD">
        <w:rPr>
          <w:color w:val="000000" w:themeColor="text1"/>
          <w:sz w:val="24"/>
          <w:szCs w:val="24"/>
        </w:rPr>
        <w:t xml:space="preserve"> and that we were still investigating. He seemed not to be aware of the legislative framework in the UK, therefore I also explained to him that he may be remanded in police custody and explained the reasons behind it. The suspect appeared to try to intimidate me by saying he was collecting the names of all the officers involved in the case, that he was reading the PACE 1</w:t>
      </w:r>
      <w:r>
        <w:rPr>
          <w:color w:val="000000" w:themeColor="text1"/>
          <w:sz w:val="24"/>
          <w:szCs w:val="24"/>
        </w:rPr>
        <w:t>98</w:t>
      </w:r>
      <w:r w:rsidRPr="00310EFD">
        <w:rPr>
          <w:color w:val="000000" w:themeColor="text1"/>
          <w:sz w:val="24"/>
          <w:szCs w:val="24"/>
        </w:rPr>
        <w:t xml:space="preserve">4 Code C and that he knew the Crime Commissioner. I then explained to him that if he believes he has not been treated fairly he can make a complaint and I provided him with a leaflet from the Independent Office for Police Complaints on the different ways a complaint can be made. </w:t>
      </w:r>
    </w:p>
    <w:p w14:paraId="07B87534"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 xml:space="preserve">A decision was made after interview to remand the suspect to attend court the next day. Detaining someone can be considered a violation of Human Rights, particularly Article 5 Right to Liberty and Security (Human Rights Act, 1998). However, considering that the victim was high risk due to her vulnerability and experience with the suspect, the fact that the police had already been called to previous incidents, that there were allegations of weapons in the house and the suspect was trying to obtain a firearms licence for the past three years, and the resources the suspect had to leave the country, it was decided that the Right to Security (Humans Right Act, 1998) of the victim took prevalence over the suspect’s Right to Liberty (Humans Right Act, 1998). </w:t>
      </w:r>
    </w:p>
    <w:p w14:paraId="4A74F1E1"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lastRenderedPageBreak/>
        <w:t>The Code of Practice for Victim of Crime in England and Wales (2020) puts the victim at the heart of the Criminal Justice System and is composed by 12 enhanced rights. From those, I will be focusing on the following:</w:t>
      </w:r>
    </w:p>
    <w:p w14:paraId="0370221A" w14:textId="77777777" w:rsidR="003D5D5E" w:rsidRPr="00310EFD" w:rsidRDefault="003D5D5E" w:rsidP="003D5D5E">
      <w:pPr>
        <w:pStyle w:val="ListParagraph"/>
        <w:numPr>
          <w:ilvl w:val="0"/>
          <w:numId w:val="5"/>
        </w:numPr>
        <w:shd w:val="clear" w:color="auto" w:fill="FFFFFF"/>
        <w:suppressAutoHyphens/>
        <w:overflowPunct/>
        <w:autoSpaceDE/>
        <w:adjustRightInd/>
        <w:spacing w:before="100" w:after="100"/>
        <w:jc w:val="both"/>
        <w:textAlignment w:val="auto"/>
        <w:rPr>
          <w:color w:val="000000" w:themeColor="text1"/>
          <w:sz w:val="24"/>
          <w:szCs w:val="24"/>
        </w:rPr>
      </w:pPr>
      <w:r w:rsidRPr="00310EFD">
        <w:rPr>
          <w:color w:val="000000" w:themeColor="text1"/>
          <w:sz w:val="24"/>
          <w:szCs w:val="24"/>
        </w:rPr>
        <w:t>Right to be able to understand and to be understood</w:t>
      </w:r>
    </w:p>
    <w:p w14:paraId="7FD8FF5B" w14:textId="77777777" w:rsidR="003D5D5E" w:rsidRPr="00310EFD" w:rsidRDefault="003D5D5E" w:rsidP="003D5D5E">
      <w:pPr>
        <w:pStyle w:val="ListParagraph"/>
        <w:numPr>
          <w:ilvl w:val="0"/>
          <w:numId w:val="5"/>
        </w:numPr>
        <w:shd w:val="clear" w:color="auto" w:fill="FFFFFF"/>
        <w:suppressAutoHyphens/>
        <w:overflowPunct/>
        <w:autoSpaceDE/>
        <w:adjustRightInd/>
        <w:spacing w:before="100" w:after="100"/>
        <w:jc w:val="both"/>
        <w:textAlignment w:val="auto"/>
        <w:rPr>
          <w:color w:val="000000" w:themeColor="text1"/>
          <w:sz w:val="24"/>
          <w:szCs w:val="24"/>
        </w:rPr>
      </w:pPr>
      <w:r w:rsidRPr="00310EFD">
        <w:rPr>
          <w:color w:val="000000" w:themeColor="text1"/>
          <w:sz w:val="24"/>
          <w:szCs w:val="24"/>
        </w:rPr>
        <w:t>Right to be referred to services that support victims and have services and support tailored to the victim’s needs</w:t>
      </w:r>
    </w:p>
    <w:p w14:paraId="42C943F0" w14:textId="77777777" w:rsidR="003D5D5E" w:rsidRPr="00310EFD" w:rsidRDefault="003D5D5E" w:rsidP="003D5D5E">
      <w:pPr>
        <w:pStyle w:val="ListParagraph"/>
        <w:numPr>
          <w:ilvl w:val="0"/>
          <w:numId w:val="5"/>
        </w:numPr>
        <w:shd w:val="clear" w:color="auto" w:fill="FFFFFF"/>
        <w:suppressAutoHyphens/>
        <w:overflowPunct/>
        <w:autoSpaceDE/>
        <w:adjustRightInd/>
        <w:spacing w:before="100" w:after="100"/>
        <w:jc w:val="both"/>
        <w:textAlignment w:val="auto"/>
        <w:rPr>
          <w:color w:val="000000" w:themeColor="text1"/>
          <w:sz w:val="24"/>
          <w:szCs w:val="24"/>
        </w:rPr>
      </w:pPr>
      <w:r w:rsidRPr="00310EFD">
        <w:rPr>
          <w:color w:val="000000" w:themeColor="text1"/>
          <w:sz w:val="24"/>
          <w:szCs w:val="24"/>
        </w:rPr>
        <w:t>Right to be provided with information about the investigation and prosecution</w:t>
      </w:r>
    </w:p>
    <w:p w14:paraId="3E402E05" w14:textId="77777777" w:rsidR="003D5D5E" w:rsidRPr="00310EFD" w:rsidRDefault="003D5D5E" w:rsidP="003D5D5E">
      <w:pPr>
        <w:pStyle w:val="ListParagraph"/>
        <w:numPr>
          <w:ilvl w:val="0"/>
          <w:numId w:val="5"/>
        </w:numPr>
        <w:shd w:val="clear" w:color="auto" w:fill="FFFFFF"/>
        <w:suppressAutoHyphens/>
        <w:overflowPunct/>
        <w:autoSpaceDE/>
        <w:adjustRightInd/>
        <w:spacing w:before="100" w:after="100"/>
        <w:jc w:val="both"/>
        <w:textAlignment w:val="auto"/>
        <w:rPr>
          <w:color w:val="000000" w:themeColor="text1"/>
          <w:sz w:val="24"/>
          <w:szCs w:val="24"/>
        </w:rPr>
      </w:pPr>
      <w:r w:rsidRPr="00310EFD">
        <w:rPr>
          <w:color w:val="000000" w:themeColor="text1"/>
          <w:sz w:val="24"/>
          <w:szCs w:val="24"/>
        </w:rPr>
        <w:t>Right to make a Victim Personal Statement</w:t>
      </w:r>
    </w:p>
    <w:p w14:paraId="3F325BDE"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 xml:space="preserve">The victim was </w:t>
      </w:r>
      <w:r>
        <w:rPr>
          <w:color w:val="000000" w:themeColor="text1"/>
          <w:sz w:val="24"/>
          <w:szCs w:val="24"/>
        </w:rPr>
        <w:t>an elderly</w:t>
      </w:r>
      <w:r w:rsidRPr="00310EFD">
        <w:rPr>
          <w:color w:val="000000" w:themeColor="text1"/>
          <w:sz w:val="24"/>
          <w:szCs w:val="24"/>
        </w:rPr>
        <w:t xml:space="preserve"> </w:t>
      </w:r>
      <w:r>
        <w:rPr>
          <w:color w:val="000000" w:themeColor="text1"/>
          <w:sz w:val="24"/>
          <w:szCs w:val="24"/>
        </w:rPr>
        <w:t>female</w:t>
      </w:r>
      <w:r w:rsidRPr="00310EFD">
        <w:rPr>
          <w:color w:val="000000" w:themeColor="text1"/>
          <w:sz w:val="24"/>
          <w:szCs w:val="24"/>
        </w:rPr>
        <w:t xml:space="preserve"> estranged from her family for the past 5 years and had allegedly been subjected to domestic related assault and controlling behaviour. The Youth Justice and Criminal Evidence Act 1999 (YJCEA) introduced several measures to assist vulnerable and intimidated witnesses to provide evidence in criminal prosecutions. These measures include providing evidence behind a screen (Section 23 YJCEA, 1999), through live link (Section 24 YJCEA, 1999), or in private (Section 25 YJCEA, 1999). The victim in this case was considered intimidated because of the controlling nature of the offence, it was domestic related and the victim was very scared of the suspect (Section 17 YJCEA, 1999). Furthermore, the suspect had also alleged during this and the previous report to the police that the victim had early dementia and that he sometimes had to restrain her. The victim does not have a diagnose and she told the police the husband would say she has dementia but that is a lie. I then was faced with two scenarios – either the victim had early dementia and would automatically be considered vulnerable (Section 16 YJCEA, 1999), or she does not have dementia and her husband had managed to manipulate everyone and in that case the victim needed reassurance that we were listening to her. Finally, the victim did not seem to understand the seriousness of the offences by saying the husband was not violent but instead he was not aware of how strong he was, and she would not call 999 because she did not want to bother the Police. </w:t>
      </w:r>
    </w:p>
    <w:p w14:paraId="09FB3CA0"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 xml:space="preserve">Considering all this information and the fact that according to the HMICFRS, 54.8% of domestic violence cases were terminated because victims no longer supported prosecution (HMICFRS, 2021), I had to take further measures to ensure the victim would be able to understand the process while she also felt heard and understood. I also knew that  the victim was filing for the divorce and that one of the reasons victims stop supporting prosecution is because the victim is ending the relationship therefore they do not see the need to go through the criminal proceedings (Hopkins, 2024). I then decided to call the victim to introduce myself, explain that I </w:t>
      </w:r>
      <w:r>
        <w:rPr>
          <w:color w:val="000000" w:themeColor="text1"/>
          <w:sz w:val="24"/>
          <w:szCs w:val="24"/>
        </w:rPr>
        <w:t xml:space="preserve">was </w:t>
      </w:r>
      <w:r w:rsidRPr="00310EFD">
        <w:rPr>
          <w:color w:val="000000" w:themeColor="text1"/>
          <w:sz w:val="24"/>
          <w:szCs w:val="24"/>
        </w:rPr>
        <w:t xml:space="preserve">the Officer In Case, and I suggested for us to meet in person so she would feel more comfortable to talk and ask questions. This ensured a tailored support to the victim’s needs. </w:t>
      </w:r>
    </w:p>
    <w:p w14:paraId="06518BF6" w14:textId="77777777" w:rsidR="003D5D5E" w:rsidRPr="00310EFD"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 xml:space="preserve">When I met with the victim, I asked how she was doing and if she has any family/friend support. She explained she had her sister, her neighbours and that she has been in contact with the Domestic Abuse Service. The victim had completed a Public Protection Notice (PPN) which is a form to gather information about the victim to understand the level of safeguarding required (HMICFRS, 2023). As the victim was assessed as a high risk victim in the PPN, I informed her that she was being referred to the Multi-Agency Risk Assessment Conference (MARAC) which is a meeting to share information about a domestic violence victim among several parties and how to protect them (Safe Lives, 2022). </w:t>
      </w:r>
    </w:p>
    <w:p w14:paraId="01731AF0" w14:textId="77777777" w:rsidR="003D5D5E" w:rsidRDefault="003D5D5E" w:rsidP="003D5D5E">
      <w:pPr>
        <w:shd w:val="clear" w:color="auto" w:fill="FFFFFF"/>
        <w:spacing w:before="100" w:after="100"/>
        <w:jc w:val="both"/>
        <w:rPr>
          <w:color w:val="000000" w:themeColor="text1"/>
          <w:sz w:val="24"/>
          <w:szCs w:val="24"/>
        </w:rPr>
      </w:pPr>
      <w:r w:rsidRPr="00310EFD">
        <w:rPr>
          <w:color w:val="000000" w:themeColor="text1"/>
          <w:sz w:val="24"/>
          <w:szCs w:val="24"/>
        </w:rPr>
        <w:t xml:space="preserve">I kept a conversational style of interaction to allow me to keep building rapport with the victim. This is important because research shows that rapport building increases the </w:t>
      </w:r>
      <w:r w:rsidRPr="00310EFD">
        <w:rPr>
          <w:color w:val="000000" w:themeColor="text1"/>
          <w:sz w:val="24"/>
          <w:szCs w:val="24"/>
        </w:rPr>
        <w:lastRenderedPageBreak/>
        <w:t xml:space="preserve">amount and quality of the evidence provided by someone (Holmberg </w:t>
      </w:r>
      <w:r>
        <w:rPr>
          <w:color w:val="000000" w:themeColor="text1"/>
          <w:sz w:val="24"/>
          <w:szCs w:val="24"/>
        </w:rPr>
        <w:t>and</w:t>
      </w:r>
      <w:r w:rsidRPr="00310EFD">
        <w:rPr>
          <w:color w:val="000000" w:themeColor="text1"/>
          <w:sz w:val="24"/>
          <w:szCs w:val="24"/>
        </w:rPr>
        <w:t xml:space="preserve"> Madsen, 2014)</w:t>
      </w:r>
      <w:r>
        <w:rPr>
          <w:color w:val="000000" w:themeColor="text1"/>
          <w:sz w:val="24"/>
          <w:szCs w:val="24"/>
        </w:rPr>
        <w:t xml:space="preserve"> and I needed a further statement from her</w:t>
      </w:r>
      <w:r w:rsidRPr="00310EFD">
        <w:rPr>
          <w:color w:val="000000" w:themeColor="text1"/>
          <w:sz w:val="24"/>
          <w:szCs w:val="24"/>
        </w:rPr>
        <w:t xml:space="preserve">. I </w:t>
      </w:r>
      <w:r>
        <w:rPr>
          <w:color w:val="000000" w:themeColor="text1"/>
          <w:sz w:val="24"/>
          <w:szCs w:val="24"/>
        </w:rPr>
        <w:t xml:space="preserve">explained </w:t>
      </w:r>
      <w:r w:rsidRPr="00310EFD">
        <w:rPr>
          <w:color w:val="000000" w:themeColor="text1"/>
          <w:sz w:val="24"/>
          <w:szCs w:val="24"/>
        </w:rPr>
        <w:t xml:space="preserve">that she could provide a Victim Personal Statement (VPS) if she wished to and that this statement was focused on how the offence has impacted her and not so much a factual recall of events, and that it could have an impact in sentencing (Achieving Best Evidence in Criminal Proceedings, 2022). </w:t>
      </w:r>
    </w:p>
    <w:p w14:paraId="37DD1000" w14:textId="77777777" w:rsidR="003D5D5E" w:rsidRDefault="003D5D5E" w:rsidP="003D5D5E">
      <w:pPr>
        <w:shd w:val="clear" w:color="auto" w:fill="FFFFFF"/>
        <w:spacing w:before="100" w:after="100"/>
        <w:jc w:val="both"/>
        <w:rPr>
          <w:color w:val="000000" w:themeColor="text1"/>
          <w:sz w:val="24"/>
          <w:szCs w:val="24"/>
        </w:rPr>
      </w:pPr>
      <w:r>
        <w:rPr>
          <w:color w:val="000000" w:themeColor="text1"/>
          <w:sz w:val="24"/>
          <w:szCs w:val="24"/>
        </w:rPr>
        <w:t>The victim</w:t>
      </w:r>
      <w:r w:rsidRPr="00310EFD">
        <w:rPr>
          <w:color w:val="000000" w:themeColor="text1"/>
          <w:sz w:val="24"/>
          <w:szCs w:val="24"/>
        </w:rPr>
        <w:t xml:space="preserve"> said that with Special Measures in place and with the support she has received she </w:t>
      </w:r>
      <w:r>
        <w:rPr>
          <w:color w:val="000000" w:themeColor="text1"/>
          <w:sz w:val="24"/>
          <w:szCs w:val="24"/>
        </w:rPr>
        <w:t>would like</w:t>
      </w:r>
      <w:r w:rsidRPr="00310EFD">
        <w:rPr>
          <w:color w:val="000000" w:themeColor="text1"/>
          <w:sz w:val="24"/>
          <w:szCs w:val="24"/>
        </w:rPr>
        <w:t xml:space="preserve"> to read her VPS in court. I believe this was the result of prioritising the victim and focusing on what her vulnerabilities and needs were. I could then use this information to guide my decision-making and provide the victim with the best support available while gathering good quality evidence.</w:t>
      </w:r>
    </w:p>
    <w:p w14:paraId="58F3B44B" w14:textId="643B822B" w:rsidR="003D5D5E" w:rsidRDefault="003D5D5E" w:rsidP="003D5D5E">
      <w:pPr>
        <w:shd w:val="clear" w:color="auto" w:fill="FFFFFF"/>
        <w:spacing w:before="100" w:after="100"/>
        <w:jc w:val="both"/>
        <w:rPr>
          <w:color w:val="000000" w:themeColor="text1"/>
          <w:sz w:val="24"/>
          <w:szCs w:val="24"/>
        </w:rPr>
      </w:pPr>
      <w:r>
        <w:rPr>
          <w:color w:val="000000" w:themeColor="text1"/>
          <w:sz w:val="24"/>
          <w:szCs w:val="24"/>
        </w:rPr>
        <w:t>This investigation taught me about adaptation to people’s needs. By tailoring the interview to the suspect I was able to gather more information while ensuring the suspect knew his rights making the interview admissible. Similarly, my communication with the victim had to be adapted to their age and experienced trauma. As a result, the victim provided further information and was able to seek my support when they were unsure about going to court.</w:t>
      </w:r>
    </w:p>
    <w:p w14:paraId="5E4500C9" w14:textId="3EAB4E95" w:rsidR="0093669C" w:rsidRPr="00310EFD" w:rsidRDefault="003D5D5E" w:rsidP="00310EFD">
      <w:pPr>
        <w:shd w:val="clear" w:color="auto" w:fill="FFFFFF"/>
        <w:spacing w:before="100" w:after="100"/>
        <w:jc w:val="both"/>
        <w:rPr>
          <w:color w:val="000000" w:themeColor="text1"/>
          <w:sz w:val="24"/>
          <w:szCs w:val="24"/>
        </w:rPr>
      </w:pPr>
      <w:r>
        <w:rPr>
          <w:color w:val="000000" w:themeColor="text1"/>
          <w:sz w:val="24"/>
          <w:szCs w:val="24"/>
        </w:rPr>
        <w:t xml:space="preserve">Since this case, I have added and used new prompts to my investigation guidelines to consider the suspect needs during interview but also what the victim may need from the OIC. Altogether, it should increase </w:t>
      </w:r>
      <w:r w:rsidR="00043587">
        <w:rPr>
          <w:color w:val="000000" w:themeColor="text1"/>
          <w:sz w:val="24"/>
          <w:szCs w:val="24"/>
        </w:rPr>
        <w:t xml:space="preserve">the </w:t>
      </w:r>
      <w:r>
        <w:rPr>
          <w:color w:val="000000" w:themeColor="text1"/>
          <w:sz w:val="24"/>
          <w:szCs w:val="24"/>
        </w:rPr>
        <w:t xml:space="preserve">information gathered, </w:t>
      </w:r>
      <w:r w:rsidR="00043587">
        <w:rPr>
          <w:color w:val="000000" w:themeColor="text1"/>
          <w:sz w:val="24"/>
          <w:szCs w:val="24"/>
        </w:rPr>
        <w:t xml:space="preserve">a less traumatic experience with the CJS and </w:t>
      </w:r>
      <w:r w:rsidR="00043587">
        <w:rPr>
          <w:color w:val="000000" w:themeColor="text1"/>
          <w:sz w:val="24"/>
          <w:szCs w:val="24"/>
        </w:rPr>
        <w:t>an increase in public confidence.</w:t>
      </w:r>
    </w:p>
    <w:p w14:paraId="53D8D511" w14:textId="77777777" w:rsidR="00112751" w:rsidRPr="00310EFD" w:rsidRDefault="00112751" w:rsidP="00E6298B">
      <w:pPr>
        <w:ind w:right="107"/>
        <w:jc w:val="both"/>
        <w:rPr>
          <w:color w:val="000000" w:themeColor="text1"/>
          <w:sz w:val="24"/>
          <w:szCs w:val="24"/>
        </w:rPr>
      </w:pPr>
    </w:p>
    <w:p w14:paraId="18D39BC5" w14:textId="0CCF2903" w:rsidR="00310EFD" w:rsidRPr="00310EFD" w:rsidRDefault="00310EFD" w:rsidP="00E6298B">
      <w:pPr>
        <w:ind w:right="107"/>
        <w:jc w:val="both"/>
        <w:rPr>
          <w:color w:val="000000" w:themeColor="text1"/>
          <w:sz w:val="24"/>
          <w:szCs w:val="24"/>
        </w:rPr>
      </w:pPr>
      <w:r w:rsidRPr="00310EFD">
        <w:rPr>
          <w:color w:val="000000" w:themeColor="text1"/>
          <w:sz w:val="24"/>
          <w:szCs w:val="24"/>
        </w:rPr>
        <w:t>Word count: 1</w:t>
      </w:r>
      <w:r w:rsidR="003D5D5E">
        <w:rPr>
          <w:color w:val="000000" w:themeColor="text1"/>
          <w:sz w:val="24"/>
          <w:szCs w:val="24"/>
        </w:rPr>
        <w:t>91</w:t>
      </w:r>
      <w:r w:rsidR="00043587">
        <w:rPr>
          <w:color w:val="000000" w:themeColor="text1"/>
          <w:sz w:val="24"/>
          <w:szCs w:val="24"/>
        </w:rPr>
        <w:t>9</w:t>
      </w:r>
    </w:p>
    <w:p w14:paraId="1967E2A8" w14:textId="77777777" w:rsidR="00025650" w:rsidRPr="00310EFD" w:rsidRDefault="00025650" w:rsidP="00E6298B">
      <w:pPr>
        <w:ind w:right="107"/>
        <w:jc w:val="both"/>
        <w:rPr>
          <w:color w:val="000000" w:themeColor="text1"/>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4BBD4551" w:rsidR="00025650" w:rsidRPr="00270EEB" w:rsidRDefault="00025650" w:rsidP="00E6298B">
      <w:pPr>
        <w:ind w:right="107"/>
        <w:jc w:val="both"/>
        <w:rPr>
          <w:sz w:val="24"/>
          <w:szCs w:val="24"/>
        </w:rPr>
      </w:pPr>
    </w:p>
    <w:p w14:paraId="65800057" w14:textId="3718FFCE" w:rsidR="00025650" w:rsidRPr="00270EEB" w:rsidRDefault="00025650" w:rsidP="00E6298B">
      <w:pPr>
        <w:ind w:right="107"/>
        <w:jc w:val="both"/>
        <w:rPr>
          <w:sz w:val="24"/>
          <w:szCs w:val="24"/>
        </w:rPr>
      </w:pPr>
    </w:p>
    <w:p w14:paraId="7A99F832" w14:textId="551A5155" w:rsidR="00025650" w:rsidRPr="00270EEB" w:rsidRDefault="00025650" w:rsidP="00E6298B">
      <w:pPr>
        <w:ind w:right="107"/>
        <w:jc w:val="both"/>
        <w:rPr>
          <w:sz w:val="24"/>
          <w:szCs w:val="24"/>
        </w:rPr>
      </w:pPr>
    </w:p>
    <w:p w14:paraId="7FD39A42" w14:textId="74B2B1C6"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561C0FC" w14:textId="77777777" w:rsidR="00842C8A" w:rsidRDefault="00842C8A" w:rsidP="00842C8A">
      <w:pPr>
        <w:ind w:right="107"/>
        <w:jc w:val="both"/>
        <w:rPr>
          <w:color w:val="000000" w:themeColor="text1"/>
          <w:sz w:val="24"/>
          <w:szCs w:val="24"/>
        </w:rPr>
      </w:pPr>
      <w:r w:rsidRPr="00310EFD">
        <w:rPr>
          <w:color w:val="000000" w:themeColor="text1"/>
          <w:sz w:val="24"/>
          <w:szCs w:val="24"/>
        </w:rPr>
        <w:t>This essay will focus on my decision-making process during an investigation, particularly the disposal orders process, where I was the Officer In Case and Disclosure Officer. I will show how my decisions were based on the National Decision Model, the Code of Ethics and the Criminal Procedures and Investigations Act 1996 (CPIA, 1996).</w:t>
      </w:r>
    </w:p>
    <w:p w14:paraId="78A82926" w14:textId="77777777" w:rsidR="00310EFD" w:rsidRPr="00310EFD" w:rsidRDefault="00310EFD" w:rsidP="00842C8A">
      <w:pPr>
        <w:ind w:right="107"/>
        <w:jc w:val="both"/>
        <w:rPr>
          <w:color w:val="000000" w:themeColor="text1"/>
          <w:sz w:val="24"/>
          <w:szCs w:val="24"/>
        </w:rPr>
      </w:pPr>
    </w:p>
    <w:p w14:paraId="62353872" w14:textId="77777777" w:rsidR="00842C8A" w:rsidRDefault="00842C8A" w:rsidP="00842C8A">
      <w:pPr>
        <w:ind w:right="107"/>
        <w:jc w:val="both"/>
        <w:rPr>
          <w:color w:val="000000" w:themeColor="text1"/>
          <w:sz w:val="24"/>
          <w:szCs w:val="24"/>
        </w:rPr>
      </w:pPr>
      <w:r w:rsidRPr="00310EFD">
        <w:rPr>
          <w:color w:val="000000" w:themeColor="text1"/>
          <w:sz w:val="24"/>
          <w:szCs w:val="24"/>
        </w:rPr>
        <w:t>I will start by describing the concept of discretion, the National Decision Model, the Code of Ethics, the CPIA 1996 and the case. I will then focus on my decision-making regarding the outcome of the investigation while reflecting on how the National Decision Model and current socio-economic context impacted my decisions. I will end the essay reflecting on the disclosure process and how it was guided by the CPIA 1996.</w:t>
      </w:r>
    </w:p>
    <w:p w14:paraId="2E0FF63D" w14:textId="77777777" w:rsidR="00310EFD" w:rsidRPr="00310EFD" w:rsidRDefault="00310EFD" w:rsidP="00842C8A">
      <w:pPr>
        <w:ind w:right="107"/>
        <w:jc w:val="both"/>
        <w:rPr>
          <w:color w:val="000000" w:themeColor="text1"/>
          <w:sz w:val="24"/>
          <w:szCs w:val="24"/>
        </w:rPr>
      </w:pPr>
    </w:p>
    <w:p w14:paraId="3290E16C" w14:textId="7B24CA0B" w:rsidR="00310EFD" w:rsidRPr="00310EFD" w:rsidRDefault="00842C8A" w:rsidP="00842C8A">
      <w:pPr>
        <w:ind w:right="107"/>
        <w:jc w:val="both"/>
        <w:rPr>
          <w:color w:val="000000" w:themeColor="text1"/>
          <w:sz w:val="24"/>
          <w:szCs w:val="24"/>
        </w:rPr>
      </w:pPr>
      <w:r w:rsidRPr="00310EFD">
        <w:rPr>
          <w:color w:val="000000" w:themeColor="text1"/>
          <w:sz w:val="24"/>
          <w:szCs w:val="24"/>
        </w:rPr>
        <w:t xml:space="preserve">Discretion refers to the ability someone has to make decisions in a specific situation and is a key concept in policing. Contrary to an authoritative and rule based approach, the use of discretion allows the officer to consider the context and the multiple factors impacting a situation (Maile et al., 2022). While it is beneficial that officers have the freedom to assess an incident as a whole before making a decision, discretion creates space for biases and prejudice to impact decisions. The Brixton riots in 1981 started following allegations that police had assaulted a black male in a time when tensions between police and the community were already high (Leslie, 2020). An investigation ensued to the cause of the riots and the Scarman report was published. The Scarman report explained that the riots were based on “lack of confidence” in the police and that there was “racially prejudiced conduct by some officers” (Leslie, 2020; Scarman, 1981). To allow police use of discretion and minimise bias when making decisions, the National Decision Model was introduced. </w:t>
      </w:r>
    </w:p>
    <w:p w14:paraId="15F00A83" w14:textId="189A6B9B" w:rsidR="00842C8A" w:rsidRDefault="00842C8A" w:rsidP="00842C8A">
      <w:pPr>
        <w:ind w:right="107"/>
        <w:jc w:val="both"/>
        <w:rPr>
          <w:color w:val="000000" w:themeColor="text1"/>
          <w:sz w:val="24"/>
          <w:szCs w:val="24"/>
        </w:rPr>
      </w:pPr>
      <w:r w:rsidRPr="00310EFD">
        <w:rPr>
          <w:noProof/>
          <w:color w:val="000000" w:themeColor="text1"/>
          <w:sz w:val="24"/>
          <w:szCs w:val="24"/>
        </w:rPr>
        <w:lastRenderedPageBreak/>
        <w:drawing>
          <wp:anchor distT="0" distB="0" distL="114300" distR="114300" simplePos="0" relativeHeight="251659264" behindDoc="0" locked="0" layoutInCell="1" allowOverlap="1" wp14:anchorId="2A04DACF" wp14:editId="174B0D72">
            <wp:simplePos x="0" y="0"/>
            <wp:positionH relativeFrom="column">
              <wp:posOffset>3710936</wp:posOffset>
            </wp:positionH>
            <wp:positionV relativeFrom="paragraph">
              <wp:posOffset>12060</wp:posOffset>
            </wp:positionV>
            <wp:extent cx="2381883" cy="2209803"/>
            <wp:effectExtent l="0" t="0" r="0" b="0"/>
            <wp:wrapTight wrapText="bothSides">
              <wp:wrapPolygon edited="0">
                <wp:start x="0" y="0"/>
                <wp:lineTo x="0" y="21414"/>
                <wp:lineTo x="21427" y="21414"/>
                <wp:lineTo x="21427" y="0"/>
                <wp:lineTo x="0" y="0"/>
              </wp:wrapPolygon>
            </wp:wrapTight>
            <wp:docPr id="785046777" name="Picture 1" descr="A diagram of ethics ethical principles and guidance for behaviour&#10;&#10;Description automatically generated"/>
            <wp:cNvGraphicFramePr/>
            <a:graphic xmlns:a="http://schemas.openxmlformats.org/drawingml/2006/main">
              <a:graphicData uri="http://schemas.openxmlformats.org/drawingml/2006/picture">
                <pic:pic xmlns:pic="http://schemas.openxmlformats.org/drawingml/2006/picture">
                  <pic:nvPicPr>
                    <pic:cNvPr id="785046777" name="Picture 1" descr="A diagram of ethics ethical principles and guidance for behaviour&#10;&#10;Description automatically generated"/>
                    <pic:cNvPicPr/>
                  </pic:nvPicPr>
                  <pic:blipFill>
                    <a:blip r:embed="rId21"/>
                    <a:srcRect/>
                    <a:stretch>
                      <a:fillRect/>
                    </a:stretch>
                  </pic:blipFill>
                  <pic:spPr>
                    <a:xfrm>
                      <a:off x="0" y="0"/>
                      <a:ext cx="2381883" cy="2209803"/>
                    </a:xfrm>
                    <a:prstGeom prst="rect">
                      <a:avLst/>
                    </a:prstGeom>
                    <a:noFill/>
                    <a:ln>
                      <a:noFill/>
                      <a:prstDash/>
                    </a:ln>
                  </pic:spPr>
                </pic:pic>
              </a:graphicData>
            </a:graphic>
          </wp:anchor>
        </w:drawing>
      </w:r>
      <w:r w:rsidRPr="00310EFD">
        <w:rPr>
          <w:color w:val="000000" w:themeColor="text1"/>
          <w:sz w:val="24"/>
          <w:szCs w:val="24"/>
        </w:rPr>
        <w:t xml:space="preserve">The National Decision Model (College of Policing, 2024) is the framework used by the College of Policing to assist with decision-making in a policing context. This model is not situation-specific but instead it can be applied to any policing decision, before, during or after an incident. The National Decision Model (NDM) is composed by six elements which are: Code of Ethics, Gather information and intelligence, Assess threat and risk and develop a working strategy, Consider powers and policy, Identify options and contingencies, and Take action and review what happened (Figure 2).  </w:t>
      </w:r>
    </w:p>
    <w:p w14:paraId="27B10513" w14:textId="77777777" w:rsidR="00310EFD" w:rsidRPr="00310EFD" w:rsidRDefault="00310EFD" w:rsidP="00842C8A">
      <w:pPr>
        <w:ind w:right="107"/>
        <w:jc w:val="both"/>
        <w:rPr>
          <w:color w:val="000000" w:themeColor="text1"/>
          <w:sz w:val="24"/>
          <w:szCs w:val="24"/>
        </w:rPr>
      </w:pPr>
    </w:p>
    <w:p w14:paraId="34CFF292" w14:textId="44F3184B" w:rsidR="00842C8A" w:rsidRDefault="00043587" w:rsidP="00842C8A">
      <w:pPr>
        <w:ind w:right="107"/>
        <w:jc w:val="both"/>
        <w:rPr>
          <w:color w:val="000000" w:themeColor="text1"/>
          <w:sz w:val="24"/>
          <w:szCs w:val="24"/>
        </w:rPr>
      </w:pPr>
      <w:r>
        <w:rPr>
          <w:noProof/>
        </w:rPr>
        <w:pict w14:anchorId="3B7EE6AF">
          <v:shape id="Text Box 2" o:spid="_x0000_s2050" type="#_x0000_t202" style="position:absolute;left:0;text-align:left;margin-left:302.9pt;margin-top:1.25pt;width:185.9pt;height:23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MxeDwIAAP0DAAAOAAAAZHJzL2Uyb0RvYy54bWysU21v2yAQ/j5p/wHxfbHjJl1jxam6dJkm&#10;dS9Stx+AAcdomGNAYme/vgd206j7No0P6I47Hu6ee1jfDp0mR+m8AlPR+SynRBoOQpl9RX/+2L27&#10;ocQHZgTTYGRFT9LT283bN+velrKAFrSQjiCI8WVvK9qGYMss87yVHfMzsNJgsAHXsYCu22fCsR7R&#10;O50VeX6d9eCEdcCl93h6PwbpJuE3jeThW9N4GYiuKNYW0u7SXsc926xZuXfMtopPZbB/qKJjyuCj&#10;Z6h7Fhg5OPUXVKe4Aw9NmHHoMmgaxWXqAbuZ56+6eWyZlakXJMfbM03+/8Hyr8dH+92RMHyAAQeY&#10;mvD2AfgvTwxsW2b28s456FvJBD48j5RlvfXldDVS7UsfQer+CwgcMjsESEBD47rICvZJEB0HcDqT&#10;LodAOB4WV9f56gpDHGPFqpjnaSoZK59vW+fDJwkdiUZFHQ41obPjgw+xGlY+p8THPGgldkrr5Lh9&#10;vdWOHBkKYJdWauBVmjakr+hqWSwTsoF4P2mjUwEFqlVX0Zs8rlEykY2PRqSUwJQebaxEm4meyMjI&#10;TRjqgSgxcRfZqkGckC8Hox7x/6DRgvtDSY9arKj/fWBOUqI/G+R8NV8soniTs1i+L9Bxl5H6MsIM&#10;R6iKBkpGcxuS4CMdBu5wNo1KtL1UMpWMGktsTv8hivjST1kvv3bzBAAA//8DAFBLAwQUAAYACAAA&#10;ACEAu94KAd0AAAAIAQAADwAAAGRycy9kb3ducmV2LnhtbEyPzU6EQBCE7ya+w6RNvLnDEoEVaTbG&#10;hGjCaXd9gAGan8D0EGaWxbd3POmxUpWqr7Ljpiex0mIHwwj7XQCCuDbNwB3C16V4OoCwTnGjJsOE&#10;8E0Wjvn9XabSxtz4ROvZdcKXsE0VQu/cnEpp6560sjszE3uvNYtWzsulk82ibr5cTzIMglhqNbBf&#10;6NVM7z3V4/mqET7LumjDUrerG/d6LE/VR9EmiI8P29srCEeb+wvDL75Hh9wzVebKjRUTQhxEHt0h&#10;hBEI778kSQyiQng+RCDzTP4/kP8AAAD//wMAUEsBAi0AFAAGAAgAAAAhALaDOJL+AAAA4QEAABMA&#10;AAAAAAAAAAAAAAAAAAAAAFtDb250ZW50X1R5cGVzXS54bWxQSwECLQAUAAYACAAAACEAOP0h/9YA&#10;AACUAQAACwAAAAAAAAAAAAAAAAAvAQAAX3JlbHMvLnJlbHNQSwECLQAUAAYACAAAACEAQFzMXg8C&#10;AAD9AwAADgAAAAAAAAAAAAAAAAAuAgAAZHJzL2Uyb0RvYy54bWxQSwECLQAUAAYACAAAACEAu94K&#10;Ad0AAAAIAQAADwAAAAAAAAAAAAAAAABpBAAAZHJzL2Rvd25yZXYueG1sUEsFBgAAAAAEAAQA8wAA&#10;AHMFAAAAAA==&#10;" stroked="f">
            <v:textbox>
              <w:txbxContent>
                <w:p w14:paraId="112EAB21" w14:textId="77777777" w:rsidR="00842C8A" w:rsidRPr="00553B38" w:rsidRDefault="00842C8A" w:rsidP="00842C8A">
                  <w:pPr>
                    <w:rPr>
                      <w:i/>
                      <w:iCs/>
                    </w:rPr>
                  </w:pPr>
                  <w:r w:rsidRPr="00553B38">
                    <w:rPr>
                      <w:i/>
                      <w:iCs/>
                    </w:rPr>
                    <w:t>Figure 2. National Decision Model</w:t>
                  </w:r>
                </w:p>
              </w:txbxContent>
            </v:textbox>
            <w10:wrap type="square"/>
          </v:shape>
        </w:pict>
      </w:r>
      <w:r w:rsidR="00842C8A" w:rsidRPr="00310EFD">
        <w:rPr>
          <w:color w:val="000000" w:themeColor="text1"/>
          <w:sz w:val="24"/>
          <w:szCs w:val="24"/>
        </w:rPr>
        <w:t>The Code of Ethics (College of Policing, 2024) is the foundation of the National Decision Model and underpins any decision made by police. This includes instances where the National Decision Model is not required, e.g. if a member of the public asks an officer for directions, the officer is not required to use the NDM but their conduct must follow the Code of Ethics. The principles in the Code of Ethics include accountability, honesty, integrity, leadership, objectivity, openness, selflessness, fairness and respect.</w:t>
      </w:r>
    </w:p>
    <w:p w14:paraId="21256FA9" w14:textId="77777777" w:rsidR="00310EFD" w:rsidRPr="00310EFD" w:rsidRDefault="00310EFD" w:rsidP="00842C8A">
      <w:pPr>
        <w:ind w:right="107"/>
        <w:jc w:val="both"/>
        <w:rPr>
          <w:color w:val="000000" w:themeColor="text1"/>
          <w:sz w:val="24"/>
          <w:szCs w:val="24"/>
        </w:rPr>
      </w:pPr>
    </w:p>
    <w:p w14:paraId="2899A09C" w14:textId="77777777" w:rsidR="00842C8A" w:rsidRDefault="00842C8A" w:rsidP="00842C8A">
      <w:pPr>
        <w:ind w:right="107"/>
        <w:jc w:val="both"/>
        <w:rPr>
          <w:color w:val="000000" w:themeColor="text1"/>
          <w:sz w:val="24"/>
          <w:szCs w:val="24"/>
        </w:rPr>
      </w:pPr>
      <w:r w:rsidRPr="00310EFD">
        <w:rPr>
          <w:color w:val="000000" w:themeColor="text1"/>
          <w:sz w:val="24"/>
          <w:szCs w:val="24"/>
        </w:rPr>
        <w:t xml:space="preserve">The Criminal Procedure and Investigations Act 1996 (Criminal Procedure and Investigations Act, 1996) governs the investigative and disclosure procedures and prosecution of offences. According to the CPIA 1996 Section 23 (1) Codes of Practice (Ministry of Justice, 2015), the disclosure procedures is led by the disclosure officer who is responsible for examining the material retained by the police in relation to a criminal investigation and provide the material that is not evidential to the prosecutor. The prosecutor is then responsible for deciding which material needs to be provided to the defence. </w:t>
      </w:r>
    </w:p>
    <w:p w14:paraId="567EA9A8" w14:textId="77777777" w:rsidR="00310EFD" w:rsidRPr="00310EFD" w:rsidRDefault="00310EFD" w:rsidP="00842C8A">
      <w:pPr>
        <w:ind w:right="107"/>
        <w:jc w:val="both"/>
        <w:rPr>
          <w:color w:val="000000" w:themeColor="text1"/>
          <w:sz w:val="24"/>
          <w:szCs w:val="24"/>
        </w:rPr>
      </w:pPr>
    </w:p>
    <w:p w14:paraId="28B344C9" w14:textId="77777777" w:rsidR="00842C8A" w:rsidRDefault="00842C8A" w:rsidP="00842C8A">
      <w:pPr>
        <w:ind w:right="107"/>
        <w:jc w:val="both"/>
        <w:rPr>
          <w:color w:val="000000" w:themeColor="text1"/>
          <w:sz w:val="24"/>
          <w:szCs w:val="24"/>
        </w:rPr>
      </w:pPr>
      <w:r w:rsidRPr="00310EFD">
        <w:rPr>
          <w:color w:val="000000" w:themeColor="text1"/>
          <w:sz w:val="24"/>
          <w:szCs w:val="24"/>
        </w:rPr>
        <w:t>The investigation I will be referring to in this essay relates to a domestic violence incident where the suspect allegedly physically assaulted the victim and forcefully removed the emergency alarm the victim had in a lanyard around her neck and the alarm on the wall. The victim had managed to record an argument between herself and the suspect, and the suspect moving violently in her direction, followed by a big commotion where the image is not clear but screaming can be heard. Considering the strength of the evidence and the risk presented to the victim, the suspect was released on bail with conditions. I will therefore focus on the bail application process of the investigation.</w:t>
      </w:r>
    </w:p>
    <w:p w14:paraId="1736B1D1" w14:textId="77777777" w:rsidR="00310EFD" w:rsidRPr="00310EFD" w:rsidRDefault="00310EFD" w:rsidP="00842C8A">
      <w:pPr>
        <w:ind w:right="107"/>
        <w:jc w:val="both"/>
        <w:rPr>
          <w:color w:val="000000" w:themeColor="text1"/>
          <w:sz w:val="24"/>
          <w:szCs w:val="24"/>
        </w:rPr>
      </w:pPr>
    </w:p>
    <w:p w14:paraId="00628AC5" w14:textId="14051110" w:rsidR="00842C8A" w:rsidRDefault="00842C8A" w:rsidP="00842C8A">
      <w:pPr>
        <w:ind w:right="107"/>
        <w:jc w:val="both"/>
        <w:rPr>
          <w:color w:val="000000" w:themeColor="text1"/>
          <w:sz w:val="24"/>
          <w:szCs w:val="24"/>
        </w:rPr>
      </w:pPr>
      <w:r w:rsidRPr="00310EFD">
        <w:rPr>
          <w:color w:val="000000" w:themeColor="text1"/>
          <w:sz w:val="24"/>
          <w:szCs w:val="24"/>
        </w:rPr>
        <w:t xml:space="preserve">According to Section 30A of the Police and Criminal Evidence Act 1984, when determining whether someone is released on bail consideration needs to be given on how to ensure the person surrenders to custody, the need to safeguard the person, and the management of risk to the public (Police and Criminal Evidence Act, 1984). In other words, if a suspect does not provide a residential address to the police it will be harder for the police to arrest the suspect if bail conditions are breached. Furthermore, homelessness is linked to crime victimisation (Nilsson et al. 2020) and to the commission of offences to spend a night in a cell (Batty </w:t>
      </w:r>
      <w:r w:rsidR="006D7EC7">
        <w:rPr>
          <w:color w:val="000000" w:themeColor="text1"/>
          <w:sz w:val="24"/>
          <w:szCs w:val="24"/>
        </w:rPr>
        <w:t>and</w:t>
      </w:r>
      <w:r w:rsidRPr="00310EFD">
        <w:rPr>
          <w:color w:val="000000" w:themeColor="text1"/>
          <w:sz w:val="24"/>
          <w:szCs w:val="24"/>
        </w:rPr>
        <w:t xml:space="preserve"> Reeve, 2011). </w:t>
      </w:r>
    </w:p>
    <w:p w14:paraId="2D02E4C1" w14:textId="77777777" w:rsidR="00310EFD" w:rsidRPr="00310EFD" w:rsidRDefault="00310EFD" w:rsidP="00842C8A">
      <w:pPr>
        <w:ind w:right="107"/>
        <w:jc w:val="both"/>
        <w:rPr>
          <w:color w:val="000000" w:themeColor="text1"/>
          <w:sz w:val="24"/>
          <w:szCs w:val="24"/>
        </w:rPr>
      </w:pPr>
    </w:p>
    <w:p w14:paraId="5F72606F" w14:textId="77777777" w:rsidR="00842C8A" w:rsidRDefault="00842C8A" w:rsidP="00842C8A">
      <w:pPr>
        <w:ind w:right="107"/>
        <w:jc w:val="both"/>
        <w:rPr>
          <w:color w:val="000000" w:themeColor="text1"/>
          <w:sz w:val="24"/>
          <w:szCs w:val="24"/>
        </w:rPr>
      </w:pPr>
      <w:r w:rsidRPr="00310EFD">
        <w:rPr>
          <w:color w:val="000000" w:themeColor="text1"/>
          <w:sz w:val="24"/>
          <w:szCs w:val="24"/>
        </w:rPr>
        <w:lastRenderedPageBreak/>
        <w:t xml:space="preserve">When considering bailing the suspect, I started implementing the “Gather information and intelligence” from the National Decision Model and checked if the suspect had an address registered in the police system NICHE. As this came back as negative and I knew from the body worn video footage of the arrest that the suspect disclosed he did not have an address, I explained the situation to the suspect and he provided his mother’s address. I was aware the suspect had been flagged as a serial domestic violence perpetrator but there was only one instance on record between himself and the victim of this case. Therefore, I explored his domestic violence history in case it would involve his family. I identified two reports of domestic incidents where the suspect shouted abuse at his mother and his brother who would sometimes stay at their mother’s house, threatened to cause criminal damage to the property, and it had been noted that his mother did not want the suspect at her address while he was under the influence of alcohol (which was the case in every incident reported). The mother is also considered vulnerable due to her advanced age, and dementia and schizophrenia diagnoses. </w:t>
      </w:r>
    </w:p>
    <w:p w14:paraId="409FA98C" w14:textId="77777777" w:rsidR="00310EFD" w:rsidRPr="00310EFD" w:rsidRDefault="00310EFD" w:rsidP="00842C8A">
      <w:pPr>
        <w:ind w:right="107"/>
        <w:jc w:val="both"/>
        <w:rPr>
          <w:color w:val="000000" w:themeColor="text1"/>
          <w:sz w:val="24"/>
          <w:szCs w:val="24"/>
        </w:rPr>
      </w:pPr>
    </w:p>
    <w:p w14:paraId="41EA7D5C" w14:textId="77777777" w:rsidR="00842C8A" w:rsidRPr="00310EFD" w:rsidRDefault="00842C8A" w:rsidP="00842C8A">
      <w:pPr>
        <w:ind w:right="107"/>
        <w:jc w:val="both"/>
        <w:rPr>
          <w:color w:val="000000" w:themeColor="text1"/>
          <w:sz w:val="24"/>
          <w:szCs w:val="24"/>
        </w:rPr>
      </w:pPr>
      <w:r w:rsidRPr="00310EFD">
        <w:rPr>
          <w:color w:val="000000" w:themeColor="text1"/>
          <w:sz w:val="24"/>
          <w:szCs w:val="24"/>
        </w:rPr>
        <w:t>My next considerations were based on the element “Assess threat and risk and develop a working strategy”. I started by learning about these two incidents: they happened in the past two months, the suspect was under the influence of alcohol, he shouted abuse to the mother and the brother, the mother was very distressed by the suspect’s behaviour, there were no incidents of physical assault or damage, and in both instances the family did not support prosecution and explained they just wanted advice on how to be safe without criminalising the suspect. I believed there was not a significant threat therefore I decided that I should contact the family to ensure they would support having the suspect at the address.</w:t>
      </w:r>
    </w:p>
    <w:p w14:paraId="5BD7FE06" w14:textId="77777777" w:rsidR="00842C8A" w:rsidRDefault="00842C8A" w:rsidP="00842C8A">
      <w:pPr>
        <w:ind w:right="107"/>
        <w:jc w:val="both"/>
        <w:rPr>
          <w:color w:val="000000" w:themeColor="text1"/>
          <w:sz w:val="24"/>
          <w:szCs w:val="24"/>
        </w:rPr>
      </w:pPr>
      <w:r w:rsidRPr="00310EFD">
        <w:rPr>
          <w:color w:val="000000" w:themeColor="text1"/>
          <w:sz w:val="24"/>
          <w:szCs w:val="24"/>
        </w:rPr>
        <w:t xml:space="preserve">The following steps were taken based on the element “Consider powers and policy”. After updating my Supervisor, I called the mother and the brother to explain the situation and ask if they were happy to have the suspect residing at the mother’s address. I spoke with the brother who asked if he could know the circumstances of the arrest, however guided by the Data Protection Act (2018) I could not provide that information as the suspect is over the age of 18 I could not provide such information without his consent. </w:t>
      </w:r>
    </w:p>
    <w:p w14:paraId="30D0B0C7" w14:textId="77777777" w:rsidR="00310EFD" w:rsidRPr="00310EFD" w:rsidRDefault="00310EFD" w:rsidP="00842C8A">
      <w:pPr>
        <w:ind w:right="107"/>
        <w:jc w:val="both"/>
        <w:rPr>
          <w:color w:val="000000" w:themeColor="text1"/>
          <w:sz w:val="24"/>
          <w:szCs w:val="24"/>
        </w:rPr>
      </w:pPr>
    </w:p>
    <w:p w14:paraId="08391096" w14:textId="77777777" w:rsidR="00842C8A" w:rsidRDefault="00842C8A" w:rsidP="00842C8A">
      <w:pPr>
        <w:ind w:right="107"/>
        <w:jc w:val="both"/>
        <w:rPr>
          <w:color w:val="000000" w:themeColor="text1"/>
          <w:sz w:val="24"/>
          <w:szCs w:val="24"/>
        </w:rPr>
      </w:pPr>
      <w:r w:rsidRPr="00310EFD">
        <w:rPr>
          <w:color w:val="000000" w:themeColor="text1"/>
          <w:sz w:val="24"/>
          <w:szCs w:val="24"/>
        </w:rPr>
        <w:t>The brother and mother did not consent to the suspect to stay at their address, therefore I focused on the element “Identify options and contingencies”. The first option had been the mother’s address but as this was no longer an option I spoke with the suspect and asked for a different address. The suspect said he could stay with a friend and he provided the friend’s contact. In the meantime, I discussed other options with the suspect and he said he had just been paid and had enough money to stay in a hotel that night. I also talked with the Custody Sergeant about options such as a homeless shelter which would be an unlikely option as it was so late in the night that they would not be taking people at that time. Considering again powers and policy, we would not be able to keep the suspect in custody because there was not an investigative need and the suspect would not be unsafe being released because he could go to a hotel. Therefore, the contingency plan would be to alter his bail conditions.</w:t>
      </w:r>
    </w:p>
    <w:p w14:paraId="0274D217" w14:textId="77777777" w:rsidR="00310EFD" w:rsidRPr="00310EFD" w:rsidRDefault="00310EFD" w:rsidP="00842C8A">
      <w:pPr>
        <w:ind w:right="107"/>
        <w:jc w:val="both"/>
        <w:rPr>
          <w:color w:val="000000" w:themeColor="text1"/>
          <w:sz w:val="24"/>
          <w:szCs w:val="24"/>
        </w:rPr>
      </w:pPr>
    </w:p>
    <w:p w14:paraId="103E0D42" w14:textId="77777777" w:rsidR="00842C8A" w:rsidRDefault="00842C8A" w:rsidP="00842C8A">
      <w:pPr>
        <w:ind w:right="107"/>
        <w:jc w:val="both"/>
        <w:rPr>
          <w:color w:val="000000" w:themeColor="text1"/>
          <w:sz w:val="24"/>
          <w:szCs w:val="24"/>
        </w:rPr>
      </w:pPr>
      <w:r w:rsidRPr="00310EFD">
        <w:rPr>
          <w:color w:val="000000" w:themeColor="text1"/>
          <w:sz w:val="24"/>
          <w:szCs w:val="24"/>
        </w:rPr>
        <w:t xml:space="preserve">Unfortunately, I was unable to reach the friend and this was no longer an option and the suspect had to be released on bail without an address. I then based my actions on the element “Take action and review what happened”. After a discussion with my Sergeant, the bail conditions were amended - instead of having a condition for the suspect to reside at a certain address, the would need to attend Cardiff Bay Police Station at a given day every week to sign bail. In the eventuality the suspect would breach a condition he could </w:t>
      </w:r>
      <w:r w:rsidRPr="00310EFD">
        <w:rPr>
          <w:color w:val="000000" w:themeColor="text1"/>
          <w:sz w:val="24"/>
          <w:szCs w:val="24"/>
        </w:rPr>
        <w:lastRenderedPageBreak/>
        <w:t xml:space="preserve">then be arrested when attending the police station to sign bail. This would also allow to monitor he was safe and doing well enough to attend the station. To finalise this process, I had to provide a rationale for this decision and evidence all the steps I had taken to ensure the suspect’s safety. I was unable to identify which different steps I could have taken to improve the outcome of the situation, however I was pleased that despite work pressure and time constraints I checked the viability of the address provided and checked in with the family. Had I not done this, the suspect would attend his mother address at late hours of the night, cause great distress to his family and potentially a new incident could have risen. </w:t>
      </w:r>
    </w:p>
    <w:p w14:paraId="6FC7FBCF" w14:textId="77777777" w:rsidR="00310EFD" w:rsidRPr="00310EFD" w:rsidRDefault="00310EFD" w:rsidP="00842C8A">
      <w:pPr>
        <w:ind w:right="107"/>
        <w:jc w:val="both"/>
        <w:rPr>
          <w:color w:val="000000" w:themeColor="text1"/>
          <w:sz w:val="24"/>
          <w:szCs w:val="24"/>
        </w:rPr>
      </w:pPr>
    </w:p>
    <w:p w14:paraId="378F4A62" w14:textId="564C31AF" w:rsidR="00842C8A" w:rsidRDefault="00842C8A" w:rsidP="00842C8A">
      <w:pPr>
        <w:ind w:right="107"/>
        <w:jc w:val="both"/>
        <w:rPr>
          <w:color w:val="000000" w:themeColor="text1"/>
          <w:sz w:val="24"/>
          <w:szCs w:val="24"/>
        </w:rPr>
      </w:pPr>
      <w:r w:rsidRPr="00310EFD">
        <w:rPr>
          <w:color w:val="000000" w:themeColor="text1"/>
          <w:sz w:val="24"/>
          <w:szCs w:val="24"/>
        </w:rPr>
        <w:t>Adherence to the Code of Ethics was evident throughout this process. I held myself accountable for safeguarding the suspect as well as his family by ensuring he had an address without causing distress to the family, I showed integrity and objectivity by following policing policies and trying to solve this issue to the best of my abilities, and I believe I acted fairly and respectfully by contacting the family and keeping the family updated (with the suspect’s consent) but also discussing options with the suspect while empathising for the challenging situation he was in.</w:t>
      </w:r>
      <w:r w:rsidR="00836B1D">
        <w:rPr>
          <w:color w:val="000000" w:themeColor="text1"/>
          <w:sz w:val="24"/>
          <w:szCs w:val="24"/>
        </w:rPr>
        <w:t xml:space="preserve"> Going forwards, I will</w:t>
      </w:r>
      <w:r w:rsidR="008C7875">
        <w:rPr>
          <w:color w:val="000000" w:themeColor="text1"/>
          <w:sz w:val="24"/>
          <w:szCs w:val="24"/>
        </w:rPr>
        <w:t xml:space="preserve"> ask at the start of the interview if the suspect has alternative addresses and carry checks on these addresses at an early stage without adding extra pressure on myself, the suspect or the investigation. Furthermore, I will also be compiling a list of homeless shelters to have as another alternative. </w:t>
      </w:r>
    </w:p>
    <w:p w14:paraId="6318AA64" w14:textId="77777777" w:rsidR="00310EFD" w:rsidRPr="00310EFD" w:rsidRDefault="00310EFD" w:rsidP="00842C8A">
      <w:pPr>
        <w:ind w:right="107"/>
        <w:jc w:val="both"/>
        <w:rPr>
          <w:color w:val="000000" w:themeColor="text1"/>
          <w:sz w:val="24"/>
          <w:szCs w:val="24"/>
        </w:rPr>
      </w:pPr>
    </w:p>
    <w:p w14:paraId="0F256E4B" w14:textId="77777777" w:rsidR="00842C8A" w:rsidRPr="00310EFD" w:rsidRDefault="00842C8A" w:rsidP="00842C8A">
      <w:pPr>
        <w:ind w:right="107"/>
        <w:jc w:val="both"/>
        <w:rPr>
          <w:color w:val="000000" w:themeColor="text1"/>
          <w:sz w:val="24"/>
          <w:szCs w:val="24"/>
        </w:rPr>
      </w:pPr>
      <w:r w:rsidRPr="00310EFD">
        <w:rPr>
          <w:color w:val="000000" w:themeColor="text1"/>
          <w:sz w:val="24"/>
          <w:szCs w:val="24"/>
        </w:rPr>
        <w:t xml:space="preserve">As the disclosure officer, I was responsible for following CPIA 1996 and building the case file. This meant assessing which material was evidential, relevant to the investigation but without evidential value, or undermining to the prosecution. Following the Case Management Guidance (2023), I redacted the police NICHE updates, body worn video and the suspect detention log as personal information that is not relevant to the investigation should not be disclosed. In this case, I redacted witnesses phone number and addresses, and medical information on the suspect. As in this case the suspect was the one calling the police for help, I included the 999 call as undermining material. This allows the prosecution to prepare for the possibility of the defence using this call to dispute the case. </w:t>
      </w:r>
    </w:p>
    <w:p w14:paraId="363979F9" w14:textId="77777777" w:rsidR="006C7CA5" w:rsidRPr="00310EFD" w:rsidRDefault="006C7CA5" w:rsidP="00E6298B">
      <w:pPr>
        <w:ind w:right="107"/>
        <w:jc w:val="both"/>
        <w:rPr>
          <w:color w:val="000000" w:themeColor="text1"/>
          <w:sz w:val="24"/>
          <w:szCs w:val="24"/>
        </w:rPr>
      </w:pPr>
    </w:p>
    <w:p w14:paraId="2CF3D254" w14:textId="6CD67313" w:rsidR="00842C8A" w:rsidRPr="00310EFD" w:rsidRDefault="00842C8A" w:rsidP="00E6298B">
      <w:pPr>
        <w:ind w:right="107"/>
        <w:jc w:val="both"/>
        <w:rPr>
          <w:color w:val="000000" w:themeColor="text1"/>
          <w:sz w:val="24"/>
          <w:szCs w:val="24"/>
        </w:rPr>
      </w:pPr>
      <w:r w:rsidRPr="00310EFD">
        <w:rPr>
          <w:color w:val="000000" w:themeColor="text1"/>
          <w:sz w:val="24"/>
          <w:szCs w:val="24"/>
        </w:rPr>
        <w:t>Word count: 18</w:t>
      </w:r>
      <w:r w:rsidR="008C7875">
        <w:rPr>
          <w:color w:val="000000" w:themeColor="text1"/>
          <w:sz w:val="24"/>
          <w:szCs w:val="24"/>
        </w:rPr>
        <w:t>89</w:t>
      </w:r>
    </w:p>
    <w:p w14:paraId="55E8513B" w14:textId="77777777" w:rsidR="00025650" w:rsidRPr="00310EFD" w:rsidRDefault="00025650" w:rsidP="00E6298B">
      <w:pPr>
        <w:ind w:right="107"/>
        <w:jc w:val="both"/>
        <w:rPr>
          <w:color w:val="000000" w:themeColor="text1"/>
          <w:sz w:val="24"/>
          <w:szCs w:val="24"/>
        </w:rPr>
      </w:pPr>
    </w:p>
    <w:p w14:paraId="4C811AD3" w14:textId="77777777" w:rsidR="00025650" w:rsidRPr="00310EFD" w:rsidRDefault="00025650" w:rsidP="00E6298B">
      <w:pPr>
        <w:ind w:right="107"/>
        <w:jc w:val="both"/>
        <w:rPr>
          <w:color w:val="000000" w:themeColor="text1"/>
          <w:sz w:val="24"/>
          <w:szCs w:val="24"/>
        </w:rPr>
      </w:pPr>
    </w:p>
    <w:p w14:paraId="0FEEFB0E" w14:textId="77777777" w:rsidR="00025650" w:rsidRPr="00310EFD" w:rsidRDefault="00025650" w:rsidP="00E6298B">
      <w:pPr>
        <w:ind w:right="107"/>
        <w:jc w:val="both"/>
        <w:rPr>
          <w:color w:val="000000" w:themeColor="text1"/>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C6B08C" w14:textId="77777777" w:rsidR="00043587" w:rsidRDefault="00043587" w:rsidP="4990BB04">
      <w:pPr>
        <w:ind w:right="107"/>
        <w:jc w:val="both"/>
        <w:rPr>
          <w:rFonts w:eastAsia="Arial"/>
          <w:color w:val="000000" w:themeColor="text1"/>
          <w:sz w:val="24"/>
          <w:szCs w:val="24"/>
          <w:highlight w:val="yellow"/>
        </w:rPr>
      </w:pPr>
    </w:p>
    <w:p w14:paraId="2B1FFF7F" w14:textId="1223031F" w:rsidR="000F7ECD" w:rsidRPr="00043587" w:rsidRDefault="00043587" w:rsidP="4990BB04">
      <w:pPr>
        <w:ind w:right="107"/>
        <w:jc w:val="both"/>
        <w:rPr>
          <w:rFonts w:eastAsia="Arial"/>
          <w:color w:val="000000" w:themeColor="text1"/>
          <w:sz w:val="24"/>
          <w:szCs w:val="24"/>
        </w:rPr>
      </w:pPr>
      <w:r w:rsidRPr="00043587">
        <w:rPr>
          <w:rFonts w:eastAsia="Arial"/>
          <w:color w:val="000000" w:themeColor="text1"/>
          <w:sz w:val="24"/>
          <w:szCs w:val="24"/>
        </w:rPr>
        <w:t>After the initial 6 month training I went to the Investigations Hub for 3 months. I only started on response on 17</w:t>
      </w:r>
      <w:r w:rsidRPr="00043587">
        <w:rPr>
          <w:rFonts w:eastAsia="Arial"/>
          <w:color w:val="000000" w:themeColor="text1"/>
          <w:sz w:val="24"/>
          <w:szCs w:val="24"/>
          <w:vertAlign w:val="superscript"/>
        </w:rPr>
        <w:t>th</w:t>
      </w:r>
      <w:r w:rsidRPr="00043587">
        <w:rPr>
          <w:rFonts w:eastAsia="Arial"/>
          <w:color w:val="000000" w:themeColor="text1"/>
          <w:sz w:val="24"/>
          <w:szCs w:val="24"/>
        </w:rPr>
        <w:t xml:space="preserve"> June, therefore I will only have Independent Patrol Status in 3 months time.</w:t>
      </w:r>
    </w:p>
    <w:p w14:paraId="5A7AC463" w14:textId="77777777" w:rsidR="00310EFD" w:rsidRPr="007E671A" w:rsidRDefault="00310EFD" w:rsidP="00310EFD">
      <w:pPr>
        <w:spacing w:before="240"/>
        <w:jc w:val="both"/>
        <w:rPr>
          <w:color w:val="auto"/>
          <w:sz w:val="24"/>
          <w:szCs w:val="24"/>
        </w:rPr>
      </w:pPr>
      <w:r w:rsidRPr="007E671A">
        <w:rPr>
          <w:color w:val="auto"/>
          <w:sz w:val="24"/>
          <w:szCs w:val="24"/>
        </w:rPr>
        <w:t xml:space="preserve">American Psychological Association (2019) </w:t>
      </w:r>
      <w:r w:rsidRPr="007E671A">
        <w:rPr>
          <w:rFonts w:eastAsia="Aptos"/>
          <w:i/>
          <w:iCs/>
          <w:color w:val="auto"/>
          <w:sz w:val="24"/>
          <w:szCs w:val="24"/>
        </w:rPr>
        <w:t>Mindfulness meditation: A research-proven way to reduce stress.</w:t>
      </w:r>
      <w:r w:rsidRPr="007E671A">
        <w:rPr>
          <w:rFonts w:eastAsia="Aptos"/>
          <w:color w:val="auto"/>
          <w:sz w:val="24"/>
          <w:szCs w:val="24"/>
        </w:rPr>
        <w:t xml:space="preserve"> Available at: </w:t>
      </w:r>
      <w:hyperlink r:id="rId22" w:history="1">
        <w:r w:rsidRPr="007E671A">
          <w:rPr>
            <w:rStyle w:val="Hyperlink"/>
            <w:rFonts w:eastAsia="Aptos"/>
            <w:color w:val="auto"/>
            <w:sz w:val="24"/>
            <w:szCs w:val="24"/>
            <w:u w:val="none"/>
          </w:rPr>
          <w:t>https://www.apa.org/topics/mindfulness/meditation</w:t>
        </w:r>
      </w:hyperlink>
      <w:r w:rsidRPr="007E671A">
        <w:rPr>
          <w:rFonts w:eastAsia="Aptos"/>
          <w:color w:val="auto"/>
          <w:sz w:val="24"/>
          <w:szCs w:val="24"/>
        </w:rPr>
        <w:t xml:space="preserve"> (Accessed: 20 March 2024).</w:t>
      </w:r>
    </w:p>
    <w:p w14:paraId="32CCEF1F" w14:textId="77777777" w:rsidR="00310EFD" w:rsidRPr="007E671A" w:rsidRDefault="00310EFD" w:rsidP="00310EFD">
      <w:pPr>
        <w:spacing w:before="240"/>
        <w:jc w:val="both"/>
        <w:rPr>
          <w:color w:val="auto"/>
          <w:sz w:val="24"/>
          <w:szCs w:val="24"/>
        </w:rPr>
      </w:pPr>
      <w:r w:rsidRPr="007E671A">
        <w:rPr>
          <w:color w:val="auto"/>
          <w:sz w:val="24"/>
          <w:szCs w:val="24"/>
        </w:rPr>
        <w:t xml:space="preserve">American Psychological Association (2024) </w:t>
      </w:r>
      <w:r w:rsidRPr="007E671A">
        <w:rPr>
          <w:i/>
          <w:iCs/>
          <w:color w:val="auto"/>
          <w:sz w:val="24"/>
          <w:szCs w:val="24"/>
        </w:rPr>
        <w:t>Resilience</w:t>
      </w:r>
      <w:r w:rsidRPr="007E671A">
        <w:rPr>
          <w:color w:val="auto"/>
          <w:sz w:val="24"/>
          <w:szCs w:val="24"/>
        </w:rPr>
        <w:t xml:space="preserve">. Available at: </w:t>
      </w:r>
      <w:hyperlink r:id="rId23" w:history="1">
        <w:r w:rsidRPr="007E671A">
          <w:rPr>
            <w:rStyle w:val="Hyperlink"/>
            <w:color w:val="auto"/>
            <w:sz w:val="24"/>
            <w:szCs w:val="24"/>
            <w:u w:val="none"/>
          </w:rPr>
          <w:t>https://www.apa.org/topics/resilience</w:t>
        </w:r>
      </w:hyperlink>
      <w:r w:rsidRPr="007E671A">
        <w:rPr>
          <w:color w:val="auto"/>
          <w:sz w:val="24"/>
          <w:szCs w:val="24"/>
        </w:rPr>
        <w:t xml:space="preserve"> (Accessed: 20 March 2024).</w:t>
      </w:r>
    </w:p>
    <w:p w14:paraId="7AFE33FA" w14:textId="77777777" w:rsidR="00310EFD" w:rsidRPr="007E671A" w:rsidRDefault="00310EFD" w:rsidP="00310EFD">
      <w:pPr>
        <w:spacing w:before="240"/>
        <w:jc w:val="both"/>
        <w:rPr>
          <w:color w:val="auto"/>
          <w:sz w:val="24"/>
          <w:szCs w:val="24"/>
        </w:rPr>
      </w:pPr>
      <w:r w:rsidRPr="007E671A">
        <w:rPr>
          <w:color w:val="auto"/>
          <w:sz w:val="24"/>
          <w:szCs w:val="24"/>
        </w:rPr>
        <w:t xml:space="preserve">Acquadro Maran, D., Zedda, M. and Varetto, A. (2018) ‘Physical Practice and Wellness Courses Reduce Distress and Improve Wellbeing in Police Officers’, </w:t>
      </w:r>
      <w:r w:rsidRPr="007E671A">
        <w:rPr>
          <w:i/>
          <w:iCs/>
          <w:color w:val="auto"/>
          <w:sz w:val="24"/>
          <w:szCs w:val="24"/>
        </w:rPr>
        <w:t>International journal of environmental research and public health</w:t>
      </w:r>
      <w:r w:rsidRPr="007E671A">
        <w:rPr>
          <w:color w:val="auto"/>
          <w:sz w:val="24"/>
          <w:szCs w:val="24"/>
        </w:rPr>
        <w:t xml:space="preserve">, 15(4), pp. 578-. Available at: </w:t>
      </w:r>
      <w:hyperlink r:id="rId24" w:history="1">
        <w:r w:rsidRPr="007E671A">
          <w:rPr>
            <w:rStyle w:val="Hyperlink"/>
            <w:color w:val="auto"/>
            <w:sz w:val="24"/>
            <w:szCs w:val="24"/>
            <w:u w:val="none"/>
          </w:rPr>
          <w:t>https://doi.org/10.3390/ijerph15040578</w:t>
        </w:r>
      </w:hyperlink>
      <w:r w:rsidRPr="007E671A">
        <w:rPr>
          <w:color w:val="auto"/>
          <w:sz w:val="24"/>
          <w:szCs w:val="24"/>
        </w:rPr>
        <w:t xml:space="preserve">. </w:t>
      </w:r>
    </w:p>
    <w:p w14:paraId="051CF51C" w14:textId="77777777" w:rsidR="00310EFD" w:rsidRPr="007E671A" w:rsidRDefault="00310EFD" w:rsidP="00310EFD">
      <w:pPr>
        <w:spacing w:before="240"/>
        <w:jc w:val="both"/>
        <w:rPr>
          <w:color w:val="auto"/>
          <w:sz w:val="24"/>
          <w:szCs w:val="24"/>
        </w:rPr>
      </w:pPr>
      <w:r w:rsidRPr="007E671A">
        <w:rPr>
          <w:color w:val="auto"/>
          <w:sz w:val="24"/>
          <w:szCs w:val="24"/>
        </w:rPr>
        <w:t>Bates E. A. (2019b). “No one would ever believe me”: An exploration of the impact of partner intimate partner violence victimization on men. </w:t>
      </w:r>
      <w:r w:rsidRPr="007E671A">
        <w:rPr>
          <w:i/>
          <w:iCs/>
          <w:color w:val="auto"/>
          <w:sz w:val="24"/>
          <w:szCs w:val="24"/>
        </w:rPr>
        <w:t>Psychology of Men and Masculinities</w:t>
      </w:r>
      <w:r w:rsidRPr="007E671A">
        <w:rPr>
          <w:color w:val="auto"/>
          <w:sz w:val="24"/>
          <w:szCs w:val="24"/>
        </w:rPr>
        <w:t>. Advance online publication. </w:t>
      </w:r>
      <w:hyperlink r:id="rId25" w:history="1">
        <w:r w:rsidRPr="007E671A">
          <w:rPr>
            <w:color w:val="auto"/>
            <w:sz w:val="24"/>
            <w:szCs w:val="24"/>
          </w:rPr>
          <w:t>https://doi-org.ezproxy.uwtsd.ac.uk/10.1037/men0000206</w:t>
        </w:r>
      </w:hyperlink>
    </w:p>
    <w:p w14:paraId="42F3ED3E" w14:textId="77777777" w:rsidR="00310EFD" w:rsidRPr="007E671A" w:rsidRDefault="00310EFD" w:rsidP="00310EFD">
      <w:pPr>
        <w:spacing w:before="240"/>
        <w:jc w:val="both"/>
        <w:rPr>
          <w:color w:val="auto"/>
          <w:sz w:val="24"/>
          <w:szCs w:val="24"/>
        </w:rPr>
      </w:pPr>
      <w:r w:rsidRPr="007E671A">
        <w:rPr>
          <w:color w:val="auto"/>
          <w:sz w:val="24"/>
          <w:szCs w:val="24"/>
        </w:rPr>
        <w:t xml:space="preserve">Batty, E. and Reeve, K. (2011) </w:t>
      </w:r>
      <w:r w:rsidRPr="007E671A">
        <w:rPr>
          <w:i/>
          <w:iCs/>
          <w:color w:val="auto"/>
          <w:sz w:val="24"/>
          <w:szCs w:val="24"/>
        </w:rPr>
        <w:t>The Hidden truth about Homelessness: experiences of single homelessness in England.</w:t>
      </w:r>
      <w:r w:rsidRPr="007E671A">
        <w:rPr>
          <w:color w:val="auto"/>
          <w:sz w:val="24"/>
          <w:szCs w:val="24"/>
        </w:rPr>
        <w:t xml:space="preserve"> London: Crisis</w:t>
      </w:r>
    </w:p>
    <w:p w14:paraId="22E13499" w14:textId="77777777" w:rsidR="00310EFD" w:rsidRPr="007E671A" w:rsidRDefault="00310EFD" w:rsidP="00310EFD">
      <w:pPr>
        <w:spacing w:before="240"/>
        <w:jc w:val="both"/>
        <w:rPr>
          <w:rStyle w:val="cf01"/>
          <w:rFonts w:ascii="Arial" w:hAnsi="Arial" w:cs="Arial"/>
          <w:color w:val="auto"/>
          <w:sz w:val="24"/>
          <w:szCs w:val="24"/>
        </w:rPr>
      </w:pPr>
      <w:r w:rsidRPr="007E671A">
        <w:rPr>
          <w:rStyle w:val="cf01"/>
          <w:rFonts w:ascii="Arial" w:hAnsi="Arial" w:cs="Arial"/>
          <w:color w:val="auto"/>
          <w:sz w:val="24"/>
          <w:szCs w:val="24"/>
        </w:rPr>
        <w:t xml:space="preserve">Borton, T. (1970) </w:t>
      </w:r>
      <w:r w:rsidRPr="007E671A">
        <w:rPr>
          <w:rStyle w:val="cf11"/>
          <w:rFonts w:ascii="Arial" w:hAnsi="Arial" w:cs="Arial"/>
          <w:color w:val="auto"/>
          <w:sz w:val="24"/>
          <w:szCs w:val="24"/>
        </w:rPr>
        <w:t>Reach Touch and Teach</w:t>
      </w:r>
      <w:r w:rsidRPr="007E671A">
        <w:rPr>
          <w:rStyle w:val="cf01"/>
          <w:rFonts w:ascii="Arial" w:hAnsi="Arial" w:cs="Arial"/>
          <w:color w:val="auto"/>
          <w:sz w:val="24"/>
          <w:szCs w:val="24"/>
        </w:rPr>
        <w:t>. New York: McGraw-Hill Paperbacks.</w:t>
      </w:r>
    </w:p>
    <w:p w14:paraId="34AB9997" w14:textId="77777777" w:rsidR="00310EFD" w:rsidRPr="007E671A" w:rsidRDefault="00310EFD" w:rsidP="00310EFD">
      <w:pPr>
        <w:spacing w:before="240"/>
        <w:jc w:val="both"/>
        <w:rPr>
          <w:rStyle w:val="cf01"/>
          <w:rFonts w:ascii="Arial" w:hAnsi="Arial" w:cs="Arial"/>
          <w:color w:val="auto"/>
          <w:sz w:val="24"/>
          <w:szCs w:val="24"/>
        </w:rPr>
      </w:pPr>
      <w:r w:rsidRPr="007E671A">
        <w:rPr>
          <w:rStyle w:val="cf01"/>
          <w:rFonts w:ascii="Arial" w:hAnsi="Arial" w:cs="Arial"/>
          <w:color w:val="auto"/>
          <w:sz w:val="24"/>
          <w:szCs w:val="24"/>
        </w:rPr>
        <w:t>Case Progression Unit (2023) Case Management Guidance. Available at: Internal Cardiff and the Vale Basic Command Unit (Accessed: 3 May 2024).</w:t>
      </w:r>
    </w:p>
    <w:p w14:paraId="362FFEB0" w14:textId="77777777" w:rsidR="00310EFD" w:rsidRPr="007E671A" w:rsidRDefault="00310EFD" w:rsidP="00310EFD">
      <w:pPr>
        <w:spacing w:before="240"/>
        <w:jc w:val="both"/>
        <w:rPr>
          <w:color w:val="auto"/>
          <w:sz w:val="24"/>
          <w:szCs w:val="24"/>
        </w:rPr>
      </w:pPr>
      <w:r w:rsidRPr="007E671A">
        <w:rPr>
          <w:color w:val="auto"/>
          <w:sz w:val="24"/>
          <w:szCs w:val="24"/>
        </w:rPr>
        <w:t xml:space="preserve">College of Policing (2014) </w:t>
      </w:r>
      <w:r w:rsidRPr="007E671A">
        <w:rPr>
          <w:i/>
          <w:iCs/>
          <w:color w:val="auto"/>
          <w:sz w:val="24"/>
          <w:szCs w:val="24"/>
        </w:rPr>
        <w:t xml:space="preserve">Code of Ethics. </w:t>
      </w:r>
      <w:r w:rsidRPr="007E671A">
        <w:rPr>
          <w:color w:val="auto"/>
          <w:sz w:val="24"/>
          <w:szCs w:val="24"/>
        </w:rPr>
        <w:t>Available at: https://www.college.police.uk/ethics/code-of-ethics (Accessed 3 March 2024).</w:t>
      </w:r>
    </w:p>
    <w:p w14:paraId="6A4A6EB1" w14:textId="77777777" w:rsidR="00310EFD" w:rsidRPr="007E671A" w:rsidRDefault="00310EFD" w:rsidP="00310EFD">
      <w:pPr>
        <w:spacing w:before="240"/>
        <w:jc w:val="both"/>
        <w:rPr>
          <w:rStyle w:val="cf01"/>
          <w:rFonts w:ascii="Arial" w:hAnsi="Arial" w:cs="Arial"/>
          <w:color w:val="auto"/>
          <w:sz w:val="24"/>
          <w:szCs w:val="24"/>
        </w:rPr>
      </w:pPr>
      <w:r w:rsidRPr="007E671A">
        <w:rPr>
          <w:color w:val="auto"/>
          <w:sz w:val="24"/>
          <w:szCs w:val="24"/>
        </w:rPr>
        <w:t xml:space="preserve">College of Policing (2014) </w:t>
      </w:r>
      <w:r w:rsidRPr="007E671A">
        <w:rPr>
          <w:i/>
          <w:iCs/>
          <w:color w:val="auto"/>
          <w:sz w:val="24"/>
          <w:szCs w:val="24"/>
        </w:rPr>
        <w:t xml:space="preserve">Ethical Policing Principles. </w:t>
      </w:r>
      <w:r w:rsidRPr="007E671A">
        <w:rPr>
          <w:color w:val="auto"/>
          <w:sz w:val="24"/>
          <w:szCs w:val="24"/>
        </w:rPr>
        <w:t xml:space="preserve">Available at: </w:t>
      </w:r>
      <w:hyperlink r:id="rId26" w:history="1">
        <w:r w:rsidRPr="007E671A">
          <w:rPr>
            <w:rStyle w:val="Hyperlink"/>
            <w:color w:val="auto"/>
            <w:sz w:val="24"/>
            <w:szCs w:val="24"/>
            <w:u w:val="none"/>
          </w:rPr>
          <w:t>https://www.college.police.uk/ethics/code-of-ethics/principles</w:t>
        </w:r>
      </w:hyperlink>
      <w:r w:rsidRPr="007E671A">
        <w:rPr>
          <w:rStyle w:val="cf01"/>
          <w:rFonts w:ascii="Arial" w:hAnsi="Arial" w:cs="Arial"/>
          <w:color w:val="auto"/>
          <w:sz w:val="24"/>
          <w:szCs w:val="24"/>
        </w:rPr>
        <w:t xml:space="preserve"> (Accessed: 3 March 2024 and 29 May 2024).</w:t>
      </w:r>
    </w:p>
    <w:p w14:paraId="44856473" w14:textId="77777777" w:rsidR="00310EFD" w:rsidRPr="007E671A" w:rsidRDefault="00310EFD" w:rsidP="00310EFD">
      <w:pPr>
        <w:spacing w:before="240"/>
        <w:jc w:val="both"/>
        <w:rPr>
          <w:color w:val="auto"/>
          <w:sz w:val="24"/>
          <w:szCs w:val="24"/>
        </w:rPr>
      </w:pPr>
      <w:r w:rsidRPr="007E671A">
        <w:rPr>
          <w:color w:val="auto"/>
          <w:sz w:val="24"/>
          <w:szCs w:val="24"/>
        </w:rPr>
        <w:t xml:space="preserve">College of Policing (2014) </w:t>
      </w:r>
      <w:r w:rsidRPr="007E671A">
        <w:rPr>
          <w:i/>
          <w:iCs/>
          <w:color w:val="auto"/>
          <w:sz w:val="24"/>
          <w:szCs w:val="24"/>
        </w:rPr>
        <w:t xml:space="preserve">National Decision Model. </w:t>
      </w:r>
      <w:r w:rsidRPr="007E671A">
        <w:rPr>
          <w:color w:val="auto"/>
          <w:sz w:val="24"/>
          <w:szCs w:val="24"/>
        </w:rPr>
        <w:t>Available at: https://www.app.college.police.uk/app-content/national-decision-model/the-national-decision-model/?highlight=CRITICAL%20INCIDENTS (Accessed 3 March 2024).</w:t>
      </w:r>
    </w:p>
    <w:p w14:paraId="4C6B7C0C" w14:textId="77777777" w:rsidR="00310EFD" w:rsidRPr="007E671A" w:rsidRDefault="00310EFD" w:rsidP="00310EFD">
      <w:pPr>
        <w:spacing w:before="240"/>
        <w:jc w:val="both"/>
        <w:rPr>
          <w:color w:val="auto"/>
          <w:sz w:val="24"/>
          <w:szCs w:val="24"/>
        </w:rPr>
      </w:pPr>
      <w:r w:rsidRPr="007E671A">
        <w:rPr>
          <w:color w:val="auto"/>
          <w:sz w:val="24"/>
          <w:szCs w:val="24"/>
        </w:rPr>
        <w:t xml:space="preserve">College of Policing (2022) </w:t>
      </w:r>
      <w:r w:rsidRPr="007E671A">
        <w:rPr>
          <w:i/>
          <w:iCs/>
          <w:color w:val="auto"/>
          <w:sz w:val="24"/>
          <w:szCs w:val="24"/>
        </w:rPr>
        <w:t>Investigative Interviewing.</w:t>
      </w:r>
      <w:r w:rsidRPr="007E671A">
        <w:rPr>
          <w:color w:val="auto"/>
          <w:sz w:val="24"/>
          <w:szCs w:val="24"/>
        </w:rPr>
        <w:t xml:space="preserve"> Available at: </w:t>
      </w:r>
      <w:hyperlink r:id="rId27" w:history="1">
        <w:r w:rsidRPr="007E671A">
          <w:rPr>
            <w:rStyle w:val="Hyperlink"/>
            <w:color w:val="auto"/>
            <w:sz w:val="24"/>
            <w:szCs w:val="24"/>
            <w:u w:val="none"/>
          </w:rPr>
          <w:t>https://www.college.police.uk/app/investigation/investigative-interviewing/investigative-interviewing</w:t>
        </w:r>
      </w:hyperlink>
      <w:r w:rsidRPr="007E671A">
        <w:rPr>
          <w:color w:val="auto"/>
          <w:sz w:val="24"/>
          <w:szCs w:val="24"/>
        </w:rPr>
        <w:t xml:space="preserve"> (Accessed: 3 May 2024).</w:t>
      </w:r>
    </w:p>
    <w:p w14:paraId="5282C441" w14:textId="77777777" w:rsidR="00310EFD" w:rsidRPr="007E671A" w:rsidRDefault="00310EFD" w:rsidP="00310EFD">
      <w:pPr>
        <w:spacing w:before="240"/>
        <w:jc w:val="both"/>
        <w:rPr>
          <w:color w:val="auto"/>
          <w:sz w:val="24"/>
          <w:szCs w:val="24"/>
        </w:rPr>
      </w:pPr>
      <w:r w:rsidRPr="007E671A">
        <w:rPr>
          <w:color w:val="auto"/>
          <w:sz w:val="24"/>
          <w:szCs w:val="24"/>
        </w:rPr>
        <w:lastRenderedPageBreak/>
        <w:t xml:space="preserve">College of Policing (2024) </w:t>
      </w:r>
      <w:r w:rsidRPr="007E671A">
        <w:rPr>
          <w:i/>
          <w:iCs/>
          <w:color w:val="auto"/>
          <w:sz w:val="24"/>
          <w:szCs w:val="24"/>
        </w:rPr>
        <w:t>Investigation Process.</w:t>
      </w:r>
      <w:r w:rsidRPr="007E671A">
        <w:rPr>
          <w:color w:val="auto"/>
          <w:sz w:val="24"/>
          <w:szCs w:val="24"/>
        </w:rPr>
        <w:t xml:space="preserve"> Available at: </w:t>
      </w:r>
      <w:hyperlink r:id="rId28" w:history="1">
        <w:r w:rsidRPr="007E671A">
          <w:rPr>
            <w:rStyle w:val="Hyperlink"/>
            <w:color w:val="auto"/>
            <w:sz w:val="24"/>
            <w:szCs w:val="24"/>
            <w:u w:val="none"/>
          </w:rPr>
          <w:t>https://www.college.police.uk/app/investigation/investigation-process</w:t>
        </w:r>
      </w:hyperlink>
      <w:r w:rsidRPr="007E671A">
        <w:rPr>
          <w:color w:val="auto"/>
          <w:sz w:val="24"/>
          <w:szCs w:val="24"/>
        </w:rPr>
        <w:t xml:space="preserve"> (Accessed: 29 May 2024).</w:t>
      </w:r>
    </w:p>
    <w:p w14:paraId="7DAFE107" w14:textId="77777777" w:rsidR="00310EFD" w:rsidRPr="007E671A" w:rsidRDefault="00310EFD" w:rsidP="00310EFD">
      <w:pPr>
        <w:spacing w:before="240"/>
        <w:jc w:val="both"/>
        <w:rPr>
          <w:color w:val="auto"/>
          <w:sz w:val="24"/>
          <w:szCs w:val="24"/>
        </w:rPr>
      </w:pPr>
      <w:r w:rsidRPr="007E671A">
        <w:rPr>
          <w:color w:val="auto"/>
          <w:sz w:val="24"/>
          <w:szCs w:val="24"/>
        </w:rPr>
        <w:t>Cook P. W. (2009) </w:t>
      </w:r>
      <w:r w:rsidRPr="007E671A">
        <w:rPr>
          <w:i/>
          <w:iCs/>
          <w:color w:val="auto"/>
          <w:sz w:val="24"/>
          <w:szCs w:val="24"/>
        </w:rPr>
        <w:t>Abused men: The hidden side of domestic violence</w:t>
      </w:r>
      <w:r w:rsidRPr="007E671A">
        <w:rPr>
          <w:color w:val="auto"/>
          <w:sz w:val="24"/>
          <w:szCs w:val="24"/>
        </w:rPr>
        <w:t>. Praeger Publishers.</w:t>
      </w:r>
    </w:p>
    <w:p w14:paraId="5F58CD91" w14:textId="77777777" w:rsidR="00310EFD" w:rsidRPr="007E671A" w:rsidRDefault="00310EFD" w:rsidP="00310EFD">
      <w:pPr>
        <w:spacing w:before="240"/>
        <w:jc w:val="both"/>
        <w:rPr>
          <w:color w:val="auto"/>
          <w:sz w:val="24"/>
          <w:szCs w:val="24"/>
        </w:rPr>
      </w:pPr>
      <w:r w:rsidRPr="007E671A">
        <w:rPr>
          <w:i/>
          <w:iCs/>
          <w:color w:val="auto"/>
          <w:sz w:val="24"/>
          <w:szCs w:val="24"/>
        </w:rPr>
        <w:t>Criminal Procedure and Investigations Act 1996.</w:t>
      </w:r>
      <w:r w:rsidRPr="007E671A">
        <w:rPr>
          <w:color w:val="auto"/>
          <w:sz w:val="24"/>
          <w:szCs w:val="24"/>
        </w:rPr>
        <w:t xml:space="preserve"> Available at: https://www.legislation.gov.uk/ukpga/1996/25/contents. (Accessed: 29 May 2024).</w:t>
      </w:r>
    </w:p>
    <w:p w14:paraId="6CD30F9C" w14:textId="77777777" w:rsidR="00310EFD" w:rsidRPr="007E671A" w:rsidRDefault="00310EFD" w:rsidP="00310EFD">
      <w:pPr>
        <w:spacing w:before="240"/>
        <w:jc w:val="both"/>
        <w:rPr>
          <w:color w:val="auto"/>
          <w:sz w:val="24"/>
          <w:szCs w:val="24"/>
        </w:rPr>
      </w:pPr>
      <w:r w:rsidRPr="007E671A">
        <w:rPr>
          <w:color w:val="auto"/>
          <w:sz w:val="24"/>
          <w:szCs w:val="24"/>
        </w:rPr>
        <w:t xml:space="preserve">Data Protection Act (2018) Available at: </w:t>
      </w:r>
      <w:hyperlink r:id="rId29" w:history="1">
        <w:r w:rsidRPr="007E671A">
          <w:rPr>
            <w:rStyle w:val="Hyperlink"/>
            <w:color w:val="auto"/>
            <w:sz w:val="24"/>
            <w:szCs w:val="24"/>
            <w:u w:val="none"/>
          </w:rPr>
          <w:t>https://www.gov.uk/data-protection</w:t>
        </w:r>
      </w:hyperlink>
      <w:r w:rsidRPr="007E671A">
        <w:rPr>
          <w:color w:val="auto"/>
          <w:sz w:val="24"/>
          <w:szCs w:val="24"/>
        </w:rPr>
        <w:t xml:space="preserve"> (Accessed: 29 May 2024).</w:t>
      </w:r>
    </w:p>
    <w:p w14:paraId="780ACF00" w14:textId="77777777" w:rsidR="00310EFD" w:rsidRPr="007E671A" w:rsidRDefault="00310EFD" w:rsidP="00310EFD">
      <w:pPr>
        <w:spacing w:before="240"/>
        <w:jc w:val="both"/>
        <w:rPr>
          <w:color w:val="auto"/>
          <w:sz w:val="24"/>
          <w:szCs w:val="24"/>
        </w:rPr>
      </w:pPr>
      <w:r w:rsidRPr="007E671A">
        <w:rPr>
          <w:rStyle w:val="cf01"/>
          <w:rFonts w:ascii="Arial" w:hAnsi="Arial" w:cs="Arial"/>
          <w:color w:val="auto"/>
          <w:sz w:val="24"/>
          <w:szCs w:val="24"/>
        </w:rPr>
        <w:t xml:space="preserve">Desai, Nishtha (2020) </w:t>
      </w:r>
      <w:r w:rsidRPr="007E671A">
        <w:rPr>
          <w:rStyle w:val="cf11"/>
          <w:rFonts w:ascii="Arial" w:eastAsia="Aptos" w:hAnsi="Arial" w:cs="Arial"/>
          <w:color w:val="auto"/>
          <w:sz w:val="24"/>
          <w:szCs w:val="24"/>
        </w:rPr>
        <w:t xml:space="preserve">The 3Cs of Psychological Hardiness. </w:t>
      </w:r>
      <w:r w:rsidRPr="007E671A">
        <w:rPr>
          <w:rStyle w:val="cf11"/>
          <w:rFonts w:ascii="Arial" w:eastAsia="Aptos" w:hAnsi="Arial" w:cs="Arial"/>
          <w:i w:val="0"/>
          <w:iCs w:val="0"/>
          <w:color w:val="auto"/>
          <w:sz w:val="24"/>
          <w:szCs w:val="24"/>
        </w:rPr>
        <w:t xml:space="preserve">Available at: </w:t>
      </w:r>
      <w:hyperlink r:id="rId30" w:history="1">
        <w:r w:rsidRPr="007E671A">
          <w:rPr>
            <w:rStyle w:val="Hyperlink"/>
            <w:rFonts w:eastAsia="Aptos"/>
            <w:color w:val="auto"/>
            <w:sz w:val="24"/>
            <w:szCs w:val="24"/>
            <w:u w:val="none"/>
          </w:rPr>
          <w:t>https://weqip.com/the-3cs-of-psychological-hardiness/</w:t>
        </w:r>
      </w:hyperlink>
      <w:r w:rsidRPr="007E671A">
        <w:rPr>
          <w:rStyle w:val="cf11"/>
          <w:rFonts w:ascii="Arial" w:eastAsia="Aptos" w:hAnsi="Arial" w:cs="Arial"/>
          <w:i w:val="0"/>
          <w:iCs w:val="0"/>
          <w:color w:val="auto"/>
          <w:sz w:val="24"/>
          <w:szCs w:val="24"/>
        </w:rPr>
        <w:t xml:space="preserve"> (Accessed: 20 March 2024).</w:t>
      </w:r>
    </w:p>
    <w:p w14:paraId="51B4329A" w14:textId="77777777" w:rsidR="00310EFD" w:rsidRPr="007E671A" w:rsidRDefault="00310EFD" w:rsidP="00310EFD">
      <w:pPr>
        <w:spacing w:before="240"/>
        <w:jc w:val="both"/>
        <w:rPr>
          <w:color w:val="auto"/>
          <w:sz w:val="24"/>
          <w:szCs w:val="24"/>
        </w:rPr>
      </w:pPr>
      <w:r w:rsidRPr="007E671A">
        <w:rPr>
          <w:color w:val="auto"/>
          <w:sz w:val="24"/>
          <w:szCs w:val="24"/>
        </w:rPr>
        <w:t>Fatima, J.K. and Razzaque, M.A. (2014) ‘Roles of Trust on Rapport and Satisfaction in Services’, </w:t>
      </w:r>
      <w:r w:rsidRPr="007E671A">
        <w:rPr>
          <w:i/>
          <w:iCs/>
          <w:color w:val="auto"/>
          <w:sz w:val="24"/>
          <w:szCs w:val="24"/>
        </w:rPr>
        <w:t>Asia Pacific journal of marketing and logistics</w:t>
      </w:r>
      <w:r w:rsidRPr="007E671A">
        <w:rPr>
          <w:color w:val="auto"/>
          <w:sz w:val="24"/>
          <w:szCs w:val="24"/>
        </w:rPr>
        <w:t xml:space="preserve">, 26(4), pp. 566–578. Available at: </w:t>
      </w:r>
      <w:hyperlink r:id="rId31" w:history="1">
        <w:r w:rsidRPr="007E671A">
          <w:rPr>
            <w:color w:val="auto"/>
            <w:sz w:val="24"/>
            <w:szCs w:val="24"/>
          </w:rPr>
          <w:t>https://doi.org/10.1108/APJML-01-2014-0013</w:t>
        </w:r>
      </w:hyperlink>
      <w:r w:rsidRPr="007E671A">
        <w:rPr>
          <w:color w:val="auto"/>
          <w:sz w:val="24"/>
          <w:szCs w:val="24"/>
        </w:rPr>
        <w:t>.</w:t>
      </w:r>
    </w:p>
    <w:p w14:paraId="090624AD" w14:textId="77777777" w:rsidR="00310EFD" w:rsidRPr="007E671A" w:rsidRDefault="00310EFD" w:rsidP="00310EFD">
      <w:pPr>
        <w:autoSpaceDN/>
        <w:spacing w:before="240" w:after="100" w:afterAutospacing="1"/>
        <w:jc w:val="both"/>
        <w:rPr>
          <w:color w:val="auto"/>
          <w:sz w:val="24"/>
          <w:szCs w:val="24"/>
        </w:rPr>
      </w:pPr>
      <w:r w:rsidRPr="007B1AF8">
        <w:rPr>
          <w:color w:val="auto"/>
          <w:sz w:val="24"/>
          <w:szCs w:val="24"/>
        </w:rPr>
        <w:t>HMICFRS (2021) Review of policing domestic abuse during the pandemic. Available from </w:t>
      </w:r>
      <w:hyperlink r:id="rId32" w:history="1">
        <w:r w:rsidRPr="007B1AF8">
          <w:rPr>
            <w:color w:val="auto"/>
            <w:sz w:val="24"/>
            <w:szCs w:val="24"/>
          </w:rPr>
          <w:t>https://www.justiceinspectorates.gov.uk/hmicfrs/wp-content/uploads/review-of-policing-domestic-abuse-during-the-pandemic-2021.pdf</w:t>
        </w:r>
      </w:hyperlink>
      <w:r w:rsidRPr="007B1AF8">
        <w:rPr>
          <w:color w:val="auto"/>
          <w:sz w:val="24"/>
          <w:szCs w:val="24"/>
        </w:rPr>
        <w:t> (Accessed</w:t>
      </w:r>
      <w:r w:rsidRPr="007E671A">
        <w:rPr>
          <w:color w:val="auto"/>
          <w:sz w:val="24"/>
          <w:szCs w:val="24"/>
        </w:rPr>
        <w:t>:</w:t>
      </w:r>
      <w:r w:rsidRPr="007B1AF8">
        <w:rPr>
          <w:color w:val="auto"/>
          <w:sz w:val="24"/>
          <w:szCs w:val="24"/>
        </w:rPr>
        <w:t xml:space="preserve"> </w:t>
      </w:r>
      <w:r w:rsidRPr="007E671A">
        <w:rPr>
          <w:color w:val="auto"/>
          <w:sz w:val="24"/>
          <w:szCs w:val="24"/>
        </w:rPr>
        <w:t>29 May</w:t>
      </w:r>
      <w:r w:rsidRPr="007B1AF8">
        <w:rPr>
          <w:color w:val="auto"/>
          <w:sz w:val="24"/>
          <w:szCs w:val="24"/>
        </w:rPr>
        <w:t xml:space="preserve"> 202</w:t>
      </w:r>
      <w:r w:rsidRPr="007E671A">
        <w:rPr>
          <w:color w:val="auto"/>
          <w:sz w:val="24"/>
          <w:szCs w:val="24"/>
        </w:rPr>
        <w:t>4</w:t>
      </w:r>
      <w:r w:rsidRPr="007B1AF8">
        <w:rPr>
          <w:color w:val="auto"/>
          <w:sz w:val="24"/>
          <w:szCs w:val="24"/>
        </w:rPr>
        <w:t xml:space="preserve">). </w:t>
      </w:r>
    </w:p>
    <w:p w14:paraId="4BB9B572" w14:textId="77777777" w:rsidR="00310EFD" w:rsidRPr="007E671A" w:rsidRDefault="00310EFD" w:rsidP="00310EFD">
      <w:pPr>
        <w:autoSpaceDN/>
        <w:spacing w:before="240" w:after="100" w:afterAutospacing="1"/>
        <w:jc w:val="both"/>
        <w:rPr>
          <w:color w:val="auto"/>
          <w:sz w:val="24"/>
          <w:szCs w:val="24"/>
        </w:rPr>
      </w:pPr>
      <w:r w:rsidRPr="007E671A">
        <w:rPr>
          <w:color w:val="auto"/>
          <w:sz w:val="24"/>
          <w:szCs w:val="24"/>
        </w:rPr>
        <w:t xml:space="preserve">HMICFRS (2023) Public Protection Notice (PPN). Available at: </w:t>
      </w:r>
      <w:hyperlink r:id="rId33" w:anchor=":~:text=Public%20protection%20notice%20%28PPN%29%20A%20PPN%20is%20an,with%20partner%20agencies%20to%20inform%20a%20multi-agency%20response" w:history="1">
        <w:r w:rsidRPr="007E671A">
          <w:rPr>
            <w:rStyle w:val="Hyperlink"/>
            <w:color w:val="auto"/>
            <w:sz w:val="24"/>
            <w:szCs w:val="24"/>
            <w:u w:val="none"/>
          </w:rPr>
          <w:t>https://hmicfrs.justiceinspectorates.gov.uk/glossary/public-protection-notice/#:~:text=Public%20protection%20notice%20%28PPN%29%20A%20PPN%20is%20an,with%20partner%20agencies%20to%20inform%20a%20multi-agency%20response</w:t>
        </w:r>
      </w:hyperlink>
      <w:r w:rsidRPr="007E671A">
        <w:rPr>
          <w:color w:val="auto"/>
          <w:sz w:val="24"/>
          <w:szCs w:val="24"/>
        </w:rPr>
        <w:t xml:space="preserve"> (Accessed: 3 May 2024).</w:t>
      </w:r>
    </w:p>
    <w:p w14:paraId="2E72C3E3" w14:textId="6B5511F0" w:rsidR="00310EFD" w:rsidRPr="007E671A" w:rsidRDefault="00310EFD" w:rsidP="00310EFD">
      <w:pPr>
        <w:autoSpaceDN/>
        <w:spacing w:before="240" w:after="100" w:afterAutospacing="1"/>
        <w:jc w:val="both"/>
        <w:rPr>
          <w:color w:val="auto"/>
          <w:sz w:val="24"/>
          <w:szCs w:val="24"/>
        </w:rPr>
      </w:pPr>
      <w:r w:rsidRPr="007E671A">
        <w:rPr>
          <w:color w:val="auto"/>
          <w:sz w:val="24"/>
          <w:szCs w:val="24"/>
        </w:rPr>
        <w:t xml:space="preserve">Holmberg, U., </w:t>
      </w:r>
      <w:r w:rsidR="006D7EC7">
        <w:rPr>
          <w:color w:val="auto"/>
          <w:sz w:val="24"/>
          <w:szCs w:val="24"/>
        </w:rPr>
        <w:t>and</w:t>
      </w:r>
      <w:r w:rsidRPr="007E671A">
        <w:rPr>
          <w:color w:val="auto"/>
          <w:sz w:val="24"/>
          <w:szCs w:val="24"/>
        </w:rPr>
        <w:t xml:space="preserve"> Madsen, K. (2014). Rapport operationalized as a humanitarian interview in investigative interview settings. </w:t>
      </w:r>
      <w:r w:rsidRPr="007E671A">
        <w:rPr>
          <w:i/>
          <w:iCs/>
          <w:color w:val="auto"/>
          <w:sz w:val="24"/>
          <w:szCs w:val="24"/>
        </w:rPr>
        <w:t>Psychiatry, Psychology and Law</w:t>
      </w:r>
      <w:r w:rsidRPr="007E671A">
        <w:rPr>
          <w:color w:val="auto"/>
          <w:sz w:val="24"/>
          <w:szCs w:val="24"/>
        </w:rPr>
        <w:t xml:space="preserve">, 21, 591–610 </w:t>
      </w:r>
    </w:p>
    <w:p w14:paraId="03D19D68" w14:textId="77777777" w:rsidR="00310EFD" w:rsidRPr="007E671A" w:rsidRDefault="00310EFD" w:rsidP="00310EFD">
      <w:pPr>
        <w:autoSpaceDN/>
        <w:spacing w:before="240" w:after="100" w:afterAutospacing="1"/>
        <w:jc w:val="both"/>
        <w:rPr>
          <w:color w:val="auto"/>
          <w:sz w:val="24"/>
          <w:szCs w:val="24"/>
        </w:rPr>
      </w:pPr>
      <w:r w:rsidRPr="007B1AF8">
        <w:rPr>
          <w:color w:val="auto"/>
          <w:sz w:val="24"/>
          <w:szCs w:val="24"/>
        </w:rPr>
        <w:t xml:space="preserve">Hopkins, A. (2024). Examining reasons for victim retraction in domestic violence and abuse: A qualitative analysis of police retraction statements in the United Kingdom. </w:t>
      </w:r>
      <w:r w:rsidRPr="007B1AF8">
        <w:rPr>
          <w:i/>
          <w:iCs/>
          <w:color w:val="auto"/>
          <w:sz w:val="24"/>
          <w:szCs w:val="24"/>
        </w:rPr>
        <w:t>The Police Journal</w:t>
      </w:r>
      <w:r w:rsidRPr="007B1AF8">
        <w:rPr>
          <w:color w:val="auto"/>
          <w:sz w:val="24"/>
          <w:szCs w:val="24"/>
        </w:rPr>
        <w:t xml:space="preserve">, 97(2), 240-258. </w:t>
      </w:r>
      <w:hyperlink r:id="rId34" w:history="1">
        <w:r w:rsidRPr="007B1AF8">
          <w:rPr>
            <w:color w:val="auto"/>
            <w:sz w:val="24"/>
            <w:szCs w:val="24"/>
          </w:rPr>
          <w:t>https://doi.org/10.1177/0032258X231159807</w:t>
        </w:r>
      </w:hyperlink>
    </w:p>
    <w:p w14:paraId="1B904C44" w14:textId="77777777" w:rsidR="00310EFD" w:rsidRPr="007E671A" w:rsidRDefault="00310EFD" w:rsidP="00310EFD">
      <w:pPr>
        <w:spacing w:before="240"/>
        <w:jc w:val="both"/>
        <w:rPr>
          <w:color w:val="auto"/>
          <w:sz w:val="24"/>
          <w:szCs w:val="24"/>
        </w:rPr>
      </w:pPr>
      <w:r w:rsidRPr="007E671A">
        <w:rPr>
          <w:color w:val="auto"/>
          <w:sz w:val="24"/>
          <w:szCs w:val="24"/>
        </w:rPr>
        <w:t xml:space="preserve">Inbau, F. E. (2004). </w:t>
      </w:r>
      <w:r w:rsidRPr="007E671A">
        <w:rPr>
          <w:i/>
          <w:iCs/>
          <w:color w:val="auto"/>
          <w:sz w:val="24"/>
          <w:szCs w:val="24"/>
        </w:rPr>
        <w:t xml:space="preserve">Criminal interrogation and confessions </w:t>
      </w:r>
      <w:r w:rsidRPr="007E671A">
        <w:rPr>
          <w:color w:val="auto"/>
          <w:sz w:val="24"/>
          <w:szCs w:val="24"/>
        </w:rPr>
        <w:t xml:space="preserve">(4th ed.. ed.). Boston, MA: Boston, MA : Jones and Bartlett Publishers. </w:t>
      </w:r>
    </w:p>
    <w:p w14:paraId="09CA8A00" w14:textId="77777777" w:rsidR="00310EFD" w:rsidRPr="007E671A" w:rsidRDefault="00310EFD" w:rsidP="00310EFD">
      <w:pPr>
        <w:spacing w:before="240"/>
        <w:jc w:val="both"/>
        <w:rPr>
          <w:color w:val="auto"/>
          <w:sz w:val="24"/>
          <w:szCs w:val="24"/>
        </w:rPr>
      </w:pPr>
      <w:r w:rsidRPr="007E671A">
        <w:rPr>
          <w:color w:val="auto"/>
          <w:sz w:val="24"/>
          <w:szCs w:val="24"/>
        </w:rPr>
        <w:t xml:space="preserve">Ingham-Broomfield, Becky (2021) ‘A nurses’ guide to using models of reflection’, </w:t>
      </w:r>
      <w:r w:rsidRPr="007E671A">
        <w:rPr>
          <w:i/>
          <w:iCs/>
          <w:color w:val="auto"/>
          <w:sz w:val="24"/>
          <w:szCs w:val="24"/>
        </w:rPr>
        <w:t>Australian journal of advanced nursing</w:t>
      </w:r>
      <w:r w:rsidRPr="007E671A">
        <w:rPr>
          <w:color w:val="auto"/>
          <w:sz w:val="24"/>
          <w:szCs w:val="24"/>
        </w:rPr>
        <w:t xml:space="preserve">, 38(4), pp. 62–67. Available at: </w:t>
      </w:r>
      <w:hyperlink r:id="rId35" w:history="1">
        <w:r w:rsidRPr="007E671A">
          <w:rPr>
            <w:color w:val="auto"/>
            <w:sz w:val="24"/>
            <w:szCs w:val="24"/>
          </w:rPr>
          <w:t>https://doi.org/10.37464/2020.384.395</w:t>
        </w:r>
      </w:hyperlink>
      <w:r w:rsidRPr="007E671A">
        <w:rPr>
          <w:color w:val="auto"/>
          <w:sz w:val="24"/>
          <w:szCs w:val="24"/>
        </w:rPr>
        <w:t>.</w:t>
      </w:r>
    </w:p>
    <w:p w14:paraId="3A1CC571" w14:textId="77777777" w:rsidR="00310EFD" w:rsidRPr="007E671A" w:rsidRDefault="00310EFD" w:rsidP="00310EFD">
      <w:pPr>
        <w:spacing w:before="240"/>
        <w:jc w:val="both"/>
        <w:rPr>
          <w:rStyle w:val="cf01"/>
          <w:rFonts w:ascii="Arial" w:eastAsia="Aptos" w:hAnsi="Arial" w:cs="Arial"/>
          <w:color w:val="auto"/>
          <w:sz w:val="24"/>
          <w:szCs w:val="24"/>
        </w:rPr>
      </w:pPr>
      <w:r w:rsidRPr="007E671A">
        <w:rPr>
          <w:rStyle w:val="cf01"/>
          <w:rFonts w:ascii="Arial" w:eastAsia="Aptos" w:hAnsi="Arial" w:cs="Arial"/>
          <w:color w:val="auto"/>
          <w:sz w:val="24"/>
          <w:szCs w:val="24"/>
        </w:rPr>
        <w:t>Janse, Ben (2022)</w:t>
      </w:r>
      <w:r w:rsidRPr="007E671A">
        <w:rPr>
          <w:rStyle w:val="cf01"/>
          <w:rFonts w:ascii="Arial" w:hAnsi="Arial" w:cs="Arial"/>
          <w:color w:val="auto"/>
          <w:sz w:val="24"/>
          <w:szCs w:val="24"/>
        </w:rPr>
        <w:t xml:space="preserve"> </w:t>
      </w:r>
      <w:r w:rsidRPr="007E671A">
        <w:rPr>
          <w:rStyle w:val="cf11"/>
          <w:rFonts w:ascii="Arial" w:eastAsia="Aptos" w:hAnsi="Arial" w:cs="Arial"/>
          <w:color w:val="auto"/>
          <w:sz w:val="24"/>
          <w:szCs w:val="24"/>
        </w:rPr>
        <w:t>Borton’s Model of Reflection (1970) explained.</w:t>
      </w:r>
      <w:r w:rsidRPr="007E671A">
        <w:rPr>
          <w:rStyle w:val="cf11"/>
          <w:rFonts w:ascii="Arial" w:eastAsia="Aptos" w:hAnsi="Arial" w:cs="Arial"/>
          <w:i w:val="0"/>
          <w:iCs w:val="0"/>
          <w:color w:val="auto"/>
          <w:sz w:val="24"/>
          <w:szCs w:val="24"/>
        </w:rPr>
        <w:t xml:space="preserve"> Available at: </w:t>
      </w:r>
      <w:r w:rsidRPr="007E671A">
        <w:rPr>
          <w:rStyle w:val="cf01"/>
          <w:rFonts w:ascii="Arial" w:eastAsia="Aptos" w:hAnsi="Arial" w:cs="Arial"/>
          <w:color w:val="auto"/>
          <w:sz w:val="24"/>
          <w:szCs w:val="24"/>
        </w:rPr>
        <w:t>https://www.toolshero.com/personal-development/borton-model-of-reflection/ (Accessed: 20 March 2024).</w:t>
      </w:r>
    </w:p>
    <w:p w14:paraId="7CCF56AA" w14:textId="77777777" w:rsidR="00310EFD" w:rsidRPr="007E671A" w:rsidRDefault="00310EFD" w:rsidP="00310EFD">
      <w:pPr>
        <w:spacing w:before="240"/>
        <w:jc w:val="both"/>
        <w:rPr>
          <w:color w:val="auto"/>
          <w:sz w:val="24"/>
          <w:szCs w:val="24"/>
        </w:rPr>
      </w:pPr>
      <w:r w:rsidRPr="007E671A">
        <w:rPr>
          <w:rFonts w:eastAsia="Aptos"/>
          <w:color w:val="auto"/>
          <w:sz w:val="24"/>
          <w:szCs w:val="24"/>
        </w:rPr>
        <w:t xml:space="preserve">Leslie, Calum (2020) </w:t>
      </w:r>
      <w:r w:rsidRPr="007E671A">
        <w:rPr>
          <w:rFonts w:eastAsia="Aptos"/>
          <w:i/>
          <w:iCs/>
          <w:color w:val="auto"/>
          <w:sz w:val="24"/>
          <w:szCs w:val="24"/>
        </w:rPr>
        <w:t>Police racism inquiries in the UK: Do they change how things work?</w:t>
      </w:r>
      <w:r w:rsidRPr="007E671A">
        <w:rPr>
          <w:color w:val="auto"/>
          <w:sz w:val="24"/>
          <w:szCs w:val="24"/>
        </w:rPr>
        <w:t xml:space="preserve"> Available at: </w:t>
      </w:r>
      <w:hyperlink r:id="rId36" w:history="1">
        <w:r w:rsidRPr="007E671A">
          <w:rPr>
            <w:rStyle w:val="Hyperlink"/>
            <w:color w:val="auto"/>
            <w:sz w:val="24"/>
            <w:szCs w:val="24"/>
            <w:u w:val="none"/>
          </w:rPr>
          <w:t>https://www.bbc.co.uk/news/newsbeat-53365011</w:t>
        </w:r>
      </w:hyperlink>
      <w:r w:rsidRPr="007E671A">
        <w:rPr>
          <w:color w:val="auto"/>
          <w:sz w:val="24"/>
          <w:szCs w:val="24"/>
        </w:rPr>
        <w:t xml:space="preserve"> (Accessed: 3 March 2024).</w:t>
      </w:r>
    </w:p>
    <w:p w14:paraId="393CB710" w14:textId="77777777" w:rsidR="00310EFD" w:rsidRPr="007E671A" w:rsidRDefault="00310EFD" w:rsidP="00310EFD">
      <w:pPr>
        <w:spacing w:before="240"/>
        <w:jc w:val="both"/>
        <w:rPr>
          <w:color w:val="auto"/>
          <w:sz w:val="24"/>
          <w:szCs w:val="24"/>
        </w:rPr>
      </w:pPr>
      <w:r w:rsidRPr="007E671A">
        <w:rPr>
          <w:color w:val="auto"/>
          <w:sz w:val="24"/>
          <w:szCs w:val="24"/>
        </w:rPr>
        <w:lastRenderedPageBreak/>
        <w:t>Machado A., Hines D. A., Matos M. (2016). Help-seeking and needs of male victims of intimate partner violence in Portugal. </w:t>
      </w:r>
      <w:r w:rsidRPr="007E671A">
        <w:rPr>
          <w:i/>
          <w:iCs/>
          <w:color w:val="auto"/>
          <w:sz w:val="24"/>
          <w:szCs w:val="24"/>
        </w:rPr>
        <w:t>Psychology of Men and Masculinity</w:t>
      </w:r>
      <w:r w:rsidRPr="007E671A">
        <w:rPr>
          <w:color w:val="auto"/>
          <w:sz w:val="24"/>
          <w:szCs w:val="24"/>
        </w:rPr>
        <w:t>, 17, 255–264. </w:t>
      </w:r>
      <w:hyperlink r:id="rId37" w:history="1">
        <w:r w:rsidRPr="007E671A">
          <w:rPr>
            <w:color w:val="auto"/>
            <w:sz w:val="24"/>
            <w:szCs w:val="24"/>
          </w:rPr>
          <w:t>https://doi-org.ezproxy.uwtsd.ac.uk/10.1037/men0000013</w:t>
        </w:r>
      </w:hyperlink>
    </w:p>
    <w:p w14:paraId="6947ABAA" w14:textId="77777777" w:rsidR="00310EFD" w:rsidRPr="007E671A" w:rsidRDefault="00310EFD" w:rsidP="00310EFD">
      <w:pPr>
        <w:spacing w:before="240"/>
        <w:jc w:val="both"/>
        <w:rPr>
          <w:color w:val="auto"/>
          <w:sz w:val="24"/>
          <w:szCs w:val="24"/>
        </w:rPr>
      </w:pPr>
      <w:r w:rsidRPr="007E671A">
        <w:rPr>
          <w:color w:val="auto"/>
          <w:sz w:val="24"/>
          <w:szCs w:val="24"/>
        </w:rPr>
        <w:t>Macintosh, G. (2009) ‘Examining the antecedents of trust and rapport in services: Discovering new interrelationships’, </w:t>
      </w:r>
      <w:r w:rsidRPr="007E671A">
        <w:rPr>
          <w:i/>
          <w:iCs/>
          <w:color w:val="auto"/>
          <w:sz w:val="24"/>
          <w:szCs w:val="24"/>
        </w:rPr>
        <w:t>Journal of retailing and consumer services</w:t>
      </w:r>
      <w:r w:rsidRPr="007E671A">
        <w:rPr>
          <w:color w:val="auto"/>
          <w:sz w:val="24"/>
          <w:szCs w:val="24"/>
        </w:rPr>
        <w:t xml:space="preserve">, 16(4), pp. 298–305. Available at: </w:t>
      </w:r>
      <w:hyperlink r:id="rId38" w:history="1">
        <w:r w:rsidRPr="007E671A">
          <w:rPr>
            <w:rStyle w:val="Hyperlink"/>
            <w:color w:val="auto"/>
            <w:sz w:val="24"/>
            <w:szCs w:val="24"/>
            <w:u w:val="none"/>
          </w:rPr>
          <w:t>https://doi.org/10.1016/j.jretconser.2009.02.001</w:t>
        </w:r>
      </w:hyperlink>
    </w:p>
    <w:p w14:paraId="7D918434" w14:textId="77777777" w:rsidR="00310EFD" w:rsidRPr="007E671A" w:rsidRDefault="00310EFD" w:rsidP="00310EFD">
      <w:pPr>
        <w:spacing w:before="240"/>
        <w:jc w:val="both"/>
        <w:rPr>
          <w:color w:val="auto"/>
          <w:sz w:val="24"/>
          <w:szCs w:val="24"/>
        </w:rPr>
      </w:pPr>
      <w:r w:rsidRPr="007E671A">
        <w:rPr>
          <w:color w:val="auto"/>
          <w:sz w:val="24"/>
          <w:szCs w:val="24"/>
        </w:rPr>
        <w:t xml:space="preserve">Maile, A. </w:t>
      </w:r>
      <w:r w:rsidRPr="007E671A">
        <w:rPr>
          <w:i/>
          <w:iCs/>
          <w:color w:val="auto"/>
          <w:sz w:val="24"/>
          <w:szCs w:val="24"/>
        </w:rPr>
        <w:t>et al.</w:t>
      </w:r>
      <w:r w:rsidRPr="007E671A">
        <w:rPr>
          <w:color w:val="auto"/>
          <w:sz w:val="24"/>
          <w:szCs w:val="24"/>
        </w:rPr>
        <w:t xml:space="preserve"> (2023) ‘Professional policing and the role of autonomy and discretion in decision-making: A qualitative study from a virtue ethical perspective’, </w:t>
      </w:r>
      <w:r w:rsidRPr="007E671A">
        <w:rPr>
          <w:i/>
          <w:iCs/>
          <w:color w:val="auto"/>
          <w:sz w:val="24"/>
          <w:szCs w:val="24"/>
        </w:rPr>
        <w:t>Policing : a journal of policy and practice</w:t>
      </w:r>
      <w:r w:rsidRPr="007E671A">
        <w:rPr>
          <w:color w:val="auto"/>
          <w:sz w:val="24"/>
          <w:szCs w:val="24"/>
        </w:rPr>
        <w:t>, 17. Available at: https://doi.org/10.1093/police/paac086.</w:t>
      </w:r>
    </w:p>
    <w:p w14:paraId="5289AADD" w14:textId="77777777" w:rsidR="00310EFD" w:rsidRPr="007E671A" w:rsidRDefault="00310EFD" w:rsidP="00310EFD">
      <w:pPr>
        <w:spacing w:before="240"/>
        <w:jc w:val="both"/>
        <w:rPr>
          <w:rStyle w:val="cf01"/>
          <w:rFonts w:ascii="Arial" w:hAnsi="Arial" w:cs="Arial"/>
          <w:color w:val="auto"/>
          <w:sz w:val="24"/>
          <w:szCs w:val="24"/>
        </w:rPr>
      </w:pPr>
      <w:r w:rsidRPr="007E671A">
        <w:rPr>
          <w:rStyle w:val="cf01"/>
          <w:rFonts w:ascii="Arial" w:eastAsia="Aptos" w:hAnsi="Arial" w:cs="Arial"/>
          <w:color w:val="auto"/>
          <w:sz w:val="24"/>
          <w:szCs w:val="24"/>
        </w:rPr>
        <w:t xml:space="preserve">Making Business Matter (2023) The Betari Box: Exploring Attitude and Behavioural Dynamics. Available at: </w:t>
      </w:r>
      <w:hyperlink r:id="rId39" w:history="1">
        <w:r w:rsidRPr="007E671A">
          <w:rPr>
            <w:rStyle w:val="Hyperlink"/>
            <w:rFonts w:eastAsia="Aptos"/>
            <w:color w:val="auto"/>
            <w:sz w:val="24"/>
            <w:szCs w:val="24"/>
            <w:u w:val="none"/>
          </w:rPr>
          <w:t>https://www.makingbusinessmatter.co.uk/betari-box/</w:t>
        </w:r>
      </w:hyperlink>
      <w:r w:rsidRPr="007E671A">
        <w:rPr>
          <w:rStyle w:val="cf01"/>
          <w:rFonts w:ascii="Arial" w:eastAsia="Aptos" w:hAnsi="Arial" w:cs="Arial"/>
          <w:color w:val="auto"/>
          <w:sz w:val="24"/>
          <w:szCs w:val="24"/>
        </w:rPr>
        <w:t xml:space="preserve"> (Accessed: 2 June 2024).</w:t>
      </w:r>
    </w:p>
    <w:p w14:paraId="066CB063" w14:textId="77777777" w:rsidR="00310EFD" w:rsidRPr="007E671A" w:rsidRDefault="00310EFD" w:rsidP="00310EFD">
      <w:pPr>
        <w:autoSpaceDN/>
        <w:spacing w:before="240" w:after="100" w:afterAutospacing="1"/>
        <w:jc w:val="both"/>
        <w:rPr>
          <w:color w:val="auto"/>
          <w:sz w:val="24"/>
          <w:szCs w:val="24"/>
        </w:rPr>
      </w:pPr>
      <w:r w:rsidRPr="007B1AF8">
        <w:rPr>
          <w:color w:val="auto"/>
          <w:sz w:val="24"/>
          <w:szCs w:val="24"/>
        </w:rPr>
        <w:t xml:space="preserve">Milne, R. (1999). In Bull R. (Ed.), </w:t>
      </w:r>
      <w:r w:rsidRPr="007B1AF8">
        <w:rPr>
          <w:i/>
          <w:iCs/>
          <w:color w:val="auto"/>
          <w:sz w:val="24"/>
          <w:szCs w:val="24"/>
        </w:rPr>
        <w:t>Investigative interviewing : Psychology and practice</w:t>
      </w:r>
      <w:r w:rsidRPr="007B1AF8">
        <w:rPr>
          <w:color w:val="auto"/>
          <w:sz w:val="24"/>
          <w:szCs w:val="24"/>
        </w:rPr>
        <w:t xml:space="preserve">. Chichester: Chichester : Wiley. </w:t>
      </w:r>
    </w:p>
    <w:p w14:paraId="12B7801D" w14:textId="77777777" w:rsidR="00310EFD" w:rsidRPr="007E671A" w:rsidRDefault="00310EFD" w:rsidP="00310EFD">
      <w:pPr>
        <w:spacing w:before="240"/>
        <w:jc w:val="both"/>
        <w:rPr>
          <w:color w:val="auto"/>
          <w:sz w:val="24"/>
          <w:szCs w:val="24"/>
        </w:rPr>
      </w:pPr>
      <w:r w:rsidRPr="007E671A">
        <w:rPr>
          <w:color w:val="auto"/>
          <w:sz w:val="24"/>
          <w:szCs w:val="24"/>
        </w:rPr>
        <w:t xml:space="preserve">Ministry of Justice (2015) Criminal Procedure and Investigations Act 1996 (section 23(1)) Code of Practice. Available at: </w:t>
      </w:r>
      <w:hyperlink r:id="rId40" w:history="1">
        <w:r w:rsidRPr="007E671A">
          <w:rPr>
            <w:rStyle w:val="Hyperlink"/>
            <w:color w:val="auto"/>
            <w:sz w:val="24"/>
            <w:szCs w:val="24"/>
            <w:u w:val="none"/>
          </w:rPr>
          <w:t>https://assets.publishing.service.gov.uk/media/5a80d491e5274a2e8ab5267c/code-of-practice-approved.pdf</w:t>
        </w:r>
      </w:hyperlink>
      <w:r w:rsidRPr="007E671A">
        <w:rPr>
          <w:color w:val="auto"/>
          <w:sz w:val="24"/>
          <w:szCs w:val="24"/>
        </w:rPr>
        <w:t xml:space="preserve"> (Accessed: 29 May 2024).</w:t>
      </w:r>
    </w:p>
    <w:p w14:paraId="24BA8A37" w14:textId="77777777" w:rsidR="00310EFD" w:rsidRPr="007E671A" w:rsidRDefault="00310EFD" w:rsidP="00310EFD">
      <w:pPr>
        <w:spacing w:before="240"/>
        <w:jc w:val="both"/>
        <w:rPr>
          <w:color w:val="auto"/>
          <w:sz w:val="24"/>
          <w:szCs w:val="24"/>
        </w:rPr>
      </w:pPr>
      <w:r w:rsidRPr="007E671A">
        <w:rPr>
          <w:color w:val="auto"/>
          <w:sz w:val="24"/>
          <w:szCs w:val="24"/>
        </w:rPr>
        <w:t xml:space="preserve">Ministry of Justice (2020) Victim’s Code of Practice for Victims of Crime in England and Wales. Available at: </w:t>
      </w:r>
      <w:hyperlink r:id="rId41" w:history="1">
        <w:r w:rsidRPr="007E671A">
          <w:rPr>
            <w:rStyle w:val="Hyperlink"/>
            <w:color w:val="auto"/>
            <w:sz w:val="24"/>
            <w:szCs w:val="24"/>
            <w:u w:val="none"/>
          </w:rPr>
          <w:t>https://www.gov.uk/government/publications/the-code-of-practice-for-victims-of-crime/code-of-practice-for-victims-of-crime-in-england-and-wales-victims-code</w:t>
        </w:r>
      </w:hyperlink>
      <w:r w:rsidRPr="007E671A">
        <w:rPr>
          <w:color w:val="auto"/>
          <w:sz w:val="24"/>
          <w:szCs w:val="24"/>
        </w:rPr>
        <w:t xml:space="preserve"> (Accessed 2 June 2024).</w:t>
      </w:r>
    </w:p>
    <w:p w14:paraId="235523DE" w14:textId="77777777" w:rsidR="00310EFD" w:rsidRPr="007E671A" w:rsidRDefault="00310EFD" w:rsidP="00310EFD">
      <w:pPr>
        <w:spacing w:before="240"/>
        <w:jc w:val="both"/>
        <w:rPr>
          <w:color w:val="auto"/>
          <w:sz w:val="24"/>
          <w:szCs w:val="24"/>
        </w:rPr>
      </w:pPr>
      <w:r w:rsidRPr="007E671A">
        <w:rPr>
          <w:color w:val="auto"/>
          <w:sz w:val="24"/>
          <w:szCs w:val="24"/>
        </w:rPr>
        <w:t xml:space="preserve">Ministry of Justice (2023) Achieving Best Evidence in Criminal Proceedings. Available at: </w:t>
      </w:r>
      <w:hyperlink r:id="rId42" w:history="1">
        <w:r w:rsidRPr="007E671A">
          <w:rPr>
            <w:rStyle w:val="Hyperlink"/>
            <w:color w:val="auto"/>
            <w:sz w:val="24"/>
            <w:szCs w:val="24"/>
            <w:u w:val="none"/>
          </w:rPr>
          <w:t>https://assets.publishing.service.gov.uk/media/6492e26c103ca6001303a331/achieving-best-evidence-criminal-proceedings-2023.pdf</w:t>
        </w:r>
      </w:hyperlink>
      <w:r w:rsidRPr="007E671A">
        <w:rPr>
          <w:color w:val="auto"/>
          <w:sz w:val="24"/>
          <w:szCs w:val="24"/>
        </w:rPr>
        <w:t xml:space="preserve"> (Accessed: 3 May 2024).</w:t>
      </w:r>
    </w:p>
    <w:p w14:paraId="0685CACC" w14:textId="3EB567B5" w:rsidR="00310EFD" w:rsidRPr="007E671A" w:rsidRDefault="00310EFD" w:rsidP="00310EFD">
      <w:pPr>
        <w:autoSpaceDN/>
        <w:spacing w:before="240"/>
        <w:jc w:val="both"/>
        <w:rPr>
          <w:color w:val="auto"/>
          <w:sz w:val="24"/>
          <w:szCs w:val="24"/>
        </w:rPr>
      </w:pPr>
      <w:r w:rsidRPr="00A42293">
        <w:rPr>
          <w:color w:val="auto"/>
          <w:sz w:val="24"/>
          <w:szCs w:val="24"/>
        </w:rPr>
        <w:t xml:space="preserve">Nilsson, S.F. </w:t>
      </w:r>
      <w:r w:rsidRPr="00A42293">
        <w:rPr>
          <w:i/>
          <w:iCs/>
          <w:color w:val="auto"/>
          <w:sz w:val="24"/>
          <w:szCs w:val="24"/>
        </w:rPr>
        <w:t>et al.</w:t>
      </w:r>
      <w:r w:rsidRPr="00A42293">
        <w:rPr>
          <w:color w:val="auto"/>
          <w:sz w:val="24"/>
          <w:szCs w:val="24"/>
        </w:rPr>
        <w:t xml:space="preserve"> (2020) ‘Homelessness and police-recorded crime victimisation: a nationwide, register-based cohort study’, </w:t>
      </w:r>
      <w:r w:rsidRPr="00A42293">
        <w:rPr>
          <w:i/>
          <w:iCs/>
          <w:color w:val="auto"/>
          <w:sz w:val="24"/>
          <w:szCs w:val="24"/>
        </w:rPr>
        <w:t>The Lancet. Public health</w:t>
      </w:r>
      <w:r w:rsidRPr="00A42293">
        <w:rPr>
          <w:color w:val="auto"/>
          <w:sz w:val="24"/>
          <w:szCs w:val="24"/>
        </w:rPr>
        <w:t xml:space="preserve">, 5(6), pp. e333–e341. Available at: </w:t>
      </w:r>
      <w:hyperlink r:id="rId43" w:history="1">
        <w:r w:rsidRPr="00A42293">
          <w:rPr>
            <w:rStyle w:val="Hyperlink"/>
            <w:color w:val="auto"/>
            <w:sz w:val="24"/>
            <w:szCs w:val="24"/>
            <w:u w:val="none"/>
          </w:rPr>
          <w:t>https://doi.org/10.1016/S2468-2667(20)30075-X</w:t>
        </w:r>
      </w:hyperlink>
      <w:r w:rsidRPr="00A42293">
        <w:rPr>
          <w:color w:val="auto"/>
          <w:sz w:val="24"/>
          <w:szCs w:val="24"/>
        </w:rPr>
        <w:t>.</w:t>
      </w:r>
    </w:p>
    <w:p w14:paraId="55C1A14A" w14:textId="77777777" w:rsidR="00310EFD" w:rsidRPr="007E671A" w:rsidRDefault="00310EFD" w:rsidP="00310EFD">
      <w:pPr>
        <w:spacing w:before="240"/>
        <w:jc w:val="both"/>
        <w:rPr>
          <w:color w:val="auto"/>
          <w:sz w:val="24"/>
          <w:szCs w:val="24"/>
        </w:rPr>
      </w:pPr>
      <w:r w:rsidRPr="007E671A">
        <w:rPr>
          <w:color w:val="auto"/>
          <w:sz w:val="24"/>
          <w:szCs w:val="24"/>
        </w:rPr>
        <w:t xml:space="preserve">Office for National Statistics (2020) Crime Survey for England and Wales. Available at: </w:t>
      </w:r>
      <w:hyperlink r:id="rId44" w:history="1">
        <w:r w:rsidRPr="007E671A">
          <w:rPr>
            <w:rStyle w:val="Hyperlink"/>
            <w:color w:val="auto"/>
            <w:sz w:val="24"/>
            <w:szCs w:val="24"/>
            <w:u w:val="none"/>
          </w:rPr>
          <w:t>https://www.ons.gov.uk/releases/crimeinenglandandwalesyearendingmarch2020</w:t>
        </w:r>
      </w:hyperlink>
      <w:r w:rsidRPr="007E671A">
        <w:rPr>
          <w:color w:val="auto"/>
          <w:sz w:val="24"/>
          <w:szCs w:val="24"/>
        </w:rPr>
        <w:t xml:space="preserve"> (Accessed: 2 June 2024)</w:t>
      </w:r>
    </w:p>
    <w:p w14:paraId="00558208" w14:textId="77777777" w:rsidR="00310EFD" w:rsidRPr="007E671A" w:rsidRDefault="00310EFD" w:rsidP="00310EFD">
      <w:pPr>
        <w:spacing w:before="240"/>
        <w:jc w:val="both"/>
        <w:rPr>
          <w:color w:val="auto"/>
          <w:sz w:val="24"/>
          <w:szCs w:val="24"/>
        </w:rPr>
      </w:pPr>
      <w:r w:rsidRPr="007E671A">
        <w:rPr>
          <w:color w:val="auto"/>
          <w:sz w:val="24"/>
          <w:szCs w:val="24"/>
        </w:rPr>
        <w:t xml:space="preserve">Office for National Statistics (2024) Trust in the police, UK: 2022 to 2023. Available at: </w:t>
      </w:r>
      <w:hyperlink r:id="rId45" w:history="1">
        <w:r w:rsidRPr="007E671A">
          <w:rPr>
            <w:rStyle w:val="Hyperlink"/>
            <w:color w:val="auto"/>
            <w:sz w:val="24"/>
            <w:szCs w:val="24"/>
            <w:u w:val="none"/>
          </w:rPr>
          <w:t>https://www.ons.gov.uk/peoplepopulationandcommunity/wellbeing/adhocs/1854trustinthepoliceuk2022to2023</w:t>
        </w:r>
      </w:hyperlink>
      <w:r w:rsidRPr="007E671A">
        <w:rPr>
          <w:color w:val="auto"/>
          <w:sz w:val="24"/>
          <w:szCs w:val="24"/>
        </w:rPr>
        <w:t xml:space="preserve"> (Accessed 2 June 2024).</w:t>
      </w:r>
    </w:p>
    <w:p w14:paraId="6B6A20D4" w14:textId="77777777" w:rsidR="00310EFD" w:rsidRPr="007E671A" w:rsidRDefault="00310EFD" w:rsidP="00310EFD">
      <w:pPr>
        <w:spacing w:before="240"/>
        <w:jc w:val="both"/>
        <w:rPr>
          <w:color w:val="auto"/>
          <w:sz w:val="24"/>
          <w:szCs w:val="24"/>
        </w:rPr>
      </w:pPr>
      <w:r w:rsidRPr="007E671A">
        <w:rPr>
          <w:color w:val="auto"/>
          <w:sz w:val="24"/>
          <w:szCs w:val="24"/>
        </w:rPr>
        <w:t xml:space="preserve">Police and Criminal Evidence Act (1984). Available at: </w:t>
      </w:r>
      <w:hyperlink r:id="rId46" w:history="1">
        <w:r w:rsidRPr="007E671A">
          <w:rPr>
            <w:rStyle w:val="Hyperlink"/>
            <w:color w:val="auto"/>
            <w:sz w:val="24"/>
            <w:szCs w:val="24"/>
            <w:u w:val="none"/>
          </w:rPr>
          <w:t>https://www.legislation.gov.uk/ukpga/1984/60/section/30A</w:t>
        </w:r>
      </w:hyperlink>
      <w:r w:rsidRPr="007E671A">
        <w:rPr>
          <w:color w:val="auto"/>
          <w:sz w:val="24"/>
          <w:szCs w:val="24"/>
        </w:rPr>
        <w:t xml:space="preserve"> (Accessed: 3 May 2024 and 29 May 2024).</w:t>
      </w:r>
    </w:p>
    <w:p w14:paraId="617A607F" w14:textId="77777777" w:rsidR="00310EFD" w:rsidRPr="007E671A" w:rsidRDefault="00310EFD" w:rsidP="00310EFD">
      <w:pPr>
        <w:spacing w:before="240"/>
        <w:jc w:val="both"/>
        <w:rPr>
          <w:color w:val="auto"/>
          <w:sz w:val="24"/>
          <w:szCs w:val="24"/>
        </w:rPr>
      </w:pPr>
      <w:r w:rsidRPr="007E671A">
        <w:rPr>
          <w:color w:val="auto"/>
          <w:sz w:val="24"/>
          <w:szCs w:val="24"/>
        </w:rPr>
        <w:t xml:space="preserve">Revolution Learning and Development (2021) The Betari Box Model. Available at </w:t>
      </w:r>
      <w:hyperlink r:id="rId47" w:history="1">
        <w:r w:rsidRPr="007E671A">
          <w:rPr>
            <w:rStyle w:val="Hyperlink"/>
            <w:color w:val="auto"/>
            <w:sz w:val="24"/>
            <w:szCs w:val="24"/>
            <w:u w:val="none"/>
          </w:rPr>
          <w:t>https://www.revolutionlearning.co.uk/article/the-betari-box-model/</w:t>
        </w:r>
      </w:hyperlink>
      <w:r w:rsidRPr="007E671A">
        <w:rPr>
          <w:color w:val="auto"/>
          <w:sz w:val="24"/>
          <w:szCs w:val="24"/>
        </w:rPr>
        <w:t xml:space="preserve"> (Accessed: 2 June 2024).</w:t>
      </w:r>
    </w:p>
    <w:p w14:paraId="2ED4DD8D" w14:textId="77777777" w:rsidR="00310EFD" w:rsidRPr="007E671A" w:rsidRDefault="00310EFD" w:rsidP="00310EFD">
      <w:pPr>
        <w:spacing w:before="240"/>
        <w:jc w:val="both"/>
        <w:rPr>
          <w:color w:val="auto"/>
          <w:sz w:val="24"/>
          <w:szCs w:val="24"/>
        </w:rPr>
      </w:pPr>
      <w:r w:rsidRPr="007E671A">
        <w:rPr>
          <w:color w:val="auto"/>
          <w:sz w:val="24"/>
          <w:szCs w:val="24"/>
        </w:rPr>
        <w:lastRenderedPageBreak/>
        <w:t xml:space="preserve">Safe Lives (2022) Marac data. Available at: </w:t>
      </w:r>
      <w:hyperlink r:id="rId48" w:history="1">
        <w:r w:rsidRPr="007E671A">
          <w:rPr>
            <w:rStyle w:val="Hyperlink"/>
            <w:color w:val="auto"/>
            <w:sz w:val="24"/>
            <w:szCs w:val="24"/>
            <w:u w:val="none"/>
          </w:rPr>
          <w:t>https://safelives.org.uk/research-policy/practitioner-datasets/marac-data/</w:t>
        </w:r>
      </w:hyperlink>
      <w:r w:rsidRPr="007E671A">
        <w:rPr>
          <w:color w:val="auto"/>
          <w:sz w:val="24"/>
          <w:szCs w:val="24"/>
        </w:rPr>
        <w:t xml:space="preserve"> (Accessed: 3 May 2024).</w:t>
      </w:r>
    </w:p>
    <w:p w14:paraId="374435E7" w14:textId="77777777" w:rsidR="00310EFD" w:rsidRPr="007E671A" w:rsidRDefault="00310EFD" w:rsidP="00310EFD">
      <w:pPr>
        <w:spacing w:before="240"/>
        <w:jc w:val="both"/>
        <w:rPr>
          <w:color w:val="auto"/>
          <w:sz w:val="24"/>
          <w:szCs w:val="24"/>
        </w:rPr>
      </w:pPr>
      <w:r w:rsidRPr="007E671A">
        <w:rPr>
          <w:color w:val="auto"/>
          <w:sz w:val="24"/>
          <w:szCs w:val="24"/>
        </w:rPr>
        <w:t>Scarman, Leslie George. 1981. </w:t>
      </w:r>
      <w:r w:rsidRPr="007E671A">
        <w:rPr>
          <w:i/>
          <w:iCs/>
          <w:color w:val="auto"/>
          <w:sz w:val="24"/>
          <w:szCs w:val="24"/>
        </w:rPr>
        <w:t>Scarman Report: The Brixton Disorders, 10–12 April, 1981</w:t>
      </w:r>
      <w:r w:rsidRPr="007E671A">
        <w:rPr>
          <w:color w:val="auto"/>
          <w:sz w:val="24"/>
          <w:szCs w:val="24"/>
        </w:rPr>
        <w:t>. London: HMSO.</w:t>
      </w:r>
    </w:p>
    <w:p w14:paraId="4ED4A3ED" w14:textId="77777777" w:rsidR="00310EFD" w:rsidRPr="007E671A" w:rsidRDefault="00310EFD" w:rsidP="00310EFD">
      <w:pPr>
        <w:spacing w:before="240"/>
        <w:jc w:val="both"/>
        <w:rPr>
          <w:color w:val="auto"/>
          <w:sz w:val="24"/>
          <w:szCs w:val="24"/>
        </w:rPr>
      </w:pPr>
      <w:r w:rsidRPr="007E671A">
        <w:rPr>
          <w:color w:val="auto"/>
          <w:sz w:val="24"/>
          <w:szCs w:val="24"/>
        </w:rPr>
        <w:t>Shuy, R. W. (1998). </w:t>
      </w:r>
      <w:r w:rsidRPr="007E671A">
        <w:rPr>
          <w:i/>
          <w:iCs/>
          <w:color w:val="auto"/>
          <w:sz w:val="24"/>
          <w:szCs w:val="24"/>
        </w:rPr>
        <w:t>The language of confession, interrogation, and deception.</w:t>
      </w:r>
      <w:r w:rsidRPr="007E671A">
        <w:rPr>
          <w:color w:val="auto"/>
          <w:sz w:val="24"/>
          <w:szCs w:val="24"/>
        </w:rPr>
        <w:t> Sage Publications, Inc.</w:t>
      </w:r>
    </w:p>
    <w:p w14:paraId="4EA1A01A" w14:textId="77777777" w:rsidR="00310EFD" w:rsidRPr="007E671A" w:rsidRDefault="00310EFD" w:rsidP="00310EFD">
      <w:pPr>
        <w:spacing w:before="240"/>
        <w:jc w:val="both"/>
        <w:rPr>
          <w:color w:val="auto"/>
          <w:sz w:val="24"/>
          <w:szCs w:val="24"/>
        </w:rPr>
      </w:pPr>
      <w:r w:rsidRPr="007E671A">
        <w:rPr>
          <w:color w:val="auto"/>
          <w:sz w:val="24"/>
          <w:szCs w:val="24"/>
          <w:shd w:val="clear" w:color="auto" w:fill="FFFFFF"/>
        </w:rPr>
        <w:t>Stein, S. (Steven J.) and Bartone, P.T. (2020) </w:t>
      </w:r>
      <w:r w:rsidRPr="007E671A">
        <w:rPr>
          <w:i/>
          <w:iCs/>
          <w:color w:val="auto"/>
          <w:sz w:val="24"/>
          <w:szCs w:val="24"/>
          <w:shd w:val="clear" w:color="auto" w:fill="FFFFFF"/>
        </w:rPr>
        <w:t>Hardiness making stress work for you to achieve your life goals</w:t>
      </w:r>
      <w:r w:rsidRPr="007E671A">
        <w:rPr>
          <w:color w:val="auto"/>
          <w:sz w:val="24"/>
          <w:szCs w:val="24"/>
          <w:shd w:val="clear" w:color="auto" w:fill="FFFFFF"/>
        </w:rPr>
        <w:t>. Hoboken, New Jersey: John Wiley &amp; Sons, Inc.</w:t>
      </w:r>
    </w:p>
    <w:p w14:paraId="2987D997" w14:textId="77777777" w:rsidR="00310EFD" w:rsidRPr="007E671A" w:rsidRDefault="00310EFD" w:rsidP="00310EFD">
      <w:pPr>
        <w:spacing w:before="240"/>
        <w:jc w:val="both"/>
        <w:rPr>
          <w:color w:val="auto"/>
          <w:sz w:val="24"/>
          <w:szCs w:val="24"/>
        </w:rPr>
      </w:pPr>
      <w:r w:rsidRPr="007E671A">
        <w:rPr>
          <w:color w:val="auto"/>
          <w:sz w:val="24"/>
          <w:szCs w:val="24"/>
        </w:rPr>
        <w:t xml:space="preserve">Velazquez, E. and Hernandez, M. (2019) ‘Effects of police officer exposure to traumatic experiences and recognizing the stigma associated with police officer mental health: A state-of-the-art review’, </w:t>
      </w:r>
      <w:r w:rsidRPr="007E671A">
        <w:rPr>
          <w:i/>
          <w:iCs/>
          <w:color w:val="auto"/>
          <w:sz w:val="24"/>
          <w:szCs w:val="24"/>
        </w:rPr>
        <w:t>Policing : an international journal of police strategies &amp; management</w:t>
      </w:r>
      <w:r w:rsidRPr="007E671A">
        <w:rPr>
          <w:color w:val="auto"/>
          <w:sz w:val="24"/>
          <w:szCs w:val="24"/>
        </w:rPr>
        <w:t>, 42(4), pp. 711–724. Available at: https://doi.org/10.1108/PIJPSM-09-2018-0147.</w:t>
      </w:r>
    </w:p>
    <w:p w14:paraId="5BB34F05" w14:textId="77777777" w:rsidR="00310EFD" w:rsidRPr="007E671A" w:rsidRDefault="00310EFD" w:rsidP="00310EFD">
      <w:pPr>
        <w:spacing w:before="240"/>
        <w:jc w:val="both"/>
        <w:rPr>
          <w:color w:val="auto"/>
          <w:sz w:val="24"/>
          <w:szCs w:val="24"/>
        </w:rPr>
      </w:pPr>
      <w:r w:rsidRPr="007E671A">
        <w:rPr>
          <w:color w:val="auto"/>
          <w:sz w:val="24"/>
          <w:szCs w:val="24"/>
        </w:rPr>
        <w:t xml:space="preserve">World Health Organization (2023) </w:t>
      </w:r>
      <w:r w:rsidRPr="007E671A">
        <w:rPr>
          <w:i/>
          <w:iCs/>
          <w:color w:val="auto"/>
          <w:sz w:val="24"/>
          <w:szCs w:val="24"/>
        </w:rPr>
        <w:t>Stress</w:t>
      </w:r>
      <w:r w:rsidRPr="007E671A">
        <w:rPr>
          <w:color w:val="auto"/>
          <w:sz w:val="24"/>
          <w:szCs w:val="24"/>
        </w:rPr>
        <w:t xml:space="preserve">. Available at: </w:t>
      </w:r>
      <w:hyperlink r:id="rId49" w:anchor=":~:text=What%20is%20stress%3F,experiences%20stress%20to%20some%20degree" w:history="1">
        <w:r w:rsidRPr="007E671A">
          <w:rPr>
            <w:rStyle w:val="Hyperlink"/>
            <w:color w:val="auto"/>
            <w:sz w:val="24"/>
            <w:szCs w:val="24"/>
            <w:u w:val="none"/>
          </w:rPr>
          <w:t>https://www.who.int/news-room/questions-and-answers/item/stress#:~:text=What%20is%20stress%3F,experiences%20stress%20to%20some%20degree</w:t>
        </w:r>
      </w:hyperlink>
      <w:r w:rsidRPr="007E671A">
        <w:rPr>
          <w:color w:val="auto"/>
          <w:sz w:val="24"/>
          <w:szCs w:val="24"/>
        </w:rPr>
        <w:t>. (Accessed: 20 March 2024).</w:t>
      </w:r>
    </w:p>
    <w:p w14:paraId="08EB5281" w14:textId="77777777" w:rsidR="00310EFD" w:rsidRPr="007E671A" w:rsidRDefault="00310EFD" w:rsidP="00310EFD">
      <w:pPr>
        <w:rPr>
          <w:color w:val="auto"/>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03980D" w14:textId="77777777" w:rsidR="00B261CE" w:rsidRDefault="00B261CE">
      <w:r>
        <w:separator/>
      </w:r>
    </w:p>
  </w:endnote>
  <w:endnote w:type="continuationSeparator" w:id="0">
    <w:p w14:paraId="6FCF1A3E" w14:textId="77777777" w:rsidR="00B261CE" w:rsidRDefault="00B261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D8D037" w14:textId="77777777" w:rsidR="00B261CE" w:rsidRDefault="00B261CE">
      <w:r>
        <w:separator/>
      </w:r>
    </w:p>
  </w:footnote>
  <w:footnote w:type="continuationSeparator" w:id="0">
    <w:p w14:paraId="6337C278" w14:textId="77777777" w:rsidR="00B261CE" w:rsidRDefault="00B261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C6E55"/>
    <w:multiLevelType w:val="multilevel"/>
    <w:tmpl w:val="E4DC8826"/>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
  </w:num>
  <w:num w:numId="2" w16cid:durableId="482046309">
    <w:abstractNumId w:val="2"/>
  </w:num>
  <w:num w:numId="3" w16cid:durableId="293676560">
    <w:abstractNumId w:val="1"/>
  </w:num>
  <w:num w:numId="4" w16cid:durableId="877544857">
    <w:abstractNumId w:val="4"/>
  </w:num>
  <w:num w:numId="5" w16cid:durableId="1568418718">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3"/>
  </w:hdrShapeDefaults>
  <w:footnotePr>
    <w:footnote w:id="-1"/>
    <w:footnote w:id="0"/>
  </w:footnotePr>
  <w:endnotePr>
    <w:endnote w:id="-1"/>
    <w:endnote w:id="0"/>
  </w:endnotePr>
  <w:compat>
    <w:doNotUseHTMLParagraphAutoSpacing/>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3587"/>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6DB8"/>
    <w:rsid w:val="002C256A"/>
    <w:rsid w:val="002C496D"/>
    <w:rsid w:val="002D05EB"/>
    <w:rsid w:val="002D2F29"/>
    <w:rsid w:val="002E7017"/>
    <w:rsid w:val="002F4F6E"/>
    <w:rsid w:val="003015C3"/>
    <w:rsid w:val="0030C684"/>
    <w:rsid w:val="00310EFD"/>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B2AB2"/>
    <w:rsid w:val="003C19F1"/>
    <w:rsid w:val="003C4186"/>
    <w:rsid w:val="003C458C"/>
    <w:rsid w:val="003C4D7B"/>
    <w:rsid w:val="003C6185"/>
    <w:rsid w:val="003D0D2D"/>
    <w:rsid w:val="003D4710"/>
    <w:rsid w:val="003D5D5E"/>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66E8C"/>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0E19"/>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2F0D"/>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670"/>
    <w:rsid w:val="00696F65"/>
    <w:rsid w:val="00697E98"/>
    <w:rsid w:val="006A7A6D"/>
    <w:rsid w:val="006B5E67"/>
    <w:rsid w:val="006B718C"/>
    <w:rsid w:val="006C2EB5"/>
    <w:rsid w:val="006C7CA5"/>
    <w:rsid w:val="006D18A3"/>
    <w:rsid w:val="006D4550"/>
    <w:rsid w:val="006D5970"/>
    <w:rsid w:val="006D7EC7"/>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17C8"/>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B1D"/>
    <w:rsid w:val="00836FEC"/>
    <w:rsid w:val="00841F9D"/>
    <w:rsid w:val="008420E1"/>
    <w:rsid w:val="00842C8A"/>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C7875"/>
    <w:rsid w:val="008D5813"/>
    <w:rsid w:val="008D634E"/>
    <w:rsid w:val="008D778A"/>
    <w:rsid w:val="008F22BD"/>
    <w:rsid w:val="009079BD"/>
    <w:rsid w:val="00910B43"/>
    <w:rsid w:val="00912BD9"/>
    <w:rsid w:val="00920E5B"/>
    <w:rsid w:val="00926436"/>
    <w:rsid w:val="0093018C"/>
    <w:rsid w:val="00932AFF"/>
    <w:rsid w:val="0093669C"/>
    <w:rsid w:val="009544C0"/>
    <w:rsid w:val="00954FA4"/>
    <w:rsid w:val="00956AE9"/>
    <w:rsid w:val="00964CC6"/>
    <w:rsid w:val="00986460"/>
    <w:rsid w:val="00991FDA"/>
    <w:rsid w:val="009927A1"/>
    <w:rsid w:val="009A5F3B"/>
    <w:rsid w:val="009B0B61"/>
    <w:rsid w:val="009B28C0"/>
    <w:rsid w:val="009B32A9"/>
    <w:rsid w:val="009B7136"/>
    <w:rsid w:val="009B7806"/>
    <w:rsid w:val="009C3AC2"/>
    <w:rsid w:val="009D25B4"/>
    <w:rsid w:val="009D4365"/>
    <w:rsid w:val="009D4E3B"/>
    <w:rsid w:val="009D7BC9"/>
    <w:rsid w:val="009E1806"/>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5BD"/>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1CE"/>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BE11CC"/>
    <w:rsid w:val="00BE390C"/>
    <w:rsid w:val="00C01D14"/>
    <w:rsid w:val="00C025B4"/>
    <w:rsid w:val="00C161FD"/>
    <w:rsid w:val="00C23313"/>
    <w:rsid w:val="00C23F17"/>
    <w:rsid w:val="00C26D0D"/>
    <w:rsid w:val="00C27C95"/>
    <w:rsid w:val="00C300D2"/>
    <w:rsid w:val="00C3270F"/>
    <w:rsid w:val="00C3278B"/>
    <w:rsid w:val="00C33375"/>
    <w:rsid w:val="00C34C23"/>
    <w:rsid w:val="00C42005"/>
    <w:rsid w:val="00C44446"/>
    <w:rsid w:val="00C45D79"/>
    <w:rsid w:val="00C4664D"/>
    <w:rsid w:val="00C472AA"/>
    <w:rsid w:val="00C50A05"/>
    <w:rsid w:val="00C54AED"/>
    <w:rsid w:val="00C63D00"/>
    <w:rsid w:val="00C6441B"/>
    <w:rsid w:val="00C7108B"/>
    <w:rsid w:val="00C7372D"/>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044A"/>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A74FD"/>
    <w:rsid w:val="00DB2767"/>
    <w:rsid w:val="00DB33E9"/>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0CFE"/>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4B4DBC44"/>
  <w15:docId w15:val="{8351900E-C04D-49C2-BFF8-5C59E1440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nhideWhenUsed/>
    <w:rsid w:val="0057780F"/>
    <w:rPr>
      <w:sz w:val="16"/>
      <w:szCs w:val="16"/>
    </w:rPr>
  </w:style>
  <w:style w:type="paragraph" w:styleId="CommentText">
    <w:name w:val="annotation text"/>
    <w:basedOn w:val="Normal"/>
    <w:link w:val="CommentTextChar"/>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Caption">
    <w:name w:val="caption"/>
    <w:basedOn w:val="Normal"/>
    <w:next w:val="Normal"/>
    <w:rsid w:val="00C23313"/>
    <w:pPr>
      <w:suppressAutoHyphens/>
      <w:adjustRightInd/>
      <w:spacing w:after="200"/>
    </w:pPr>
    <w:rPr>
      <w:i/>
      <w:iCs/>
      <w:color w:val="0E2841"/>
      <w:sz w:val="18"/>
      <w:szCs w:val="18"/>
    </w:rPr>
  </w:style>
  <w:style w:type="character" w:customStyle="1" w:styleId="cf01">
    <w:name w:val="cf01"/>
    <w:basedOn w:val="DefaultParagraphFont"/>
    <w:rsid w:val="00310EFD"/>
    <w:rPr>
      <w:rFonts w:ascii="Segoe UI" w:hAnsi="Segoe UI" w:cs="Segoe UI"/>
      <w:sz w:val="18"/>
      <w:szCs w:val="18"/>
    </w:rPr>
  </w:style>
  <w:style w:type="character" w:customStyle="1" w:styleId="cf11">
    <w:name w:val="cf11"/>
    <w:basedOn w:val="DefaultParagraphFont"/>
    <w:rsid w:val="00310EFD"/>
    <w:rPr>
      <w:rFonts w:ascii="Segoe UI" w:hAnsi="Segoe UI" w:cs="Segoe UI"/>
      <w:i/>
      <w:iCs/>
      <w:sz w:val="18"/>
      <w:szCs w:val="18"/>
    </w:rPr>
  </w:style>
  <w:style w:type="paragraph" w:styleId="Revision">
    <w:name w:val="Revision"/>
    <w:hidden/>
    <w:uiPriority w:val="99"/>
    <w:semiHidden/>
    <w:rsid w:val="00C7372D"/>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ethics/code-of-ethics/principles" TargetMode="External"/><Relationship Id="rId39" Type="http://schemas.openxmlformats.org/officeDocument/2006/relationships/hyperlink" Target="https://www.makingbusinessmatter.co.uk/betari-box/" TargetMode="External"/><Relationship Id="rId21" Type="http://schemas.openxmlformats.org/officeDocument/2006/relationships/image" Target="media/image3.jpeg"/><Relationship Id="rId34" Type="http://schemas.openxmlformats.org/officeDocument/2006/relationships/hyperlink" Target="https://doi.org/10.1177/0032258X231159807" TargetMode="External"/><Relationship Id="rId42" Type="http://schemas.openxmlformats.org/officeDocument/2006/relationships/hyperlink" Target="https://assets.publishing.service.gov.uk/media/6492e26c103ca6001303a331/achieving-best-evidence-criminal-proceedings-2023.pdf" TargetMode="External"/><Relationship Id="rId47" Type="http://schemas.openxmlformats.org/officeDocument/2006/relationships/hyperlink" Target="https://www.revolutionlearning.co.uk/article/the-betari-box-model/"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gov.uk/data-protection" TargetMode="External"/><Relationship Id="rId11" Type="http://schemas.openxmlformats.org/officeDocument/2006/relationships/image" Target="media/image1.png"/><Relationship Id="rId24" Type="http://schemas.openxmlformats.org/officeDocument/2006/relationships/hyperlink" Target="https://doi.org/10.3390/ijerph15040578" TargetMode="External"/><Relationship Id="rId32" Type="http://schemas.openxmlformats.org/officeDocument/2006/relationships/hyperlink" Target="https://www.justiceinspectorates.gov.uk/hmicfrs/wp-content/uploads/review-of-policing-domestic-abuse-during-the-pandemic-2021.pdf" TargetMode="External"/><Relationship Id="rId37" Type="http://schemas.openxmlformats.org/officeDocument/2006/relationships/hyperlink" Target="https://doi-org.ezproxy.uwtsd.ac.uk/10.1037/men0000013" TargetMode="External"/><Relationship Id="rId40" Type="http://schemas.openxmlformats.org/officeDocument/2006/relationships/hyperlink" Target="https://assets.publishing.service.gov.uk/media/5a80d491e5274a2e8ab5267c/code-of-practice-approved.pdf" TargetMode="External"/><Relationship Id="rId45" Type="http://schemas.openxmlformats.org/officeDocument/2006/relationships/hyperlink" Target="https://www.ons.gov.uk/peoplepopulationandcommunity/wellbeing/adhocs/1854trustinthepoliceuk2022to2023"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a.org/topics/resilience" TargetMode="External"/><Relationship Id="rId28" Type="http://schemas.openxmlformats.org/officeDocument/2006/relationships/hyperlink" Target="https://www.college.police.uk/app/investigation/investigation-process" TargetMode="External"/><Relationship Id="rId36" Type="http://schemas.openxmlformats.org/officeDocument/2006/relationships/hyperlink" Target="https://www.bbc.co.uk/news/newsbeat-53365011" TargetMode="External"/><Relationship Id="rId49" Type="http://schemas.openxmlformats.org/officeDocument/2006/relationships/hyperlink" Target="https://www.who.int/news-room/questions-and-answers/item/stres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108/APJML-01-2014-0013" TargetMode="External"/><Relationship Id="rId44" Type="http://schemas.openxmlformats.org/officeDocument/2006/relationships/hyperlink" Target="https://www.ons.gov.uk/releases/crimeinenglandandwalesyearendingmarch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a.org/topics/mindfulness/meditation" TargetMode="External"/><Relationship Id="rId27" Type="http://schemas.openxmlformats.org/officeDocument/2006/relationships/hyperlink" Target="https://www.college.police.uk/app/investigation/investigative-interviewing/investigative-interviewing" TargetMode="External"/><Relationship Id="rId30" Type="http://schemas.openxmlformats.org/officeDocument/2006/relationships/hyperlink" Target="https://weqip.com/the-3cs-of-psychological-hardiness/" TargetMode="External"/><Relationship Id="rId35" Type="http://schemas.openxmlformats.org/officeDocument/2006/relationships/hyperlink" Target="https://doi.org/10.37464/2020.384.395" TargetMode="External"/><Relationship Id="rId43" Type="http://schemas.openxmlformats.org/officeDocument/2006/relationships/hyperlink" Target="https://doi.org/10.1016/S2468-2667(20)30075-X" TargetMode="External"/><Relationship Id="rId48" Type="http://schemas.openxmlformats.org/officeDocument/2006/relationships/hyperlink" Target="https://safelives.org.uk/research-policy/practitioner-datasets/marac-data/"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ezproxy.uwtsd.ac.uk/10.1037/men0000206" TargetMode="External"/><Relationship Id="rId33" Type="http://schemas.openxmlformats.org/officeDocument/2006/relationships/hyperlink" Target="https://hmicfrs.justiceinspectorates.gov.uk/glossary/public-protection-notice/" TargetMode="External"/><Relationship Id="rId38" Type="http://schemas.openxmlformats.org/officeDocument/2006/relationships/hyperlink" Target="https://doi.org/10.1016/j.jretconser.2009.02.001" TargetMode="External"/><Relationship Id="rId46" Type="http://schemas.openxmlformats.org/officeDocument/2006/relationships/hyperlink" Target="https://www.legislation.gov.uk/ukpga/1984/60/section/30A" TargetMode="External"/><Relationship Id="rId20" Type="http://schemas.openxmlformats.org/officeDocument/2006/relationships/image" Target="media/image2.png"/><Relationship Id="rId41" Type="http://schemas.openxmlformats.org/officeDocument/2006/relationships/hyperlink" Target="https://www.gov.uk/government/publications/the-code-of-practice-for-victims-of-crime/code-of-practice-for-victims-of-crime-in-england-and-wales-victims-cod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28</Pages>
  <Words>9337</Words>
  <Characters>53224</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Duarte Serrao,Monica swp8792</cp:lastModifiedBy>
  <cp:revision>4</cp:revision>
  <cp:lastPrinted>2019-08-13T11:47:00Z</cp:lastPrinted>
  <dcterms:created xsi:type="dcterms:W3CDTF">2023-10-05T14:42:00Z</dcterms:created>
  <dcterms:modified xsi:type="dcterms:W3CDTF">2024-06-29T09:09:00Z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