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192BE7" w14:textId="0BB13BEB" w:rsidR="000669EE" w:rsidRDefault="000669EE" w:rsidP="000669EE">
      <w:pPr>
        <w:spacing w:after="134"/>
        <w:rPr>
          <w:rFonts w:asciiTheme="majorHAnsi" w:hAnsiTheme="majorHAnsi" w:cstheme="majorHAnsi"/>
          <w:b/>
          <w:color w:val="3A7C22" w:themeColor="accent6" w:themeShade="BF"/>
          <w:sz w:val="48"/>
        </w:rPr>
      </w:pPr>
      <w:r>
        <w:rPr>
          <w:rFonts w:asciiTheme="majorHAnsi" w:hAnsiTheme="majorHAnsi" w:cstheme="majorHAnsi"/>
          <w:b/>
          <w:noProof/>
          <w:color w:val="3A7C22" w:themeColor="accent6" w:themeShade="BF"/>
          <w:sz w:val="48"/>
        </w:rPr>
        <w:drawing>
          <wp:anchor distT="0" distB="0" distL="114300" distR="114300" simplePos="0" relativeHeight="251658240" behindDoc="1" locked="0" layoutInCell="1" allowOverlap="1" wp14:anchorId="7215BEDB" wp14:editId="11528540">
            <wp:simplePos x="0" y="0"/>
            <wp:positionH relativeFrom="column">
              <wp:posOffset>-622300</wp:posOffset>
            </wp:positionH>
            <wp:positionV relativeFrom="paragraph">
              <wp:posOffset>342265</wp:posOffset>
            </wp:positionV>
            <wp:extent cx="1315085" cy="794385"/>
            <wp:effectExtent l="0" t="0" r="0" b="5715"/>
            <wp:wrapTight wrapText="bothSides">
              <wp:wrapPolygon edited="0">
                <wp:start x="0" y="0"/>
                <wp:lineTo x="0" y="21237"/>
                <wp:lineTo x="21277" y="21237"/>
                <wp:lineTo x="21277" y="0"/>
                <wp:lineTo x="0" y="0"/>
              </wp:wrapPolygon>
            </wp:wrapTight>
            <wp:docPr id="13774674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5085" cy="794385"/>
                    </a:xfrm>
                    <a:prstGeom prst="rect">
                      <a:avLst/>
                    </a:prstGeom>
                    <a:noFill/>
                  </pic:spPr>
                </pic:pic>
              </a:graphicData>
            </a:graphic>
            <wp14:sizeRelH relativeFrom="margin">
              <wp14:pctWidth>0</wp14:pctWidth>
            </wp14:sizeRelH>
            <wp14:sizeRelV relativeFrom="margin">
              <wp14:pctHeight>0</wp14:pctHeight>
            </wp14:sizeRelV>
          </wp:anchor>
        </w:drawing>
      </w:r>
    </w:p>
    <w:p w14:paraId="3D45A5F8" w14:textId="49D1AB9B" w:rsidR="00FF2113" w:rsidRPr="00062104" w:rsidRDefault="00FF2113" w:rsidP="000669EE">
      <w:pPr>
        <w:spacing w:after="134"/>
        <w:jc w:val="center"/>
        <w:rPr>
          <w:rFonts w:asciiTheme="majorHAnsi" w:hAnsiTheme="majorHAnsi" w:cstheme="majorHAnsi"/>
          <w:b/>
          <w:color w:val="3A7C22" w:themeColor="accent6" w:themeShade="BF"/>
        </w:rPr>
      </w:pPr>
      <w:r>
        <w:rPr>
          <w:rFonts w:asciiTheme="majorHAnsi" w:hAnsiTheme="majorHAnsi" w:cstheme="majorHAnsi"/>
          <w:b/>
          <w:color w:val="3A7C22" w:themeColor="accent6" w:themeShade="BF"/>
          <w:sz w:val="48"/>
        </w:rPr>
        <w:t xml:space="preserve">Therapeutic </w:t>
      </w:r>
      <w:r w:rsidR="000669EE">
        <w:rPr>
          <w:rFonts w:asciiTheme="majorHAnsi" w:hAnsiTheme="majorHAnsi" w:cstheme="majorHAnsi"/>
          <w:b/>
          <w:color w:val="3A7C22" w:themeColor="accent6" w:themeShade="BF"/>
          <w:sz w:val="48"/>
        </w:rPr>
        <w:t>Techniques Evaluation Table</w:t>
      </w:r>
    </w:p>
    <w:p w14:paraId="4F0A6215" w14:textId="00DCFD91" w:rsidR="00FF2113" w:rsidRDefault="003D0B7D" w:rsidP="003D0B7D">
      <w:r>
        <w:t xml:space="preserve">Submission date: </w:t>
      </w:r>
      <w:r w:rsidRPr="00F902DE">
        <w:rPr>
          <w:rFonts w:eastAsiaTheme="majorEastAsia" w:cstheme="minorHAnsi"/>
          <w:b/>
          <w:color w:val="000000" w:themeColor="text1"/>
          <w:sz w:val="24"/>
          <w:szCs w:val="24"/>
        </w:rPr>
        <w:t>2</w:t>
      </w:r>
      <w:r>
        <w:rPr>
          <w:rFonts w:eastAsiaTheme="majorEastAsia" w:cstheme="minorHAnsi"/>
          <w:b/>
          <w:color w:val="000000" w:themeColor="text1"/>
          <w:sz w:val="24"/>
          <w:szCs w:val="24"/>
        </w:rPr>
        <w:t>4</w:t>
      </w:r>
      <w:r w:rsidRPr="00F902DE">
        <w:rPr>
          <w:rFonts w:eastAsiaTheme="majorEastAsia" w:cstheme="minorHAnsi"/>
          <w:b/>
          <w:color w:val="000000" w:themeColor="text1"/>
          <w:sz w:val="24"/>
          <w:szCs w:val="24"/>
          <w:vertAlign w:val="superscript"/>
        </w:rPr>
        <w:t>th</w:t>
      </w:r>
      <w:r w:rsidRPr="00F902DE">
        <w:rPr>
          <w:rFonts w:eastAsiaTheme="majorEastAsia" w:cstheme="minorHAnsi"/>
          <w:b/>
          <w:color w:val="000000" w:themeColor="text1"/>
          <w:sz w:val="24"/>
          <w:szCs w:val="24"/>
        </w:rPr>
        <w:t xml:space="preserve"> February 202</w:t>
      </w:r>
      <w:r>
        <w:rPr>
          <w:rFonts w:eastAsiaTheme="majorEastAsia" w:cstheme="minorHAnsi"/>
          <w:b/>
          <w:color w:val="000000" w:themeColor="text1"/>
          <w:sz w:val="24"/>
          <w:szCs w:val="24"/>
        </w:rPr>
        <w:t>6</w:t>
      </w:r>
      <w:r w:rsidRPr="00F902DE">
        <w:rPr>
          <w:rFonts w:eastAsiaTheme="majorEastAsia" w:cstheme="minorHAnsi"/>
          <w:b/>
          <w:color w:val="000000" w:themeColor="text1"/>
          <w:sz w:val="24"/>
          <w:szCs w:val="24"/>
        </w:rPr>
        <w:t xml:space="preserve"> </w:t>
      </w:r>
      <w:r w:rsidR="00874516" w:rsidRPr="00F902DE">
        <w:rPr>
          <w:rFonts w:eastAsiaTheme="majorEastAsia" w:cstheme="minorHAnsi"/>
          <w:b/>
          <w:color w:val="000000" w:themeColor="text1"/>
          <w:sz w:val="24"/>
          <w:szCs w:val="24"/>
        </w:rPr>
        <w:t>by</w:t>
      </w:r>
      <w:r w:rsidRPr="00F902DE">
        <w:rPr>
          <w:rFonts w:eastAsiaTheme="majorEastAsia" w:cstheme="minorHAnsi"/>
          <w:b/>
          <w:color w:val="000000" w:themeColor="text1"/>
          <w:sz w:val="24"/>
          <w:szCs w:val="24"/>
        </w:rPr>
        <w:t xml:space="preserve"> 23:58</w:t>
      </w:r>
    </w:p>
    <w:tbl>
      <w:tblPr>
        <w:tblStyle w:val="TableGrid"/>
        <w:tblW w:w="15735" w:type="dxa"/>
        <w:tblInd w:w="-998" w:type="dxa"/>
        <w:tblLook w:val="04A0" w:firstRow="1" w:lastRow="0" w:firstColumn="1" w:lastColumn="0" w:noHBand="0" w:noVBand="1"/>
      </w:tblPr>
      <w:tblGrid>
        <w:gridCol w:w="2127"/>
        <w:gridCol w:w="3261"/>
        <w:gridCol w:w="5244"/>
        <w:gridCol w:w="5103"/>
      </w:tblGrid>
      <w:tr w:rsidR="00FF2113" w14:paraId="6E9C4AD7" w14:textId="77777777" w:rsidTr="000669EE">
        <w:tc>
          <w:tcPr>
            <w:tcW w:w="2127" w:type="dxa"/>
            <w:shd w:val="clear" w:color="auto" w:fill="D1D1D1" w:themeFill="background2" w:themeFillShade="E6"/>
          </w:tcPr>
          <w:p w14:paraId="74BE2719" w14:textId="3ED35FFA" w:rsidR="00FF2113" w:rsidRPr="000669EE" w:rsidRDefault="00FF2113">
            <w:pPr>
              <w:rPr>
                <w:b/>
                <w:bCs/>
              </w:rPr>
            </w:pPr>
            <w:r w:rsidRPr="000669EE">
              <w:rPr>
                <w:b/>
                <w:bCs/>
              </w:rPr>
              <w:t xml:space="preserve">Therapeutic technique </w:t>
            </w:r>
          </w:p>
        </w:tc>
        <w:tc>
          <w:tcPr>
            <w:tcW w:w="3261" w:type="dxa"/>
            <w:shd w:val="clear" w:color="auto" w:fill="D1D1D1" w:themeFill="background2" w:themeFillShade="E6"/>
          </w:tcPr>
          <w:p w14:paraId="3DEEDFDF" w14:textId="47D549EC" w:rsidR="00FF2113" w:rsidRPr="000669EE" w:rsidRDefault="00FF2113">
            <w:pPr>
              <w:rPr>
                <w:b/>
                <w:bCs/>
              </w:rPr>
            </w:pPr>
            <w:r w:rsidRPr="000669EE">
              <w:rPr>
                <w:b/>
                <w:bCs/>
              </w:rPr>
              <w:t xml:space="preserve">Description </w:t>
            </w:r>
          </w:p>
        </w:tc>
        <w:tc>
          <w:tcPr>
            <w:tcW w:w="5244" w:type="dxa"/>
            <w:shd w:val="clear" w:color="auto" w:fill="D1D1D1" w:themeFill="background2" w:themeFillShade="E6"/>
          </w:tcPr>
          <w:p w14:paraId="100F362C" w14:textId="32E4B1CD" w:rsidR="00FF2113" w:rsidRPr="000669EE" w:rsidRDefault="00FF2113">
            <w:pPr>
              <w:rPr>
                <w:b/>
                <w:bCs/>
              </w:rPr>
            </w:pPr>
            <w:r w:rsidRPr="000669EE">
              <w:rPr>
                <w:b/>
                <w:bCs/>
              </w:rPr>
              <w:t xml:space="preserve">Example of </w:t>
            </w:r>
            <w:r w:rsidR="00B80729">
              <w:rPr>
                <w:b/>
                <w:bCs/>
              </w:rPr>
              <w:t xml:space="preserve">how you could use it, it’s importance and benefits within your role. </w:t>
            </w:r>
            <w:r w:rsidRPr="000669EE">
              <w:rPr>
                <w:b/>
                <w:bCs/>
              </w:rPr>
              <w:t xml:space="preserve"> </w:t>
            </w:r>
          </w:p>
        </w:tc>
        <w:tc>
          <w:tcPr>
            <w:tcW w:w="5103" w:type="dxa"/>
            <w:shd w:val="clear" w:color="auto" w:fill="D1D1D1" w:themeFill="background2" w:themeFillShade="E6"/>
          </w:tcPr>
          <w:p w14:paraId="329DE664" w14:textId="777CFF13" w:rsidR="00FF2113" w:rsidRPr="000669EE" w:rsidRDefault="000669EE">
            <w:pPr>
              <w:rPr>
                <w:b/>
                <w:bCs/>
              </w:rPr>
            </w:pPr>
            <w:r>
              <w:rPr>
                <w:b/>
                <w:bCs/>
              </w:rPr>
              <w:t>Examples of the c</w:t>
            </w:r>
            <w:r w:rsidR="00FF2113" w:rsidRPr="000669EE">
              <w:rPr>
                <w:b/>
                <w:bCs/>
              </w:rPr>
              <w:t xml:space="preserve">hallenges or drawbacks to using this method within your role </w:t>
            </w:r>
          </w:p>
        </w:tc>
      </w:tr>
      <w:tr w:rsidR="00FF2113" w14:paraId="52273059" w14:textId="77777777" w:rsidTr="000669EE">
        <w:tc>
          <w:tcPr>
            <w:tcW w:w="2127" w:type="dxa"/>
            <w:shd w:val="clear" w:color="auto" w:fill="E8E8E8" w:themeFill="background2"/>
          </w:tcPr>
          <w:p w14:paraId="333B18DF" w14:textId="77777777" w:rsidR="00FF2113" w:rsidRDefault="000669EE">
            <w:r>
              <w:t xml:space="preserve">Active listening </w:t>
            </w:r>
          </w:p>
          <w:p w14:paraId="191E40CC" w14:textId="77777777" w:rsidR="000669EE" w:rsidRDefault="000669EE"/>
          <w:p w14:paraId="0A456D82" w14:textId="441B442A" w:rsidR="000669EE" w:rsidRDefault="000669EE"/>
        </w:tc>
        <w:tc>
          <w:tcPr>
            <w:tcW w:w="3261" w:type="dxa"/>
          </w:tcPr>
          <w:p w14:paraId="2486D8CA" w14:textId="5D588CB2" w:rsidR="000669EE" w:rsidRDefault="00755115" w:rsidP="00A271D3">
            <w:pPr>
              <w:spacing w:line="360" w:lineRule="auto"/>
            </w:pPr>
            <w:r>
              <w:t xml:space="preserve">Active listening is </w:t>
            </w:r>
            <w:r w:rsidR="00A5142F">
              <w:t>well recognised communication technique that goes beyond passive hearing and involves a person to establish a deeper connection.   Active listening involves concentrating, understanding, responding and summarising what has been said by another person (Spataro, E, S., and Bloch, S., 2017).</w:t>
            </w:r>
          </w:p>
        </w:tc>
        <w:tc>
          <w:tcPr>
            <w:tcW w:w="5244" w:type="dxa"/>
          </w:tcPr>
          <w:p w14:paraId="64377893" w14:textId="4DA329B6" w:rsidR="00FF2113" w:rsidRDefault="005E70D1" w:rsidP="00A271D3">
            <w:pPr>
              <w:spacing w:line="360" w:lineRule="auto"/>
            </w:pPr>
            <w:r>
              <w:t xml:space="preserve">With the nature of the role of Therapy Assistant Practitioner </w:t>
            </w:r>
            <w:r w:rsidR="00E96C38">
              <w:t xml:space="preserve">(TAP) </w:t>
            </w:r>
            <w:r>
              <w:t xml:space="preserve">in Acute </w:t>
            </w:r>
            <w:r w:rsidR="00050C47">
              <w:t>Oncology</w:t>
            </w:r>
            <w:r w:rsidR="00E96C38">
              <w:t xml:space="preserve"> (AO)</w:t>
            </w:r>
            <w:r w:rsidR="00050C47">
              <w:t>,</w:t>
            </w:r>
            <w:r>
              <w:t xml:space="preserve"> </w:t>
            </w:r>
            <w:r w:rsidR="00050C47">
              <w:t xml:space="preserve">they </w:t>
            </w:r>
            <w:r w:rsidR="001436E1">
              <w:t>a</w:t>
            </w:r>
            <w:r w:rsidR="00050C47">
              <w:t>re</w:t>
            </w:r>
            <w:r w:rsidR="001436E1">
              <w:t xml:space="preserve"> often the first person a patient sees from </w:t>
            </w:r>
            <w:r w:rsidR="00050C47">
              <w:t>the</w:t>
            </w:r>
            <w:r w:rsidR="001436E1">
              <w:t xml:space="preserve"> team and</w:t>
            </w:r>
            <w:r w:rsidR="00050C47">
              <w:t xml:space="preserve"> the</w:t>
            </w:r>
            <w:r w:rsidR="001436E1">
              <w:t xml:space="preserve"> main aim in that first interaction is t</w:t>
            </w:r>
            <w:r w:rsidR="00050C47">
              <w:t xml:space="preserve">o </w:t>
            </w:r>
            <w:r w:rsidR="001436E1">
              <w:t>screen for the Allied Health Professionals</w:t>
            </w:r>
            <w:r w:rsidR="00F425DC">
              <w:t xml:space="preserve"> (AHPs)</w:t>
            </w:r>
            <w:r w:rsidR="001436E1">
              <w:t>.  Active listening is a vital skill within the screening process as it is typically a 1-1 interaction.  Using active listening strategies such as open posture</w:t>
            </w:r>
            <w:r w:rsidR="00050C47">
              <w:t xml:space="preserve"> and </w:t>
            </w:r>
            <w:r w:rsidR="001436E1">
              <w:t xml:space="preserve">sitting down </w:t>
            </w:r>
            <w:r w:rsidR="00050C47">
              <w:t>to avoid</w:t>
            </w:r>
            <w:r w:rsidR="001436E1">
              <w:t xml:space="preserve"> leaning over patient</w:t>
            </w:r>
            <w:r w:rsidR="00050C47">
              <w:t>, encourag</w:t>
            </w:r>
            <w:r w:rsidR="00E96C38">
              <w:t>ing</w:t>
            </w:r>
            <w:r w:rsidR="00050C47">
              <w:t xml:space="preserve"> eye contact can help </w:t>
            </w:r>
            <w:r w:rsidR="001436E1">
              <w:t xml:space="preserve">to foster a rapport with a patient.  </w:t>
            </w:r>
            <w:r w:rsidR="006A7405">
              <w:t xml:space="preserve">Active listening plays an important role in establishing relationships with patients and this is important during the screening process as it can encourage patients to be more open and accurate with the information they provide (Blevins, 2023).  </w:t>
            </w:r>
            <w:r w:rsidR="001436E1">
              <w:t>Using open questions</w:t>
            </w:r>
            <w:r w:rsidR="00F425DC">
              <w:t xml:space="preserve">, paraphrasing and </w:t>
            </w:r>
            <w:r w:rsidR="00F425DC">
              <w:lastRenderedPageBreak/>
              <w:t>summarising to ensure</w:t>
            </w:r>
            <w:r w:rsidR="006A7405">
              <w:t xml:space="preserve"> </w:t>
            </w:r>
            <w:r w:rsidR="00E96C38">
              <w:t xml:space="preserve">the TAP </w:t>
            </w:r>
            <w:r w:rsidR="00F425DC">
              <w:t xml:space="preserve">accurately understood the information provided </w:t>
            </w:r>
            <w:r w:rsidR="00050C47">
              <w:t>are key strategies</w:t>
            </w:r>
            <w:r w:rsidR="00E96C38">
              <w:t>.  R</w:t>
            </w:r>
            <w:r w:rsidR="00F425DC">
              <w:t>ecognis</w:t>
            </w:r>
            <w:r w:rsidR="00050C47">
              <w:t>ing</w:t>
            </w:r>
            <w:r w:rsidR="00F425DC">
              <w:t xml:space="preserve"> non-verbal cues which </w:t>
            </w:r>
            <w:r w:rsidR="00050C47">
              <w:t xml:space="preserve">help foster a positive relationship and can also help inform </w:t>
            </w:r>
            <w:r w:rsidR="00F425DC">
              <w:t>further input</w:t>
            </w:r>
            <w:r w:rsidR="00050C47">
              <w:t xml:space="preserve"> and</w:t>
            </w:r>
            <w:r w:rsidR="00F425DC">
              <w:t xml:space="preserve"> </w:t>
            </w:r>
            <w:r w:rsidR="00050C47">
              <w:t>helps</w:t>
            </w:r>
            <w:r w:rsidR="00F425DC">
              <w:t xml:space="preserve"> ensure accurate referral to AHPs</w:t>
            </w:r>
            <w:r w:rsidR="006A7405">
              <w:t xml:space="preserve">.  </w:t>
            </w:r>
            <w:r w:rsidR="00C520C8">
              <w:t xml:space="preserve">Active listening </w:t>
            </w:r>
            <w:r w:rsidR="00050C47">
              <w:t xml:space="preserve">strategies </w:t>
            </w:r>
            <w:r w:rsidR="00C520C8">
              <w:t>can be helpful when reviewing patients, for example identifying how they are managing with taking nutritional supplements – being observant for non-verbal cues when discussing compliance and how they are managing to build up their appetite</w:t>
            </w:r>
            <w:r w:rsidR="00050C47">
              <w:t xml:space="preserve"> and what support they may or may not have from family and friends</w:t>
            </w:r>
            <w:r w:rsidR="00C520C8">
              <w:t xml:space="preserve">.  </w:t>
            </w:r>
          </w:p>
        </w:tc>
        <w:tc>
          <w:tcPr>
            <w:tcW w:w="5103" w:type="dxa"/>
          </w:tcPr>
          <w:p w14:paraId="1BC840BD" w14:textId="574A5C82" w:rsidR="00FF2113" w:rsidRDefault="00F425DC" w:rsidP="00A271D3">
            <w:pPr>
              <w:spacing w:line="360" w:lineRule="auto"/>
            </w:pPr>
            <w:r>
              <w:lastRenderedPageBreak/>
              <w:t xml:space="preserve">The </w:t>
            </w:r>
            <w:proofErr w:type="gramStart"/>
            <w:r>
              <w:t>challenges</w:t>
            </w:r>
            <w:proofErr w:type="gramEnd"/>
            <w:r>
              <w:t xml:space="preserve"> with active listening i</w:t>
            </w:r>
            <w:r w:rsidR="00E96C38">
              <w:t>s that i</w:t>
            </w:r>
            <w:r>
              <w:t>t can be time consuming and sometimes there are time pressures within the role which means active listening techniques might not be fully utilised.  In addition</w:t>
            </w:r>
            <w:r w:rsidR="009D3DBE">
              <w:t xml:space="preserve">, working in acute oncology </w:t>
            </w:r>
            <w:r w:rsidR="00E96C38">
              <w:t xml:space="preserve">it </w:t>
            </w:r>
            <w:r w:rsidR="009D3DBE">
              <w:t xml:space="preserve">can be a challenging to hear difficult experiences </w:t>
            </w:r>
            <w:r w:rsidR="005E70D1">
              <w:t xml:space="preserve">from patients </w:t>
            </w:r>
            <w:r w:rsidR="009D3DBE">
              <w:t xml:space="preserve">and burnout </w:t>
            </w:r>
            <w:r w:rsidR="005E70D1">
              <w:t xml:space="preserve">can occur – this can result in lack of interest </w:t>
            </w:r>
            <w:r w:rsidR="00D43F22">
              <w:t>and avoidance of probing further</w:t>
            </w:r>
            <w:r w:rsidR="005E70D1">
              <w:t xml:space="preserve">.  </w:t>
            </w:r>
          </w:p>
          <w:p w14:paraId="53CDA7B4" w14:textId="497384B8" w:rsidR="005E70D1" w:rsidRDefault="005E70D1" w:rsidP="00A271D3">
            <w:pPr>
              <w:spacing w:line="360" w:lineRule="auto"/>
            </w:pPr>
            <w:r>
              <w:t xml:space="preserve">Some other challenges to be aware of is pre-conceived ideas/cognitive bias regarding a patient and this has the potential to affect how </w:t>
            </w:r>
            <w:r w:rsidR="00D43F22">
              <w:t xml:space="preserve">they are </w:t>
            </w:r>
            <w:r>
              <w:t>listen</w:t>
            </w:r>
            <w:r w:rsidR="00D43F22">
              <w:t>ed</w:t>
            </w:r>
            <w:r>
              <w:t xml:space="preserve"> to </w:t>
            </w:r>
            <w:r w:rsidR="00D43F22">
              <w:t xml:space="preserve">and it </w:t>
            </w:r>
            <w:r>
              <w:t xml:space="preserve">can distort how </w:t>
            </w:r>
            <w:r w:rsidR="00D43F22">
              <w:t xml:space="preserve">information is heard and interpreted and can result in the healthcare professional </w:t>
            </w:r>
            <w:r w:rsidR="00210190">
              <w:t xml:space="preserve">to be selective in what they hear and use the information provided and undervaluing what is being said by the </w:t>
            </w:r>
            <w:r w:rsidR="00210190">
              <w:lastRenderedPageBreak/>
              <w:t xml:space="preserve">patient/carer/family (Meguerdichian, M, J., </w:t>
            </w:r>
            <w:r w:rsidR="00210190" w:rsidRPr="00210190">
              <w:rPr>
                <w:i/>
                <w:iCs/>
              </w:rPr>
              <w:t>et al,</w:t>
            </w:r>
            <w:r w:rsidR="00210190">
              <w:t xml:space="preserve"> 2024).</w:t>
            </w:r>
          </w:p>
          <w:p w14:paraId="3F198C46" w14:textId="680E9B96" w:rsidR="005E70D1" w:rsidRDefault="005E70D1" w:rsidP="00A271D3">
            <w:pPr>
              <w:spacing w:line="360" w:lineRule="auto"/>
            </w:pPr>
            <w:r>
              <w:t>One thing that is particularly challenging when trying to talk to patients is the lack of privacy on hospital wards, they are also incredibly noisy and disruptive environments which can have a significant impact on ability to listen properly to what patients are saying, a reluctance to probe further with a lack of privacy</w:t>
            </w:r>
            <w:r w:rsidR="00D43F22">
              <w:t xml:space="preserve"> can also be a drawback.</w:t>
            </w:r>
          </w:p>
        </w:tc>
      </w:tr>
      <w:tr w:rsidR="00FF2113" w14:paraId="0B9EE689" w14:textId="77777777" w:rsidTr="000669EE">
        <w:tc>
          <w:tcPr>
            <w:tcW w:w="2127" w:type="dxa"/>
            <w:shd w:val="clear" w:color="auto" w:fill="E8E8E8" w:themeFill="background2"/>
          </w:tcPr>
          <w:p w14:paraId="33506638" w14:textId="77777777" w:rsidR="00FF2113" w:rsidRDefault="000669EE">
            <w:r>
              <w:lastRenderedPageBreak/>
              <w:t xml:space="preserve">Motivational interviewing </w:t>
            </w:r>
          </w:p>
          <w:p w14:paraId="55991956" w14:textId="77777777" w:rsidR="000669EE" w:rsidRDefault="000669EE"/>
          <w:p w14:paraId="447694C8" w14:textId="3C45B81D" w:rsidR="000669EE" w:rsidRDefault="000669EE"/>
        </w:tc>
        <w:tc>
          <w:tcPr>
            <w:tcW w:w="3261" w:type="dxa"/>
          </w:tcPr>
          <w:p w14:paraId="14369D51" w14:textId="4377F3EE" w:rsidR="000669EE" w:rsidRDefault="00A61286" w:rsidP="00A271D3">
            <w:pPr>
              <w:spacing w:line="360" w:lineRule="auto"/>
            </w:pPr>
            <w:r>
              <w:t xml:space="preserve">Motivational interviewing is </w:t>
            </w:r>
            <w:r w:rsidR="00874516">
              <w:t>partnership-based communication style centred on a person’s own ‘change talk’.  It is designed to empower individuals to achieve specific goals by exploring their internal motivations in an atmosphere of respect and care.</w:t>
            </w:r>
          </w:p>
        </w:tc>
        <w:tc>
          <w:tcPr>
            <w:tcW w:w="5244" w:type="dxa"/>
          </w:tcPr>
          <w:p w14:paraId="0E3DEC0B" w14:textId="1F51862F" w:rsidR="00FF2113" w:rsidRDefault="00E25105" w:rsidP="005832A6">
            <w:pPr>
              <w:spacing w:line="360" w:lineRule="auto"/>
            </w:pPr>
            <w:r>
              <w:t xml:space="preserve">Using motivational interviewing </w:t>
            </w:r>
            <w:r w:rsidR="00EA4A30">
              <w:t xml:space="preserve">(MI) </w:t>
            </w:r>
            <w:r>
              <w:t xml:space="preserve">techniques in practice can be beneficial </w:t>
            </w:r>
            <w:r w:rsidR="005832A6">
              <w:t xml:space="preserve">as it moves away from the ‘expert’ role and encourages a collaborative approach with the patients. Using the OARS framework including open questions, affirmations, reflections, and summaries allows for the TAP to support and empower the patient to find their own reasons for focusing on their treatment or rehab.  By using </w:t>
            </w:r>
            <w:r w:rsidR="00F32B49">
              <w:t>MI,</w:t>
            </w:r>
            <w:r w:rsidR="005832A6">
              <w:t xml:space="preserve"> it can empower patients to better </w:t>
            </w:r>
            <w:r w:rsidR="00394D4F">
              <w:t>self-</w:t>
            </w:r>
            <w:r w:rsidR="00394D4F">
              <w:lastRenderedPageBreak/>
              <w:t>manage</w:t>
            </w:r>
            <w:r w:rsidR="005832A6">
              <w:t xml:space="preserve"> side effects </w:t>
            </w:r>
            <w:r w:rsidR="00394D4F">
              <w:t xml:space="preserve">of cancer </w:t>
            </w:r>
            <w:r w:rsidR="005832A6">
              <w:t>such as fatigue by helping them voice their own solutions rather than just receiving advic</w:t>
            </w:r>
            <w:r w:rsidR="00F32B49">
              <w:t>e and set realistic goals (Ehrlich, Berry, Gorman, and Brandoff, 2020)</w:t>
            </w:r>
            <w:r w:rsidR="005832A6">
              <w:t>.  MI strategies also help promote a safe and non-judgemental space for patients to discuss their concerns and worries.</w:t>
            </w:r>
          </w:p>
        </w:tc>
        <w:tc>
          <w:tcPr>
            <w:tcW w:w="5103" w:type="dxa"/>
          </w:tcPr>
          <w:p w14:paraId="78951DA3" w14:textId="3FAE207E" w:rsidR="00FF2113" w:rsidRDefault="008C2054" w:rsidP="008C2054">
            <w:pPr>
              <w:spacing w:line="360" w:lineRule="auto"/>
            </w:pPr>
            <w:r>
              <w:lastRenderedPageBreak/>
              <w:t xml:space="preserve">Implementing MI in acute oncology as it can present several practical challenges, a significant one being time constraints as it is fast paced service, very often you only see a patient for a very short period of time, and it can inhibit the depth of interaction MI typically needs to be beneficial.   In addition to this it can be hard not to fall into the ‘righting reflex’ and the urge to provide immediate solutions for </w:t>
            </w:r>
            <w:r w:rsidR="0029078A">
              <w:t xml:space="preserve">patients </w:t>
            </w:r>
            <w:r w:rsidR="00FA33F1">
              <w:t xml:space="preserve">encouraging the TAP to be </w:t>
            </w:r>
            <w:r w:rsidR="00FA33F1">
              <w:lastRenderedPageBreak/>
              <w:t>more directive and this can trigger resistance in a patient, this can obstruct collaborative and empathetic communication that is vital to support behaviour change (Simmons, 2023)</w:t>
            </w:r>
            <w:r w:rsidR="0029078A">
              <w:t xml:space="preserve">.  In </w:t>
            </w:r>
            <w:r w:rsidR="00FA33F1">
              <w:t>addition,</w:t>
            </w:r>
            <w:r w:rsidR="0029078A">
              <w:t xml:space="preserve"> patients may also present barriers as they can often be at a crisis point, experiencing cancer related fatigue or cognitive impairment and either want solutions or find it difficult to engage in reflective change talk.</w:t>
            </w:r>
          </w:p>
        </w:tc>
      </w:tr>
      <w:tr w:rsidR="00FF2113" w14:paraId="162AF924" w14:textId="77777777" w:rsidTr="000669EE">
        <w:tc>
          <w:tcPr>
            <w:tcW w:w="2127" w:type="dxa"/>
            <w:shd w:val="clear" w:color="auto" w:fill="E8E8E8" w:themeFill="background2"/>
          </w:tcPr>
          <w:p w14:paraId="29777D6C" w14:textId="77777777" w:rsidR="00FF2113" w:rsidRDefault="000669EE">
            <w:r>
              <w:lastRenderedPageBreak/>
              <w:t xml:space="preserve">Goal setting </w:t>
            </w:r>
          </w:p>
          <w:p w14:paraId="4BB32418" w14:textId="77777777" w:rsidR="000669EE" w:rsidRDefault="000669EE"/>
          <w:p w14:paraId="69FED408" w14:textId="4E9FD5B0" w:rsidR="000669EE" w:rsidRDefault="000669EE"/>
        </w:tc>
        <w:tc>
          <w:tcPr>
            <w:tcW w:w="3261" w:type="dxa"/>
          </w:tcPr>
          <w:p w14:paraId="701934EF" w14:textId="2E14D02E" w:rsidR="000669EE" w:rsidRDefault="00874516" w:rsidP="00A271D3">
            <w:pPr>
              <w:spacing w:line="360" w:lineRule="auto"/>
            </w:pPr>
            <w:r>
              <w:t xml:space="preserve">Goal setting is a complex change-focused process that integrates </w:t>
            </w:r>
            <w:r w:rsidR="00F4795A">
              <w:t>an individual’s motivation, commitment and self-confidence to reach defined targets.  A common structure used for goal setting is SMART framework ensuring goals are specific, measurable, achievable, realistic and time bound</w:t>
            </w:r>
            <w:r w:rsidR="00FA33F1">
              <w:t xml:space="preserve">.  </w:t>
            </w:r>
            <w:r w:rsidR="00F4795A">
              <w:t xml:space="preserve">Goals do need to be adaptable to living commitments that align with </w:t>
            </w:r>
            <w:r w:rsidR="00F4795A">
              <w:lastRenderedPageBreak/>
              <w:t>individuals’ values (Eckhoff, O, D., and Weiss, J., 2020; Ogbeiwi, O., 2021).</w:t>
            </w:r>
          </w:p>
        </w:tc>
        <w:tc>
          <w:tcPr>
            <w:tcW w:w="5244" w:type="dxa"/>
          </w:tcPr>
          <w:p w14:paraId="1210A299" w14:textId="46627237" w:rsidR="00FF2113" w:rsidRDefault="00E6273F" w:rsidP="00FA33F1">
            <w:pPr>
              <w:spacing w:line="360" w:lineRule="auto"/>
            </w:pPr>
            <w:r>
              <w:lastRenderedPageBreak/>
              <w:t xml:space="preserve">In acute oncology as a TAP goal setting acts as a vital resource, it allows patients to maintain autonomy and have a sense of control amidst a lot of uncertainty of their current situation and diagnosis.  Acute Oncology is a face-paced service where time with patients can be limited, establishing a trusting relationship with a patient allows for a TAP to create collaborative, functional goals that ensures every intervention has a clear purpose.  </w:t>
            </w:r>
            <w:r w:rsidR="00C53EAF">
              <w:t>This approach can help reduce patient anxiety and can also help build self-efficacy that is needed to ensure they remain engaged.</w:t>
            </w:r>
            <w:r>
              <w:t xml:space="preserve"> </w:t>
            </w:r>
            <w:r w:rsidR="00C53EAF">
              <w:t xml:space="preserve"> </w:t>
            </w:r>
          </w:p>
        </w:tc>
        <w:tc>
          <w:tcPr>
            <w:tcW w:w="5103" w:type="dxa"/>
          </w:tcPr>
          <w:p w14:paraId="233A7F1B" w14:textId="1BF4FBD9" w:rsidR="00FF2113" w:rsidRDefault="00C53EAF" w:rsidP="00FA33F1">
            <w:pPr>
              <w:spacing w:line="360" w:lineRule="auto"/>
            </w:pPr>
            <w:r>
              <w:t xml:space="preserve">Goal setting with patients in this type of settings can present some significant hurdles to overcome, particularly with the fluctuating health status of patients whose rapid medical changes can make yesterday’s goals become irrelevant the next day.  In addition, cancer related fatigue and cancer treatment which can impact cognition can prevent the patient from engaging in goal setting and because of this can lead to the TAP leaning towards the righting reflex and setting prescriptive tasks rather than patient led goals.  </w:t>
            </w:r>
          </w:p>
        </w:tc>
      </w:tr>
      <w:tr w:rsidR="00FF2113" w14:paraId="79B0C50C" w14:textId="77777777" w:rsidTr="000669EE">
        <w:tc>
          <w:tcPr>
            <w:tcW w:w="2127" w:type="dxa"/>
            <w:shd w:val="clear" w:color="auto" w:fill="E8E8E8" w:themeFill="background2"/>
          </w:tcPr>
          <w:p w14:paraId="09A494C0" w14:textId="50D8AA04" w:rsidR="00FF2113" w:rsidRDefault="000669EE">
            <w:r>
              <w:t>Compassion focused approaches</w:t>
            </w:r>
          </w:p>
        </w:tc>
        <w:tc>
          <w:tcPr>
            <w:tcW w:w="3261" w:type="dxa"/>
          </w:tcPr>
          <w:p w14:paraId="09EB45D9" w14:textId="5CE7BDB2" w:rsidR="000669EE" w:rsidRDefault="00205049" w:rsidP="00A271D3">
            <w:pPr>
              <w:spacing w:line="360" w:lineRule="auto"/>
            </w:pPr>
            <w:r>
              <w:t>Compassion focused approach</w:t>
            </w:r>
            <w:r w:rsidR="00CF5597">
              <w:t xml:space="preserve"> in building therapeutic relationship focuses on the importance of empathy and non-judgemental environment which allows a trusting relationship to form and for the person to feel safe</w:t>
            </w:r>
            <w:r w:rsidR="00FA33F1">
              <w:t xml:space="preserve">.  </w:t>
            </w:r>
          </w:p>
        </w:tc>
        <w:tc>
          <w:tcPr>
            <w:tcW w:w="5244" w:type="dxa"/>
          </w:tcPr>
          <w:p w14:paraId="21E33CDF" w14:textId="5D47D12E" w:rsidR="00FF2113" w:rsidRDefault="00470E90" w:rsidP="00FA33F1">
            <w:pPr>
              <w:spacing w:line="360" w:lineRule="auto"/>
            </w:pPr>
            <w:r>
              <w:t xml:space="preserve">Patients seen within acute oncology can often been in an anxious and heightened state of mind due to the current situation they find themselves.  Having a compassion focused approach allows </w:t>
            </w:r>
            <w:r w:rsidR="00A87094">
              <w:t>a</w:t>
            </w:r>
            <w:r>
              <w:t xml:space="preserve"> TAP to be </w:t>
            </w:r>
            <w:r w:rsidR="00A20BA0">
              <w:t xml:space="preserve">a safe base for the patient providing a non-judgemental environment for </w:t>
            </w:r>
            <w:r w:rsidR="002439A3">
              <w:t>them and hopefully lead</w:t>
            </w:r>
            <w:r w:rsidR="00A87094">
              <w:t xml:space="preserve">ing </w:t>
            </w:r>
            <w:r w:rsidR="002439A3">
              <w:t>to a state where the</w:t>
            </w:r>
            <w:r w:rsidR="00A87094">
              <w:t xml:space="preserve"> patient</w:t>
            </w:r>
            <w:r w:rsidR="002439A3">
              <w:t xml:space="preserve"> feel</w:t>
            </w:r>
            <w:r w:rsidR="00A87094">
              <w:t>s</w:t>
            </w:r>
            <w:r w:rsidR="002439A3">
              <w:t xml:space="preserve"> able to engage </w:t>
            </w:r>
            <w:r w:rsidR="00A87094">
              <w:t xml:space="preserve">with </w:t>
            </w:r>
            <w:r w:rsidR="002439A3">
              <w:t xml:space="preserve">patient optimisation sessions.  When using a compassion focused </w:t>
            </w:r>
            <w:r w:rsidR="00A87094">
              <w:t>approach,</w:t>
            </w:r>
            <w:r w:rsidR="002439A3">
              <w:t xml:space="preserve"> it can enable the patient to </w:t>
            </w:r>
            <w:r w:rsidR="00A87094">
              <w:t>feel</w:t>
            </w:r>
            <w:r w:rsidR="002439A3">
              <w:t xml:space="preserve"> seen rather than just being </w:t>
            </w:r>
            <w:r w:rsidR="00A87094">
              <w:t>seen for t</w:t>
            </w:r>
            <w:r w:rsidR="002439A3">
              <w:t>heir diagnosis</w:t>
            </w:r>
            <w:r w:rsidR="00A87094">
              <w:t xml:space="preserve">.  This </w:t>
            </w:r>
            <w:r w:rsidR="002439A3">
              <w:t>can be helpful in allowing the</w:t>
            </w:r>
            <w:r w:rsidR="00A87094">
              <w:t xml:space="preserve"> patient </w:t>
            </w:r>
            <w:r w:rsidR="002439A3">
              <w:t>to feel validate</w:t>
            </w:r>
            <w:r w:rsidR="00A87094">
              <w:t>d and eliminate shame or self-criticism reducing anxiety and depression (Bitan</w:t>
            </w:r>
            <w:r w:rsidR="00974584">
              <w:t xml:space="preserve">, Hasson-Ohayon, Lavidor, and Daches, 2025).  </w:t>
            </w:r>
          </w:p>
        </w:tc>
        <w:tc>
          <w:tcPr>
            <w:tcW w:w="5103" w:type="dxa"/>
          </w:tcPr>
          <w:p w14:paraId="25A302D7" w14:textId="03256937" w:rsidR="00FF2113" w:rsidRDefault="005B7D99" w:rsidP="00FA33F1">
            <w:pPr>
              <w:spacing w:line="360" w:lineRule="auto"/>
            </w:pPr>
            <w:r>
              <w:t xml:space="preserve">One of the challenges of a compassion focused approach is the TAP experiencing compassion fatigue which can occur when working so closely with patients experiencing such difficult and sometimes traumatic stress and absorbing such experiences can lead to emotional exhaustion.  As previously mentioned, the fast-paced nature of acute oncology can mean it can be difficult to build up the necessary safe space the patient may need in order to engage with therapies.  </w:t>
            </w:r>
            <w:r w:rsidR="00DF0038">
              <w:t xml:space="preserve">Working with patients in an acute oncology setting and using a compassion focused approach </w:t>
            </w:r>
            <w:r>
              <w:t xml:space="preserve">It is important to maintain professional boundaries </w:t>
            </w:r>
            <w:r w:rsidR="00DF0038">
              <w:t>and not to confuse roles as it can be difficult to reinforce boundaries and become attached to certain patients.</w:t>
            </w:r>
          </w:p>
        </w:tc>
      </w:tr>
      <w:tr w:rsidR="00FF2113" w14:paraId="6E23110E" w14:textId="77777777" w:rsidTr="000669EE">
        <w:tc>
          <w:tcPr>
            <w:tcW w:w="2127" w:type="dxa"/>
            <w:shd w:val="clear" w:color="auto" w:fill="E8E8E8" w:themeFill="background2"/>
          </w:tcPr>
          <w:p w14:paraId="6D90B5A3" w14:textId="77777777" w:rsidR="00FF2113" w:rsidRDefault="000669EE">
            <w:r>
              <w:t>Emotional intelligence</w:t>
            </w:r>
          </w:p>
          <w:p w14:paraId="0D84607D" w14:textId="4A503375" w:rsidR="000669EE" w:rsidRDefault="000669EE"/>
        </w:tc>
        <w:tc>
          <w:tcPr>
            <w:tcW w:w="3261" w:type="dxa"/>
          </w:tcPr>
          <w:p w14:paraId="2A764A18" w14:textId="70791395" w:rsidR="000669EE" w:rsidRDefault="00443837" w:rsidP="00A271D3">
            <w:pPr>
              <w:spacing w:line="360" w:lineRule="auto"/>
            </w:pPr>
            <w:r>
              <w:t xml:space="preserve">Emotional intelligence is the ability to recognise emotions, understand our own and others, </w:t>
            </w:r>
            <w:r>
              <w:lastRenderedPageBreak/>
              <w:t>and being able to manage theses and choose how we respond.  It can impact our interactions with others and how we understand ourselves as individuals (Lewis, 2012).</w:t>
            </w:r>
          </w:p>
        </w:tc>
        <w:tc>
          <w:tcPr>
            <w:tcW w:w="5244" w:type="dxa"/>
          </w:tcPr>
          <w:p w14:paraId="1705346B" w14:textId="566BEB65" w:rsidR="00FF2113" w:rsidRDefault="009733B4" w:rsidP="00FA33F1">
            <w:pPr>
              <w:spacing w:line="360" w:lineRule="auto"/>
            </w:pPr>
            <w:r>
              <w:lastRenderedPageBreak/>
              <w:t xml:space="preserve">The benefits of emotional intelligence in an acute oncology setting is that it can allow you to help navigate sensitive conversations with patients and </w:t>
            </w:r>
            <w:r>
              <w:lastRenderedPageBreak/>
              <w:t xml:space="preserve">families.  Emotional intelligence help manage the emotions of the TAP when working with acute oncology setting as they can be sometimes quite challenging and complex situations.  </w:t>
            </w:r>
            <w:r w:rsidR="00926DE9">
              <w:t xml:space="preserve">It can help ensure the TAP is able to process the exposure to terminal illness and grief without fully absorbing all of that yourself.  </w:t>
            </w:r>
          </w:p>
        </w:tc>
        <w:tc>
          <w:tcPr>
            <w:tcW w:w="5103" w:type="dxa"/>
          </w:tcPr>
          <w:p w14:paraId="3DB89B1A" w14:textId="16DA29BE" w:rsidR="00FF2113" w:rsidRDefault="00926DE9" w:rsidP="00FA33F1">
            <w:pPr>
              <w:spacing w:line="360" w:lineRule="auto"/>
            </w:pPr>
            <w:r>
              <w:lastRenderedPageBreak/>
              <w:t xml:space="preserve">One of the drawbacks of emotional intelligence is the significant emotional labour within acute oncology and needing to constantly regulate </w:t>
            </w:r>
            <w:r>
              <w:lastRenderedPageBreak/>
              <w:t>feelings while listening to someone else’s distress.  It can be difficult to switch off or potentially remain objective, where wanting to empathise can interfere with the need to be more directive in a potentially challenging intervention.</w:t>
            </w:r>
            <w:r w:rsidR="00A06458">
              <w:t xml:space="preserve">  Research conducted by Alodhialah, (2025) suggests the emotional intensity of working in an acute oncology setting remains a challenging area and can lead to emotional burnout. </w:t>
            </w:r>
            <w:r w:rsidR="00901DD1">
              <w:t xml:space="preserve"> </w:t>
            </w:r>
          </w:p>
        </w:tc>
      </w:tr>
      <w:tr w:rsidR="00FF2113" w14:paraId="4AFFC654" w14:textId="77777777" w:rsidTr="000669EE">
        <w:tc>
          <w:tcPr>
            <w:tcW w:w="2127" w:type="dxa"/>
            <w:shd w:val="clear" w:color="auto" w:fill="E8E8E8" w:themeFill="background2"/>
          </w:tcPr>
          <w:p w14:paraId="6B1D27E5" w14:textId="77777777" w:rsidR="000669EE" w:rsidRDefault="000669EE">
            <w:r>
              <w:lastRenderedPageBreak/>
              <w:t>Shared engagement</w:t>
            </w:r>
          </w:p>
          <w:p w14:paraId="3729C13C" w14:textId="77777777" w:rsidR="000669EE" w:rsidRDefault="000669EE"/>
          <w:p w14:paraId="52523368" w14:textId="58906970" w:rsidR="00FF2113" w:rsidRDefault="000669EE">
            <w:r>
              <w:t xml:space="preserve"> </w:t>
            </w:r>
          </w:p>
        </w:tc>
        <w:tc>
          <w:tcPr>
            <w:tcW w:w="3261" w:type="dxa"/>
          </w:tcPr>
          <w:p w14:paraId="368AF738" w14:textId="78FDB350" w:rsidR="00FF2113" w:rsidRDefault="00A33482" w:rsidP="00A271D3">
            <w:pPr>
              <w:spacing w:line="360" w:lineRule="auto"/>
            </w:pPr>
            <w:r>
              <w:t>Shared engagement is the active involvement of patients/carers in the decision process in relation to their care.  The purpose is to foster a collaborative approach between healthcare professionals and patients/carers.  It involved shared decision making where the patient actively participates in treatment plans and care options.</w:t>
            </w:r>
          </w:p>
        </w:tc>
        <w:tc>
          <w:tcPr>
            <w:tcW w:w="5244" w:type="dxa"/>
          </w:tcPr>
          <w:p w14:paraId="0C3B0267" w14:textId="6803679C" w:rsidR="00FF2113" w:rsidRDefault="00901DD1" w:rsidP="00FA33F1">
            <w:pPr>
              <w:spacing w:line="360" w:lineRule="auto"/>
            </w:pPr>
            <w:r>
              <w:t>Shared engagement in acute oncology can be helpful in a fast-paced environment as it focuses on what matters to the patients rather than just trying to fix the patient.  Screening allows for the TAP to identify key areas in which the patient would like to focus on, and this allows for the patient optimisation sessions to be a collaborative approach where patients are actively engaged in their care options rather than it being a directive approach from the TAP.  Using a shared engagement approach in patient optimisation sessions allows them to have more autonomy and control during an uncertain time and in turn reduce anxiety.</w:t>
            </w:r>
          </w:p>
        </w:tc>
        <w:tc>
          <w:tcPr>
            <w:tcW w:w="5103" w:type="dxa"/>
          </w:tcPr>
          <w:p w14:paraId="4ED7E1D7" w14:textId="7AE805B2" w:rsidR="00FF2113" w:rsidRDefault="00901DD1" w:rsidP="00FA33F1">
            <w:pPr>
              <w:spacing w:line="360" w:lineRule="auto"/>
            </w:pPr>
            <w:r>
              <w:t xml:space="preserve"> Similarly to other interventions shared engagement is a collaborative approach and it can take time to build those trusting relationships and the nature of acute oncology doesn’t always allow for these relationships to develop due to the high turnover of patients and the limited time the acute oncology service may interact with the patient.  In </w:t>
            </w:r>
            <w:r w:rsidR="005A24AD">
              <w:t>addition,</w:t>
            </w:r>
            <w:r>
              <w:t xml:space="preserve"> depending on the physical and cognitive condition of the patient a shared engagement approach may not be the best option as patients </w:t>
            </w:r>
            <w:r w:rsidR="004C0310">
              <w:t>may be in crisis, experiencing cognitive impairment, and/or severe fatigue which impacts their ability to interact with the TAP and may prefer a more directive approach.</w:t>
            </w:r>
          </w:p>
        </w:tc>
      </w:tr>
    </w:tbl>
    <w:p w14:paraId="7C7CFB07" w14:textId="77777777" w:rsidR="000A5670" w:rsidRDefault="000A5670"/>
    <w:p w14:paraId="502298D2" w14:textId="77777777" w:rsidR="000669EE" w:rsidRDefault="000669EE"/>
    <w:p w14:paraId="4DD3A376" w14:textId="77777777" w:rsidR="00A271D3" w:rsidRDefault="00A271D3"/>
    <w:p w14:paraId="74253D9B" w14:textId="77777777" w:rsidR="00A271D3" w:rsidRDefault="00A271D3"/>
    <w:tbl>
      <w:tblPr>
        <w:tblStyle w:val="TableGrid"/>
        <w:tblW w:w="0" w:type="auto"/>
        <w:tblInd w:w="562" w:type="dxa"/>
        <w:tblLook w:val="04A0" w:firstRow="1" w:lastRow="0" w:firstColumn="1" w:lastColumn="0" w:noHBand="0" w:noVBand="1"/>
      </w:tblPr>
      <w:tblGrid>
        <w:gridCol w:w="13386"/>
      </w:tblGrid>
      <w:tr w:rsidR="000669EE" w14:paraId="6EEAD1A8" w14:textId="77777777" w:rsidTr="000669EE">
        <w:tc>
          <w:tcPr>
            <w:tcW w:w="13386" w:type="dxa"/>
          </w:tcPr>
          <w:p w14:paraId="6E70865C" w14:textId="06D2FD41" w:rsidR="000669EE" w:rsidRDefault="000669EE">
            <w:r>
              <w:t>Reference list</w:t>
            </w:r>
            <w:r w:rsidR="001C7C34">
              <w:t xml:space="preserve"> (at least 3 references with corresponding citations</w:t>
            </w:r>
            <w:r w:rsidR="00B80729">
              <w:t xml:space="preserve"> within the table</w:t>
            </w:r>
            <w:r w:rsidR="001C7C34">
              <w:t>)</w:t>
            </w:r>
            <w:r>
              <w:t xml:space="preserve">: </w:t>
            </w:r>
          </w:p>
          <w:p w14:paraId="098559EB" w14:textId="77777777" w:rsidR="004C0310" w:rsidRDefault="004C0310" w:rsidP="00A271D3">
            <w:pPr>
              <w:spacing w:line="360" w:lineRule="auto"/>
            </w:pPr>
          </w:p>
          <w:p w14:paraId="5BD7362E" w14:textId="77777777" w:rsidR="004C0310" w:rsidRDefault="004C0310" w:rsidP="00A06458">
            <w:pPr>
              <w:spacing w:line="360" w:lineRule="auto"/>
            </w:pPr>
            <w:r>
              <w:t xml:space="preserve">Alodhialah, A. M., (2025), ‘The relationship between oncology nurses’ emotional intelligence, burnout, and patient centred communication: a cross-sectional study’, </w:t>
            </w:r>
            <w:r>
              <w:rPr>
                <w:i/>
                <w:iCs/>
              </w:rPr>
              <w:t xml:space="preserve">BMC Nursing, </w:t>
            </w:r>
            <w:r>
              <w:t>Volume 24, pp. 1-12, Available at: doi:10.1186/s12912-025-03780-9</w:t>
            </w:r>
          </w:p>
          <w:p w14:paraId="5A926A49" w14:textId="77777777" w:rsidR="004C0310" w:rsidRDefault="004C0310" w:rsidP="005B7D99">
            <w:pPr>
              <w:spacing w:line="360" w:lineRule="auto"/>
            </w:pPr>
          </w:p>
          <w:p w14:paraId="6A466A2F" w14:textId="207F9C0D" w:rsidR="004C0310" w:rsidRPr="00974584" w:rsidRDefault="004C0310" w:rsidP="005B7D99">
            <w:pPr>
              <w:spacing w:line="360" w:lineRule="auto"/>
            </w:pPr>
            <w:r>
              <w:t xml:space="preserve">Bitan, D., Hasson-Ohayon, I., Lavidor, M., and Daches, S., (2025), ‘The relationship between self-compassion and psychological distress in cancer patients and survivors: A systematic review and meta-analysis’, </w:t>
            </w:r>
            <w:r>
              <w:rPr>
                <w:i/>
                <w:iCs/>
              </w:rPr>
              <w:t xml:space="preserve">Journal of Psychosocial Oncology’, </w:t>
            </w:r>
            <w:r>
              <w:t xml:space="preserve">pp. 1-19, Available at: </w:t>
            </w:r>
            <w:r w:rsidRPr="005B7D99">
              <w:t>https://doi-org.uwtsd.idm.oclc.org/10.1080/07347332.2025.2570787</w:t>
            </w:r>
            <w:r>
              <w:t xml:space="preserve"> </w:t>
            </w:r>
          </w:p>
          <w:p w14:paraId="49E1B9CD" w14:textId="77777777" w:rsidR="004C0310" w:rsidRDefault="004C0310" w:rsidP="00A271D3">
            <w:pPr>
              <w:spacing w:line="360" w:lineRule="auto"/>
            </w:pPr>
          </w:p>
          <w:p w14:paraId="2A64875C" w14:textId="3E04669F" w:rsidR="004C0310" w:rsidRPr="006A7405" w:rsidRDefault="004C0310" w:rsidP="00A271D3">
            <w:pPr>
              <w:spacing w:line="360" w:lineRule="auto"/>
            </w:pPr>
            <w:r>
              <w:t xml:space="preserve">Blevins, S., (2023), ‘Strategies for Effective Patient Communication’, </w:t>
            </w:r>
            <w:r>
              <w:rPr>
                <w:i/>
                <w:iCs/>
              </w:rPr>
              <w:t xml:space="preserve">Medsurg Nursing, </w:t>
            </w:r>
            <w:r>
              <w:t xml:space="preserve">Volume 32 (2), pp. 125-126, Available at: </w:t>
            </w:r>
            <w:r w:rsidRPr="006A7405">
              <w:t>https://www.proquest.com/scholarly-journals/strategies-effective-patient-communication/docview/2801307319/se-2?accountid=130472</w:t>
            </w:r>
          </w:p>
          <w:p w14:paraId="22DD9D6A" w14:textId="77777777" w:rsidR="004C0310" w:rsidRDefault="004C0310" w:rsidP="00A271D3">
            <w:pPr>
              <w:spacing w:line="360" w:lineRule="auto"/>
            </w:pPr>
          </w:p>
          <w:p w14:paraId="6DA998AE" w14:textId="73A1D7B8" w:rsidR="004C0310" w:rsidRDefault="004C0310" w:rsidP="00A271D3">
            <w:pPr>
              <w:spacing w:line="360" w:lineRule="auto"/>
            </w:pPr>
            <w:r>
              <w:t xml:space="preserve">Eckhoff, O, D., and Weiss, J., (2020), ‘Goal setting: A concept analysis’, </w:t>
            </w:r>
            <w:r>
              <w:rPr>
                <w:i/>
                <w:iCs/>
              </w:rPr>
              <w:t xml:space="preserve">Nursing Forum, </w:t>
            </w:r>
            <w:r>
              <w:t>Volume 55 (2), pp. 275-281, Available at: doi:10.1111/nuf.12426</w:t>
            </w:r>
          </w:p>
          <w:p w14:paraId="55481C70" w14:textId="77777777" w:rsidR="004C0310" w:rsidRDefault="004C0310" w:rsidP="00A271D3">
            <w:pPr>
              <w:spacing w:line="360" w:lineRule="auto"/>
            </w:pPr>
          </w:p>
          <w:p w14:paraId="1E533743" w14:textId="2AECB0D1" w:rsidR="004C0310" w:rsidRDefault="004C0310" w:rsidP="00A271D3">
            <w:pPr>
              <w:spacing w:line="360" w:lineRule="auto"/>
            </w:pPr>
            <w:r>
              <w:t xml:space="preserve">Ehlrich, O., Berry, D., Gorman, D., and Brandoff, D., (2020), ‘Motivational Interviewing for Functional Cancer Pain Goals: A Feasibility Study (GP724)’, </w:t>
            </w:r>
            <w:r>
              <w:rPr>
                <w:i/>
                <w:iCs/>
              </w:rPr>
              <w:t xml:space="preserve">Journal of Pain and Symptom Management, </w:t>
            </w:r>
            <w:r>
              <w:t xml:space="preserve">Volume 6 (1), pp. 259-260, Available at: </w:t>
            </w:r>
            <w:r w:rsidRPr="00F32B49">
              <w:t>https://doi-org.uwtsd.idm.oclc.org/10/1016/j.jpainsymman.2020.04.147</w:t>
            </w:r>
            <w:r>
              <w:t xml:space="preserve"> </w:t>
            </w:r>
          </w:p>
          <w:p w14:paraId="797BB5F7" w14:textId="77777777" w:rsidR="004C0310" w:rsidRPr="00443837" w:rsidRDefault="004C0310" w:rsidP="00A271D3">
            <w:pPr>
              <w:spacing w:line="360" w:lineRule="auto"/>
            </w:pPr>
            <w:r>
              <w:lastRenderedPageBreak/>
              <w:t xml:space="preserve">Lewis, C., (2012), ‘From the editor’s perspective…’, </w:t>
            </w:r>
            <w:r>
              <w:rPr>
                <w:i/>
                <w:iCs/>
              </w:rPr>
              <w:t xml:space="preserve">Journal of Vascular Nursing, </w:t>
            </w:r>
            <w:r>
              <w:t xml:space="preserve">Volume 30 (2), pp. 35-36, Available at: </w:t>
            </w:r>
            <w:r w:rsidRPr="00443837">
              <w:t>https://doi-org.uwtsd.idm.oclc.org.10.1016/j.jvn.2012.03.003</w:t>
            </w:r>
            <w:r>
              <w:t xml:space="preserve"> </w:t>
            </w:r>
          </w:p>
          <w:p w14:paraId="73A7C6C7" w14:textId="77777777" w:rsidR="004C0310" w:rsidRDefault="004C0310" w:rsidP="00A271D3">
            <w:pPr>
              <w:spacing w:line="360" w:lineRule="auto"/>
            </w:pPr>
          </w:p>
          <w:p w14:paraId="1A00C084" w14:textId="4A77DEB6" w:rsidR="004C0310" w:rsidRDefault="004C0310" w:rsidP="00A271D3">
            <w:pPr>
              <w:spacing w:line="360" w:lineRule="auto"/>
            </w:pPr>
            <w:r>
              <w:t xml:space="preserve">Meguerdichian, M, J., Trottier, D, G., Campbell-Taylor, K., Bentley, S., Bryant, K., Kolbe, M., Grant, V., and Cheng, A., (2024), ‘When common cognitive biases impact debriefing conversations’, </w:t>
            </w:r>
            <w:r>
              <w:rPr>
                <w:i/>
                <w:iCs/>
              </w:rPr>
              <w:t xml:space="preserve">Advances in Simulation, </w:t>
            </w:r>
            <w:r>
              <w:t>Volume 9, pp. 1-8, Available at: doi:10.1186/s41077-024-00324-0</w:t>
            </w:r>
          </w:p>
          <w:p w14:paraId="06455513" w14:textId="77777777" w:rsidR="004C0310" w:rsidRDefault="004C0310" w:rsidP="00A271D3">
            <w:pPr>
              <w:spacing w:line="360" w:lineRule="auto"/>
            </w:pPr>
          </w:p>
          <w:p w14:paraId="29E63E21" w14:textId="754229AA" w:rsidR="004C0310" w:rsidRDefault="004C0310" w:rsidP="00A271D3">
            <w:pPr>
              <w:spacing w:line="360" w:lineRule="auto"/>
            </w:pPr>
            <w:r>
              <w:t xml:space="preserve">Ogbeiwi, O., (2021), ‘General concepts of goals and goal setting in healthcare: A narrative view’, </w:t>
            </w:r>
            <w:r>
              <w:rPr>
                <w:i/>
                <w:iCs/>
              </w:rPr>
              <w:t xml:space="preserve">Journal of Management and Organisation, </w:t>
            </w:r>
            <w:r>
              <w:t>Volume 27 (2), pp. 324-341, Available at: doi:10.1017/jmo.2018.11.</w:t>
            </w:r>
          </w:p>
          <w:p w14:paraId="44A60053" w14:textId="77777777" w:rsidR="004C0310" w:rsidRDefault="004C0310" w:rsidP="00A271D3">
            <w:pPr>
              <w:spacing w:line="360" w:lineRule="auto"/>
            </w:pPr>
          </w:p>
          <w:p w14:paraId="00EA37FB" w14:textId="2CDD6630" w:rsidR="004C0310" w:rsidRPr="00FA33F1" w:rsidRDefault="004C0310" w:rsidP="00A271D3">
            <w:pPr>
              <w:spacing w:line="360" w:lineRule="auto"/>
            </w:pPr>
            <w:r>
              <w:t xml:space="preserve">Simmons, J, M., (2023), ‘Preliminary Development of a Measure of the Righting Reflex in Motivational Interviewing’, </w:t>
            </w:r>
            <w:r>
              <w:rPr>
                <w:i/>
                <w:iCs/>
              </w:rPr>
              <w:t xml:space="preserve">ProQuest Dissertations and Theses’ </w:t>
            </w:r>
            <w:r>
              <w:t xml:space="preserve">Available at: </w:t>
            </w:r>
            <w:r w:rsidRPr="00FA33F1">
              <w:t>https://librarysearch.uwtsd.ac.uk/discovery/fulldisplay?docid=cdi_proquest_journals_2851556367&amp;context=PC&amp;vid=44WHELF_UWTSD:44WHELF_UWTSD_VU1&amp;lang=en</w:t>
            </w:r>
            <w:r>
              <w:t xml:space="preserve"> </w:t>
            </w:r>
          </w:p>
          <w:p w14:paraId="2A491308" w14:textId="77777777" w:rsidR="004C0310" w:rsidRDefault="004C0310" w:rsidP="00A271D3">
            <w:pPr>
              <w:spacing w:line="360" w:lineRule="auto"/>
            </w:pPr>
          </w:p>
          <w:p w14:paraId="181EC150" w14:textId="506BDE77" w:rsidR="000669EE" w:rsidRDefault="004C0310" w:rsidP="004C0310">
            <w:pPr>
              <w:spacing w:line="360" w:lineRule="auto"/>
            </w:pPr>
            <w:r>
              <w:t xml:space="preserve">Spataro, E, S., and Bolch, J., (2017), ‘Can you repeat that?  Teaching Active Listening in Management Education’, </w:t>
            </w:r>
            <w:r>
              <w:rPr>
                <w:i/>
                <w:iCs/>
              </w:rPr>
              <w:t xml:space="preserve">Journal of Management Education, </w:t>
            </w:r>
            <w:r>
              <w:t xml:space="preserve">Volume 42 (2), Available at: </w:t>
            </w:r>
            <w:r w:rsidRPr="001C147F">
              <w:t>https://doi-org.uwtsd.idm.ocic.org/10.1177/1052562917748696</w:t>
            </w:r>
            <w:r>
              <w:t xml:space="preserve"> </w:t>
            </w:r>
          </w:p>
        </w:tc>
      </w:tr>
    </w:tbl>
    <w:p w14:paraId="4F8F220E" w14:textId="77777777" w:rsidR="000669EE" w:rsidRDefault="000669EE"/>
    <w:p w14:paraId="70D109CA" w14:textId="77777777" w:rsidR="000669EE" w:rsidRDefault="000669EE"/>
    <w:p w14:paraId="008E9FE7" w14:textId="6F98F22D" w:rsidR="000669EE" w:rsidRDefault="000669EE">
      <w:r>
        <w:t xml:space="preserve">Completed by: </w:t>
      </w:r>
      <w:r w:rsidR="004C0310">
        <w:t>Kerry O’Brien 1200244</w:t>
      </w:r>
      <w:r>
        <w:tab/>
      </w:r>
      <w:r>
        <w:tab/>
      </w:r>
      <w:r>
        <w:tab/>
      </w:r>
      <w:r>
        <w:tab/>
      </w:r>
      <w:r>
        <w:tab/>
        <w:t xml:space="preserve">Date: </w:t>
      </w:r>
      <w:r w:rsidR="004C0310">
        <w:t>15/02/2025</w:t>
      </w:r>
    </w:p>
    <w:sectPr w:rsidR="000669EE" w:rsidSect="00FF2113">
      <w:headerReference w:type="default" r:id="rId7"/>
      <w:footerReference w:type="default" r:id="rId8"/>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B27DD8" w14:textId="77777777" w:rsidR="004D2E98" w:rsidRDefault="004D2E98" w:rsidP="00FF2113">
      <w:pPr>
        <w:spacing w:after="0" w:line="240" w:lineRule="auto"/>
      </w:pPr>
      <w:r>
        <w:separator/>
      </w:r>
    </w:p>
  </w:endnote>
  <w:endnote w:type="continuationSeparator" w:id="0">
    <w:p w14:paraId="3DDEB568" w14:textId="77777777" w:rsidR="004D2E98" w:rsidRDefault="004D2E98" w:rsidP="00FF21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F5193" w14:textId="2E4544FE" w:rsidR="00FF2113" w:rsidRPr="00FF2113" w:rsidRDefault="00FF2113" w:rsidP="00FF2113">
    <w:pPr>
      <w:spacing w:after="77" w:line="247" w:lineRule="auto"/>
      <w:jc w:val="both"/>
      <w:rPr>
        <w:rFonts w:asciiTheme="majorHAnsi" w:eastAsia="Times New Roman" w:hAnsiTheme="majorHAnsi" w:cstheme="majorHAnsi"/>
        <w:color w:val="000000"/>
        <w:sz w:val="24"/>
        <w:szCs w:val="24"/>
        <w:lang w:eastAsia="en-GB"/>
      </w:rPr>
    </w:pPr>
    <w:r w:rsidRPr="00FF2113">
      <w:rPr>
        <w:rFonts w:asciiTheme="majorHAnsi" w:eastAsia="Times New Roman" w:hAnsiTheme="majorHAnsi" w:cstheme="majorHAnsi"/>
        <w:color w:val="000000"/>
        <w:sz w:val="24"/>
        <w:szCs w:val="24"/>
        <w:lang w:eastAsia="en-GB"/>
      </w:rPr>
      <w:t>Developing Therapeutic Relationships to Enhance Interventions</w:t>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Pr>
        <w:rFonts w:asciiTheme="majorHAnsi" w:eastAsia="Times New Roman" w:hAnsiTheme="majorHAnsi" w:cstheme="majorHAnsi"/>
        <w:color w:val="000000"/>
        <w:sz w:val="24"/>
        <w:szCs w:val="24"/>
        <w:lang w:eastAsia="en-GB"/>
      </w:rPr>
      <w:tab/>
    </w:r>
    <w:r w:rsidRPr="00FF2113">
      <w:rPr>
        <w:rFonts w:asciiTheme="majorHAnsi" w:eastAsia="Times New Roman" w:hAnsiTheme="majorHAnsi" w:cstheme="majorHAnsi"/>
        <w:color w:val="000000"/>
        <w:sz w:val="24"/>
        <w:szCs w:val="24"/>
        <w:lang w:eastAsia="en-GB"/>
      </w:rPr>
      <w:t>Unit Code: PJ14CY021</w:t>
    </w:r>
  </w:p>
  <w:p w14:paraId="41EE6FDC" w14:textId="77777777" w:rsidR="00FF2113" w:rsidRDefault="00FF211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7F1E99" w14:textId="77777777" w:rsidR="004D2E98" w:rsidRDefault="004D2E98" w:rsidP="00FF2113">
      <w:pPr>
        <w:spacing w:after="0" w:line="240" w:lineRule="auto"/>
      </w:pPr>
      <w:r>
        <w:separator/>
      </w:r>
    </w:p>
  </w:footnote>
  <w:footnote w:type="continuationSeparator" w:id="0">
    <w:p w14:paraId="22E61913" w14:textId="77777777" w:rsidR="004D2E98" w:rsidRDefault="004D2E98" w:rsidP="00FF21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D6B3DF" w14:textId="007FA019" w:rsidR="00FF2113" w:rsidRPr="000669EE" w:rsidRDefault="000669EE" w:rsidP="000669EE">
    <w:pPr>
      <w:pStyle w:val="Header"/>
    </w:pPr>
    <w:r>
      <w:rPr>
        <w:noProof/>
      </w:rPr>
      <w:drawing>
        <wp:anchor distT="0" distB="0" distL="114300" distR="114300" simplePos="0" relativeHeight="251658240" behindDoc="1" locked="0" layoutInCell="1" allowOverlap="1" wp14:anchorId="405F460E" wp14:editId="3F84AFAC">
          <wp:simplePos x="0" y="0"/>
          <wp:positionH relativeFrom="column">
            <wp:posOffset>7778750</wp:posOffset>
          </wp:positionH>
          <wp:positionV relativeFrom="paragraph">
            <wp:posOffset>-436880</wp:posOffset>
          </wp:positionV>
          <wp:extent cx="1853565" cy="975360"/>
          <wp:effectExtent l="0" t="0" r="0" b="0"/>
          <wp:wrapNone/>
          <wp:docPr id="43111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53565" cy="975360"/>
                  </a:xfrm>
                  <a:prstGeom prst="rect">
                    <a:avLst/>
                  </a:prstGeom>
                  <a:noFill/>
                </pic:spPr>
              </pic:pic>
            </a:graphicData>
          </a:graphic>
        </wp:anchor>
      </w:drawing>
    </w:r>
    <w:r>
      <w:rPr>
        <w:noProof/>
      </w:rPr>
      <w:drawing>
        <wp:anchor distT="0" distB="0" distL="114300" distR="114300" simplePos="0" relativeHeight="251660288" behindDoc="0" locked="0" layoutInCell="1" allowOverlap="1" wp14:anchorId="30C573BC" wp14:editId="6129D503">
          <wp:simplePos x="0" y="0"/>
          <wp:positionH relativeFrom="column">
            <wp:posOffset>-762000</wp:posOffset>
          </wp:positionH>
          <wp:positionV relativeFrom="paragraph">
            <wp:posOffset>-368935</wp:posOffset>
          </wp:positionV>
          <wp:extent cx="2510790" cy="885825"/>
          <wp:effectExtent l="0" t="0" r="3810" b="9525"/>
          <wp:wrapThrough wrapText="bothSides">
            <wp:wrapPolygon edited="0">
              <wp:start x="0" y="0"/>
              <wp:lineTo x="0" y="21368"/>
              <wp:lineTo x="21469" y="21368"/>
              <wp:lineTo x="21469" y="0"/>
              <wp:lineTo x="0" y="0"/>
            </wp:wrapPolygon>
          </wp:wrapThrough>
          <wp:docPr id="2" name="Picture 1" descr="We are an Agored Cymru recognised centre in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 are an Agored Cymru recognised centre in Wales"/>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2510790" cy="885825"/>
                  </a:xfrm>
                  <a:prstGeom prst="rect">
                    <a:avLst/>
                  </a:prstGeom>
                  <a:noFill/>
                  <a:ln>
                    <a:noFill/>
                  </a:ln>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7"/>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2113"/>
    <w:rsid w:val="00050C47"/>
    <w:rsid w:val="000669EE"/>
    <w:rsid w:val="00083572"/>
    <w:rsid w:val="000A5670"/>
    <w:rsid w:val="000B226B"/>
    <w:rsid w:val="000C0FD1"/>
    <w:rsid w:val="001436E1"/>
    <w:rsid w:val="001C147F"/>
    <w:rsid w:val="001C2276"/>
    <w:rsid w:val="001C7C34"/>
    <w:rsid w:val="00205049"/>
    <w:rsid w:val="00210190"/>
    <w:rsid w:val="002439A3"/>
    <w:rsid w:val="0029078A"/>
    <w:rsid w:val="002A5B1C"/>
    <w:rsid w:val="00361FB1"/>
    <w:rsid w:val="00394D4F"/>
    <w:rsid w:val="003D0B7D"/>
    <w:rsid w:val="00443837"/>
    <w:rsid w:val="0044528A"/>
    <w:rsid w:val="00470E90"/>
    <w:rsid w:val="004C0310"/>
    <w:rsid w:val="004D2E98"/>
    <w:rsid w:val="0057205B"/>
    <w:rsid w:val="005832A6"/>
    <w:rsid w:val="005979E2"/>
    <w:rsid w:val="005A24AD"/>
    <w:rsid w:val="005B7D99"/>
    <w:rsid w:val="005E70D1"/>
    <w:rsid w:val="00622858"/>
    <w:rsid w:val="00656CDF"/>
    <w:rsid w:val="006A7405"/>
    <w:rsid w:val="006C1E03"/>
    <w:rsid w:val="007246F5"/>
    <w:rsid w:val="00755115"/>
    <w:rsid w:val="00786550"/>
    <w:rsid w:val="007D63C9"/>
    <w:rsid w:val="00874516"/>
    <w:rsid w:val="008C2054"/>
    <w:rsid w:val="00901DD1"/>
    <w:rsid w:val="00926DE9"/>
    <w:rsid w:val="009733B4"/>
    <w:rsid w:val="00974584"/>
    <w:rsid w:val="009D3DBE"/>
    <w:rsid w:val="00A06458"/>
    <w:rsid w:val="00A20BA0"/>
    <w:rsid w:val="00A271D3"/>
    <w:rsid w:val="00A33482"/>
    <w:rsid w:val="00A5142F"/>
    <w:rsid w:val="00A51DD4"/>
    <w:rsid w:val="00A532D0"/>
    <w:rsid w:val="00A57995"/>
    <w:rsid w:val="00A61286"/>
    <w:rsid w:val="00A87094"/>
    <w:rsid w:val="00A95DEE"/>
    <w:rsid w:val="00AF324A"/>
    <w:rsid w:val="00B80729"/>
    <w:rsid w:val="00BC5EA1"/>
    <w:rsid w:val="00BD60A0"/>
    <w:rsid w:val="00C520C8"/>
    <w:rsid w:val="00C53EAF"/>
    <w:rsid w:val="00CF4927"/>
    <w:rsid w:val="00CF5597"/>
    <w:rsid w:val="00D43F22"/>
    <w:rsid w:val="00D65A95"/>
    <w:rsid w:val="00D701BD"/>
    <w:rsid w:val="00DF0038"/>
    <w:rsid w:val="00E25105"/>
    <w:rsid w:val="00E42DC4"/>
    <w:rsid w:val="00E6273F"/>
    <w:rsid w:val="00E96C38"/>
    <w:rsid w:val="00EA4A30"/>
    <w:rsid w:val="00EC020F"/>
    <w:rsid w:val="00EE5C01"/>
    <w:rsid w:val="00EF5E86"/>
    <w:rsid w:val="00F1707A"/>
    <w:rsid w:val="00F32B49"/>
    <w:rsid w:val="00F40159"/>
    <w:rsid w:val="00F425DC"/>
    <w:rsid w:val="00F4795A"/>
    <w:rsid w:val="00F74011"/>
    <w:rsid w:val="00F94578"/>
    <w:rsid w:val="00FA33F1"/>
    <w:rsid w:val="00FB163D"/>
    <w:rsid w:val="00FF2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631F3B"/>
  <w15:chartTrackingRefBased/>
  <w15:docId w15:val="{5685B94D-49AC-4DEB-A991-5CE9305E1D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F21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F21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F211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F211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F211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F211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F211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F211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F211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F21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F21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F211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F211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F211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F211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F211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F211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F2113"/>
    <w:rPr>
      <w:rFonts w:eastAsiaTheme="majorEastAsia" w:cstheme="majorBidi"/>
      <w:color w:val="272727" w:themeColor="text1" w:themeTint="D8"/>
    </w:rPr>
  </w:style>
  <w:style w:type="paragraph" w:styleId="Title">
    <w:name w:val="Title"/>
    <w:basedOn w:val="Normal"/>
    <w:next w:val="Normal"/>
    <w:link w:val="TitleChar"/>
    <w:uiPriority w:val="10"/>
    <w:qFormat/>
    <w:rsid w:val="00FF211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F21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F211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F211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F2113"/>
    <w:pPr>
      <w:spacing w:before="160"/>
      <w:jc w:val="center"/>
    </w:pPr>
    <w:rPr>
      <w:i/>
      <w:iCs/>
      <w:color w:val="404040" w:themeColor="text1" w:themeTint="BF"/>
    </w:rPr>
  </w:style>
  <w:style w:type="character" w:customStyle="1" w:styleId="QuoteChar">
    <w:name w:val="Quote Char"/>
    <w:basedOn w:val="DefaultParagraphFont"/>
    <w:link w:val="Quote"/>
    <w:uiPriority w:val="29"/>
    <w:rsid w:val="00FF2113"/>
    <w:rPr>
      <w:i/>
      <w:iCs/>
      <w:color w:val="404040" w:themeColor="text1" w:themeTint="BF"/>
    </w:rPr>
  </w:style>
  <w:style w:type="paragraph" w:styleId="ListParagraph">
    <w:name w:val="List Paragraph"/>
    <w:basedOn w:val="Normal"/>
    <w:uiPriority w:val="34"/>
    <w:qFormat/>
    <w:rsid w:val="00FF2113"/>
    <w:pPr>
      <w:ind w:left="720"/>
      <w:contextualSpacing/>
    </w:pPr>
  </w:style>
  <w:style w:type="character" w:styleId="IntenseEmphasis">
    <w:name w:val="Intense Emphasis"/>
    <w:basedOn w:val="DefaultParagraphFont"/>
    <w:uiPriority w:val="21"/>
    <w:qFormat/>
    <w:rsid w:val="00FF2113"/>
    <w:rPr>
      <w:i/>
      <w:iCs/>
      <w:color w:val="0F4761" w:themeColor="accent1" w:themeShade="BF"/>
    </w:rPr>
  </w:style>
  <w:style w:type="paragraph" w:styleId="IntenseQuote">
    <w:name w:val="Intense Quote"/>
    <w:basedOn w:val="Normal"/>
    <w:next w:val="Normal"/>
    <w:link w:val="IntenseQuoteChar"/>
    <w:uiPriority w:val="30"/>
    <w:qFormat/>
    <w:rsid w:val="00FF21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F2113"/>
    <w:rPr>
      <w:i/>
      <w:iCs/>
      <w:color w:val="0F4761" w:themeColor="accent1" w:themeShade="BF"/>
    </w:rPr>
  </w:style>
  <w:style w:type="character" w:styleId="IntenseReference">
    <w:name w:val="Intense Reference"/>
    <w:basedOn w:val="DefaultParagraphFont"/>
    <w:uiPriority w:val="32"/>
    <w:qFormat/>
    <w:rsid w:val="00FF2113"/>
    <w:rPr>
      <w:b/>
      <w:bCs/>
      <w:smallCaps/>
      <w:color w:val="0F4761" w:themeColor="accent1" w:themeShade="BF"/>
      <w:spacing w:val="5"/>
    </w:rPr>
  </w:style>
  <w:style w:type="paragraph" w:styleId="Header">
    <w:name w:val="header"/>
    <w:basedOn w:val="Normal"/>
    <w:link w:val="HeaderChar"/>
    <w:uiPriority w:val="99"/>
    <w:unhideWhenUsed/>
    <w:rsid w:val="00FF211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F2113"/>
  </w:style>
  <w:style w:type="paragraph" w:styleId="Footer">
    <w:name w:val="footer"/>
    <w:basedOn w:val="Normal"/>
    <w:link w:val="FooterChar"/>
    <w:uiPriority w:val="99"/>
    <w:unhideWhenUsed/>
    <w:rsid w:val="00FF211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F2113"/>
  </w:style>
  <w:style w:type="table" w:styleId="TableGrid">
    <w:name w:val="Table Grid"/>
    <w:basedOn w:val="TableNormal"/>
    <w:uiPriority w:val="39"/>
    <w:rsid w:val="00FF21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C147F"/>
    <w:rPr>
      <w:color w:val="467886" w:themeColor="hyperlink"/>
      <w:u w:val="single"/>
    </w:rPr>
  </w:style>
  <w:style w:type="character" w:styleId="UnresolvedMention">
    <w:name w:val="Unresolved Mention"/>
    <w:basedOn w:val="DefaultParagraphFont"/>
    <w:uiPriority w:val="99"/>
    <w:semiHidden/>
    <w:unhideWhenUsed/>
    <w:rsid w:val="001C14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2085</Words>
  <Characters>11889</Characters>
  <Application>Microsoft Office Word</Application>
  <DocSecurity>0</DocSecurity>
  <Lines>99</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collins</dc:creator>
  <cp:keywords/>
  <dc:description/>
  <cp:lastModifiedBy>Kerry O'Brien (1200244)</cp:lastModifiedBy>
  <cp:revision>2</cp:revision>
  <dcterms:created xsi:type="dcterms:W3CDTF">2026-02-17T12:48:00Z</dcterms:created>
  <dcterms:modified xsi:type="dcterms:W3CDTF">2026-02-17T12:48:00Z</dcterms:modified>
</cp:coreProperties>
</file>