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F00463" w14:textId="77777777" w:rsidR="00E41E30" w:rsidRPr="004D736C" w:rsidRDefault="00E41E30" w:rsidP="00E41E30">
      <w:pPr>
        <w:pStyle w:val="Title"/>
      </w:pPr>
      <w:r w:rsidRPr="004D736C">
        <w:t>Management &amp; Organisational Behaviour (BMIH5004)</w:t>
      </w:r>
    </w:p>
    <w:p w14:paraId="3DE515A5" w14:textId="77777777" w:rsidR="00E41E30" w:rsidRPr="004D736C" w:rsidRDefault="00E41E30" w:rsidP="00E41E30">
      <w:pPr>
        <w:pStyle w:val="Title"/>
        <w:rPr>
          <w:rFonts w:cs="Times New Roman"/>
          <w:sz w:val="32"/>
          <w:szCs w:val="32"/>
        </w:rPr>
      </w:pPr>
    </w:p>
    <w:p w14:paraId="187C1FF4" w14:textId="77777777" w:rsidR="00E41E30" w:rsidRPr="004D736C" w:rsidRDefault="00E41E30" w:rsidP="00E41E30">
      <w:pPr>
        <w:jc w:val="center"/>
        <w:rPr>
          <w:rFonts w:ascii="Times New Roman" w:hAnsi="Times New Roman"/>
          <w:bCs/>
          <w:sz w:val="32"/>
          <w:szCs w:val="32"/>
        </w:rPr>
      </w:pPr>
      <w:r w:rsidRPr="004D736C">
        <w:rPr>
          <w:rFonts w:ascii="Times New Roman" w:hAnsi="Times New Roman"/>
          <w:bCs/>
          <w:sz w:val="32"/>
          <w:szCs w:val="32"/>
        </w:rPr>
        <w:t xml:space="preserve">Lecturer Name: </w:t>
      </w:r>
    </w:p>
    <w:p w14:paraId="6CE29247" w14:textId="77777777" w:rsidR="00E41E30" w:rsidRPr="004D736C" w:rsidRDefault="00E41E30" w:rsidP="00E41E30">
      <w:pPr>
        <w:jc w:val="center"/>
        <w:rPr>
          <w:rFonts w:ascii="Times New Roman" w:hAnsi="Times New Roman"/>
          <w:sz w:val="32"/>
          <w:szCs w:val="32"/>
        </w:rPr>
      </w:pPr>
      <w:r w:rsidRPr="004D736C">
        <w:rPr>
          <w:rFonts w:ascii="Times New Roman" w:hAnsi="Times New Roman"/>
          <w:sz w:val="32"/>
          <w:szCs w:val="32"/>
        </w:rPr>
        <w:t xml:space="preserve">Student Name: </w:t>
      </w:r>
      <w:r w:rsidRPr="004D736C">
        <w:rPr>
          <w:rFonts w:ascii="Times New Roman" w:hAnsi="Times New Roman"/>
          <w:sz w:val="32"/>
          <w:szCs w:val="32"/>
          <w:shd w:val="clear" w:color="auto" w:fill="FFFFFF"/>
        </w:rPr>
        <w:t xml:space="preserve"> Md Farhad Chowdhury </w:t>
      </w:r>
    </w:p>
    <w:p w14:paraId="4B12A84D" w14:textId="77777777" w:rsidR="00E41E30" w:rsidRPr="004D736C" w:rsidRDefault="00E41E30" w:rsidP="00E41E30">
      <w:pPr>
        <w:jc w:val="center"/>
        <w:rPr>
          <w:rFonts w:ascii="Times New Roman" w:hAnsi="Times New Roman"/>
          <w:sz w:val="32"/>
          <w:szCs w:val="32"/>
        </w:rPr>
      </w:pPr>
      <w:r w:rsidRPr="004D736C">
        <w:rPr>
          <w:rFonts w:ascii="Times New Roman" w:hAnsi="Times New Roman"/>
          <w:sz w:val="32"/>
          <w:szCs w:val="32"/>
        </w:rPr>
        <w:t xml:space="preserve">Student ID: </w:t>
      </w:r>
      <w:r w:rsidRPr="004D736C">
        <w:rPr>
          <w:rFonts w:ascii="Times New Roman" w:hAnsi="Times New Roman"/>
          <w:sz w:val="32"/>
          <w:szCs w:val="32"/>
          <w:shd w:val="clear" w:color="auto" w:fill="FFFFFF"/>
        </w:rPr>
        <w:t>2233893</w:t>
      </w:r>
    </w:p>
    <w:p w14:paraId="25CF6B37" w14:textId="77777777" w:rsidR="00E41E30" w:rsidRPr="004D736C" w:rsidRDefault="00E41E30" w:rsidP="00E41E30"/>
    <w:p w14:paraId="2150DD45" w14:textId="77777777" w:rsidR="00E41E30" w:rsidRPr="004D736C" w:rsidRDefault="00E41E30" w:rsidP="00E41E30"/>
    <w:p w14:paraId="36457410" w14:textId="77777777" w:rsidR="00E41E30" w:rsidRPr="004D736C" w:rsidRDefault="00E41E30" w:rsidP="00E41E30"/>
    <w:p w14:paraId="2182550B" w14:textId="77777777" w:rsidR="00E41E30" w:rsidRPr="004D736C" w:rsidRDefault="00E41E30" w:rsidP="00E41E30"/>
    <w:p w14:paraId="20054890" w14:textId="77777777" w:rsidR="00E41E30" w:rsidRPr="004D736C" w:rsidRDefault="00E41E30" w:rsidP="00E41E30">
      <w:pPr>
        <w:rPr>
          <w:b/>
          <w:bCs/>
          <w:shd w:val="clear" w:color="auto" w:fill="FFFFFF"/>
        </w:rPr>
      </w:pPr>
      <w:r w:rsidRPr="004D736C">
        <w:rPr>
          <w:b/>
          <w:bCs/>
          <w:shd w:val="clear" w:color="auto" w:fill="FFFFFF"/>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05BD6D52" w14:textId="77777777" w:rsidR="00E41E30" w:rsidRPr="004D736C" w:rsidRDefault="00E41E30" w:rsidP="00E41E30">
      <w:pPr>
        <w:rPr>
          <w:b/>
          <w:bCs/>
          <w:shd w:val="clear" w:color="auto" w:fill="FFFFFF"/>
        </w:rPr>
      </w:pPr>
    </w:p>
    <w:p w14:paraId="2C8B1B17" w14:textId="77777777" w:rsidR="00E41E30" w:rsidRPr="004D736C" w:rsidRDefault="00E41E30" w:rsidP="00E41E30">
      <w:pPr>
        <w:rPr>
          <w:rFonts w:cs="Arial"/>
          <w:lang w:eastAsia="en-GB"/>
        </w:rPr>
      </w:pPr>
    </w:p>
    <w:p w14:paraId="6F9B16C5" w14:textId="77777777" w:rsidR="00E41E30" w:rsidRPr="004D736C" w:rsidRDefault="00E41E30" w:rsidP="00E41E30">
      <w:pPr>
        <w:spacing w:after="160" w:line="259" w:lineRule="auto"/>
        <w:jc w:val="left"/>
        <w:rPr>
          <w:rFonts w:cs="Arial"/>
          <w:lang w:eastAsia="en-GB"/>
        </w:rPr>
      </w:pPr>
      <w:r w:rsidRPr="004D736C">
        <w:rPr>
          <w:rFonts w:cs="Arial"/>
          <w:lang w:eastAsia="en-GB"/>
        </w:rPr>
        <w:br w:type="page"/>
      </w:r>
    </w:p>
    <w:p w14:paraId="2BC58678" w14:textId="77777777" w:rsidR="00E41E30" w:rsidRPr="004D736C" w:rsidRDefault="00E41E30" w:rsidP="00774CB1">
      <w:pPr>
        <w:pStyle w:val="Heading1"/>
      </w:pPr>
      <w:bookmarkStart w:id="0" w:name="_Toc181986049"/>
      <w:r w:rsidRPr="004D736C">
        <w:lastRenderedPageBreak/>
        <w:t>Executive Summary</w:t>
      </w:r>
      <w:bookmarkEnd w:id="0"/>
    </w:p>
    <w:p w14:paraId="53C469A8" w14:textId="77777777" w:rsidR="00E41E30" w:rsidRPr="004D736C" w:rsidRDefault="00E41E30" w:rsidP="00E41E30">
      <w:pPr>
        <w:rPr>
          <w:rFonts w:cs="Arial"/>
          <w:lang w:eastAsia="en-GB"/>
        </w:rPr>
      </w:pPr>
      <w:r w:rsidRPr="004D736C">
        <w:rPr>
          <w:rFonts w:cs="Arial"/>
          <w:lang w:eastAsia="en-GB"/>
        </w:rPr>
        <w:t>The Hyatt Hotels Corporation has rapidly grown into capturing a significant market niche in the global hospitality industry because of its decentralised chain, people-oriented culture, coupled with environmental conservation, as well as flexibility in embracing innovation. This paper seeks to argue that the company’s pursuit of a TPM culture improves not only customer relations but also worker morale and hence it is placed for success and competitiveness in the shifting hospitality industry. Most of the key change initiatives at Hyatt such as digital transformations, the acquisition of Apple Leisure Group, and strategic sustainability efforts have informed the company’s performance. Innovation in technology and operations is important in ensuring Hyatt follows the growing needs of the market by adopting new trends in the competitive industry. Consequently, the current and planned positions and strategies are consistent with global tendencies such as sustainability and digitalisation that will allow Hyatt to meet future challenges. In order to build a sustainable competitive advantage for Hyatt, the company should persistently remain sustainability-oriented, encourage innovation, and retain a relatively loose corporate structure. Other hospitality organisations could probably emulate Hyatt’s decentralised structures and peoples-oriented approaches to supply chain process improvement and guest experience optimisation. Therefore, Hyatt has All the necessary aims and change management strategies that align the organisation with a strategic direction for the future. Due to continued innovations and adjustments to an ever-changing market, Hyatt has the capability of maintaining its standing in the international hotel industry.</w:t>
      </w:r>
      <w:r w:rsidRPr="004D736C">
        <w:rPr>
          <w:rFonts w:cs="Arial"/>
          <w:lang w:eastAsia="en-GB"/>
        </w:rPr>
        <w:br w:type="page"/>
      </w:r>
    </w:p>
    <w:sdt>
      <w:sdtPr>
        <w:rPr>
          <w:rFonts w:eastAsia="Times New Roman"/>
          <w:noProof/>
          <w:color w:val="auto"/>
          <w:sz w:val="24"/>
          <w:szCs w:val="20"/>
          <w:u w:val="none"/>
        </w:rPr>
        <w:id w:val="-1120227785"/>
        <w:docPartObj>
          <w:docPartGallery w:val="Table of Contents"/>
          <w:docPartUnique/>
        </w:docPartObj>
      </w:sdtPr>
      <w:sdtEndPr>
        <w:rPr>
          <w:rFonts w:ascii="Arial" w:hAnsi="Arial" w:cs="Arial"/>
          <w:b/>
          <w:bCs/>
          <w:lang w:val="en-GB"/>
        </w:rPr>
      </w:sdtEndPr>
      <w:sdtContent>
        <w:p w14:paraId="3116377C" w14:textId="77777777" w:rsidR="00E41E30" w:rsidRPr="004D736C" w:rsidRDefault="00E41E30" w:rsidP="00774CB1">
          <w:pPr>
            <w:pStyle w:val="TOCHeading"/>
          </w:pPr>
          <w:r w:rsidRPr="004D736C">
            <w:t>Table of Contents</w:t>
          </w:r>
        </w:p>
        <w:p w14:paraId="3C5B67A3"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r w:rsidRPr="004D736C">
            <w:rPr>
              <w:rFonts w:cs="Arial"/>
            </w:rPr>
            <w:fldChar w:fldCharType="begin"/>
          </w:r>
          <w:r w:rsidRPr="004D736C">
            <w:rPr>
              <w:rFonts w:cs="Arial"/>
            </w:rPr>
            <w:instrText xml:space="preserve"> TOC \o "1-3" \h \z \u </w:instrText>
          </w:r>
          <w:r w:rsidRPr="004D736C">
            <w:rPr>
              <w:rFonts w:cs="Arial"/>
            </w:rPr>
            <w:fldChar w:fldCharType="separate"/>
          </w:r>
          <w:hyperlink w:anchor="_Toc181986049" w:history="1">
            <w:r w:rsidRPr="004D736C">
              <w:rPr>
                <w:rStyle w:val="Hyperlink"/>
                <w:rFonts w:cs="Arial"/>
              </w:rPr>
              <w:t>Executive Summary</w:t>
            </w:r>
            <w:r w:rsidRPr="004D736C">
              <w:rPr>
                <w:webHidden/>
              </w:rPr>
              <w:tab/>
            </w:r>
            <w:r w:rsidRPr="004D736C">
              <w:rPr>
                <w:webHidden/>
              </w:rPr>
              <w:fldChar w:fldCharType="begin"/>
            </w:r>
            <w:r w:rsidRPr="004D736C">
              <w:rPr>
                <w:webHidden/>
              </w:rPr>
              <w:instrText xml:space="preserve"> PAGEREF _Toc181986049 \h </w:instrText>
            </w:r>
            <w:r w:rsidRPr="004D736C">
              <w:rPr>
                <w:webHidden/>
              </w:rPr>
            </w:r>
            <w:r w:rsidRPr="004D736C">
              <w:rPr>
                <w:webHidden/>
              </w:rPr>
              <w:fldChar w:fldCharType="separate"/>
            </w:r>
            <w:r w:rsidRPr="004D736C">
              <w:rPr>
                <w:webHidden/>
              </w:rPr>
              <w:t>2</w:t>
            </w:r>
            <w:r w:rsidRPr="004D736C">
              <w:rPr>
                <w:webHidden/>
              </w:rPr>
              <w:fldChar w:fldCharType="end"/>
            </w:r>
          </w:hyperlink>
        </w:p>
        <w:p w14:paraId="19A3BF05"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50" w:history="1">
            <w:r w:rsidRPr="004D736C">
              <w:rPr>
                <w:rStyle w:val="Hyperlink"/>
                <w:rFonts w:cs="Arial"/>
              </w:rPr>
              <w:t>Introduction</w:t>
            </w:r>
            <w:r w:rsidRPr="004D736C">
              <w:rPr>
                <w:webHidden/>
              </w:rPr>
              <w:tab/>
            </w:r>
            <w:r w:rsidRPr="004D736C">
              <w:rPr>
                <w:webHidden/>
              </w:rPr>
              <w:fldChar w:fldCharType="begin"/>
            </w:r>
            <w:r w:rsidRPr="004D736C">
              <w:rPr>
                <w:webHidden/>
              </w:rPr>
              <w:instrText xml:space="preserve"> PAGEREF _Toc181986050 \h </w:instrText>
            </w:r>
            <w:r w:rsidRPr="004D736C">
              <w:rPr>
                <w:webHidden/>
              </w:rPr>
            </w:r>
            <w:r w:rsidRPr="004D736C">
              <w:rPr>
                <w:webHidden/>
              </w:rPr>
              <w:fldChar w:fldCharType="separate"/>
            </w:r>
            <w:r w:rsidRPr="004D736C">
              <w:rPr>
                <w:webHidden/>
              </w:rPr>
              <w:t>4</w:t>
            </w:r>
            <w:r w:rsidRPr="004D736C">
              <w:rPr>
                <w:webHidden/>
              </w:rPr>
              <w:fldChar w:fldCharType="end"/>
            </w:r>
          </w:hyperlink>
        </w:p>
        <w:p w14:paraId="39E3DE63"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51" w:history="1">
            <w:r w:rsidRPr="004D736C">
              <w:rPr>
                <w:rStyle w:val="Hyperlink"/>
                <w:rFonts w:cs="Arial"/>
              </w:rPr>
              <w:t>Organisational Structure, Culture, and Goals</w:t>
            </w:r>
            <w:r w:rsidRPr="004D736C">
              <w:rPr>
                <w:webHidden/>
              </w:rPr>
              <w:tab/>
            </w:r>
            <w:r w:rsidRPr="004D736C">
              <w:rPr>
                <w:webHidden/>
              </w:rPr>
              <w:fldChar w:fldCharType="begin"/>
            </w:r>
            <w:r w:rsidRPr="004D736C">
              <w:rPr>
                <w:webHidden/>
              </w:rPr>
              <w:instrText xml:space="preserve"> PAGEREF _Toc181986051 \h </w:instrText>
            </w:r>
            <w:r w:rsidRPr="004D736C">
              <w:rPr>
                <w:webHidden/>
              </w:rPr>
            </w:r>
            <w:r w:rsidRPr="004D736C">
              <w:rPr>
                <w:webHidden/>
              </w:rPr>
              <w:fldChar w:fldCharType="separate"/>
            </w:r>
            <w:r w:rsidRPr="004D736C">
              <w:rPr>
                <w:webHidden/>
              </w:rPr>
              <w:t>5</w:t>
            </w:r>
            <w:r w:rsidRPr="004D736C">
              <w:rPr>
                <w:webHidden/>
              </w:rPr>
              <w:fldChar w:fldCharType="end"/>
            </w:r>
          </w:hyperlink>
        </w:p>
        <w:p w14:paraId="75D73EF3"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2" w:history="1">
            <w:r w:rsidRPr="004D736C">
              <w:rPr>
                <w:rStyle w:val="Hyperlink"/>
                <w:rFonts w:cs="Arial"/>
              </w:rPr>
              <w:t>Organisational Structure</w:t>
            </w:r>
            <w:r w:rsidRPr="004D736C">
              <w:rPr>
                <w:webHidden/>
              </w:rPr>
              <w:tab/>
            </w:r>
            <w:r w:rsidRPr="004D736C">
              <w:rPr>
                <w:webHidden/>
              </w:rPr>
              <w:fldChar w:fldCharType="begin"/>
            </w:r>
            <w:r w:rsidRPr="004D736C">
              <w:rPr>
                <w:webHidden/>
              </w:rPr>
              <w:instrText xml:space="preserve"> PAGEREF _Toc181986052 \h </w:instrText>
            </w:r>
            <w:r w:rsidRPr="004D736C">
              <w:rPr>
                <w:webHidden/>
              </w:rPr>
            </w:r>
            <w:r w:rsidRPr="004D736C">
              <w:rPr>
                <w:webHidden/>
              </w:rPr>
              <w:fldChar w:fldCharType="separate"/>
            </w:r>
            <w:r w:rsidRPr="004D736C">
              <w:rPr>
                <w:webHidden/>
              </w:rPr>
              <w:t>5</w:t>
            </w:r>
            <w:r w:rsidRPr="004D736C">
              <w:rPr>
                <w:webHidden/>
              </w:rPr>
              <w:fldChar w:fldCharType="end"/>
            </w:r>
          </w:hyperlink>
        </w:p>
        <w:p w14:paraId="5D96D8F3"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3" w:history="1">
            <w:r w:rsidRPr="004D736C">
              <w:rPr>
                <w:rStyle w:val="Hyperlink"/>
                <w:rFonts w:cs="Arial"/>
              </w:rPr>
              <w:t>Organisational Culture using Handy’s Model</w:t>
            </w:r>
            <w:r w:rsidRPr="004D736C">
              <w:rPr>
                <w:webHidden/>
              </w:rPr>
              <w:tab/>
            </w:r>
            <w:r w:rsidRPr="004D736C">
              <w:rPr>
                <w:webHidden/>
              </w:rPr>
              <w:fldChar w:fldCharType="begin"/>
            </w:r>
            <w:r w:rsidRPr="004D736C">
              <w:rPr>
                <w:webHidden/>
              </w:rPr>
              <w:instrText xml:space="preserve"> PAGEREF _Toc181986053 \h </w:instrText>
            </w:r>
            <w:r w:rsidRPr="004D736C">
              <w:rPr>
                <w:webHidden/>
              </w:rPr>
            </w:r>
            <w:r w:rsidRPr="004D736C">
              <w:rPr>
                <w:webHidden/>
              </w:rPr>
              <w:fldChar w:fldCharType="separate"/>
            </w:r>
            <w:r w:rsidRPr="004D736C">
              <w:rPr>
                <w:webHidden/>
              </w:rPr>
              <w:t>5</w:t>
            </w:r>
            <w:r w:rsidRPr="004D736C">
              <w:rPr>
                <w:webHidden/>
              </w:rPr>
              <w:fldChar w:fldCharType="end"/>
            </w:r>
          </w:hyperlink>
        </w:p>
        <w:p w14:paraId="7F0DD909"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4" w:history="1">
            <w:r w:rsidRPr="004D736C">
              <w:rPr>
                <w:rStyle w:val="Hyperlink"/>
                <w:rFonts w:cs="Arial"/>
              </w:rPr>
              <w:t>Corporate and Unit-Level Goals</w:t>
            </w:r>
            <w:r w:rsidRPr="004D736C">
              <w:rPr>
                <w:webHidden/>
              </w:rPr>
              <w:tab/>
            </w:r>
            <w:r w:rsidRPr="004D736C">
              <w:rPr>
                <w:webHidden/>
              </w:rPr>
              <w:fldChar w:fldCharType="begin"/>
            </w:r>
            <w:r w:rsidRPr="004D736C">
              <w:rPr>
                <w:webHidden/>
              </w:rPr>
              <w:instrText xml:space="preserve"> PAGEREF _Toc181986054 \h </w:instrText>
            </w:r>
            <w:r w:rsidRPr="004D736C">
              <w:rPr>
                <w:webHidden/>
              </w:rPr>
            </w:r>
            <w:r w:rsidRPr="004D736C">
              <w:rPr>
                <w:webHidden/>
              </w:rPr>
              <w:fldChar w:fldCharType="separate"/>
            </w:r>
            <w:r w:rsidRPr="004D736C">
              <w:rPr>
                <w:webHidden/>
              </w:rPr>
              <w:t>7</w:t>
            </w:r>
            <w:r w:rsidRPr="004D736C">
              <w:rPr>
                <w:webHidden/>
              </w:rPr>
              <w:fldChar w:fldCharType="end"/>
            </w:r>
          </w:hyperlink>
        </w:p>
        <w:p w14:paraId="514C2AA6"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55" w:history="1">
            <w:r w:rsidRPr="004D736C">
              <w:rPr>
                <w:rStyle w:val="Hyperlink"/>
                <w:rFonts w:cs="Arial"/>
              </w:rPr>
              <w:t>Recent Change Initiatives</w:t>
            </w:r>
            <w:r w:rsidRPr="004D736C">
              <w:rPr>
                <w:webHidden/>
              </w:rPr>
              <w:tab/>
            </w:r>
            <w:r w:rsidRPr="004D736C">
              <w:rPr>
                <w:webHidden/>
              </w:rPr>
              <w:fldChar w:fldCharType="begin"/>
            </w:r>
            <w:r w:rsidRPr="004D736C">
              <w:rPr>
                <w:webHidden/>
              </w:rPr>
              <w:instrText xml:space="preserve"> PAGEREF _Toc181986055 \h </w:instrText>
            </w:r>
            <w:r w:rsidRPr="004D736C">
              <w:rPr>
                <w:webHidden/>
              </w:rPr>
            </w:r>
            <w:r w:rsidRPr="004D736C">
              <w:rPr>
                <w:webHidden/>
              </w:rPr>
              <w:fldChar w:fldCharType="separate"/>
            </w:r>
            <w:r w:rsidRPr="004D736C">
              <w:rPr>
                <w:webHidden/>
              </w:rPr>
              <w:t>8</w:t>
            </w:r>
            <w:r w:rsidRPr="004D736C">
              <w:rPr>
                <w:webHidden/>
              </w:rPr>
              <w:fldChar w:fldCharType="end"/>
            </w:r>
          </w:hyperlink>
        </w:p>
        <w:p w14:paraId="720D1039"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6" w:history="1">
            <w:r w:rsidRPr="004D736C">
              <w:rPr>
                <w:rStyle w:val="Hyperlink"/>
                <w:rFonts w:cs="Arial"/>
              </w:rPr>
              <w:t>Identifying Change Initiatives</w:t>
            </w:r>
            <w:r w:rsidRPr="004D736C">
              <w:rPr>
                <w:webHidden/>
              </w:rPr>
              <w:tab/>
            </w:r>
            <w:r w:rsidRPr="004D736C">
              <w:rPr>
                <w:webHidden/>
              </w:rPr>
              <w:fldChar w:fldCharType="begin"/>
            </w:r>
            <w:r w:rsidRPr="004D736C">
              <w:rPr>
                <w:webHidden/>
              </w:rPr>
              <w:instrText xml:space="preserve"> PAGEREF _Toc181986056 \h </w:instrText>
            </w:r>
            <w:r w:rsidRPr="004D736C">
              <w:rPr>
                <w:webHidden/>
              </w:rPr>
            </w:r>
            <w:r w:rsidRPr="004D736C">
              <w:rPr>
                <w:webHidden/>
              </w:rPr>
              <w:fldChar w:fldCharType="separate"/>
            </w:r>
            <w:r w:rsidRPr="004D736C">
              <w:rPr>
                <w:webHidden/>
              </w:rPr>
              <w:t>8</w:t>
            </w:r>
            <w:r w:rsidRPr="004D736C">
              <w:rPr>
                <w:webHidden/>
              </w:rPr>
              <w:fldChar w:fldCharType="end"/>
            </w:r>
          </w:hyperlink>
        </w:p>
        <w:p w14:paraId="7A344673"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7" w:history="1">
            <w:r w:rsidRPr="004D736C">
              <w:rPr>
                <w:rStyle w:val="Hyperlink"/>
                <w:rFonts w:cs="Arial"/>
              </w:rPr>
              <w:t>Impact of the Initiatives</w:t>
            </w:r>
            <w:r w:rsidRPr="004D736C">
              <w:rPr>
                <w:webHidden/>
              </w:rPr>
              <w:tab/>
            </w:r>
            <w:r w:rsidRPr="004D736C">
              <w:rPr>
                <w:webHidden/>
              </w:rPr>
              <w:fldChar w:fldCharType="begin"/>
            </w:r>
            <w:r w:rsidRPr="004D736C">
              <w:rPr>
                <w:webHidden/>
              </w:rPr>
              <w:instrText xml:space="preserve"> PAGEREF _Toc181986057 \h </w:instrText>
            </w:r>
            <w:r w:rsidRPr="004D736C">
              <w:rPr>
                <w:webHidden/>
              </w:rPr>
            </w:r>
            <w:r w:rsidRPr="004D736C">
              <w:rPr>
                <w:webHidden/>
              </w:rPr>
              <w:fldChar w:fldCharType="separate"/>
            </w:r>
            <w:r w:rsidRPr="004D736C">
              <w:rPr>
                <w:webHidden/>
              </w:rPr>
              <w:t>9</w:t>
            </w:r>
            <w:r w:rsidRPr="004D736C">
              <w:rPr>
                <w:webHidden/>
              </w:rPr>
              <w:fldChar w:fldCharType="end"/>
            </w:r>
          </w:hyperlink>
        </w:p>
        <w:p w14:paraId="427FB1C6"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58" w:history="1">
            <w:r w:rsidRPr="004D736C">
              <w:rPr>
                <w:rStyle w:val="Hyperlink"/>
                <w:rFonts w:cs="Arial"/>
              </w:rPr>
              <w:t>Competitors’ Comparison Analysis</w:t>
            </w:r>
            <w:r w:rsidRPr="004D736C">
              <w:rPr>
                <w:webHidden/>
              </w:rPr>
              <w:tab/>
            </w:r>
            <w:r w:rsidRPr="004D736C">
              <w:rPr>
                <w:webHidden/>
              </w:rPr>
              <w:fldChar w:fldCharType="begin"/>
            </w:r>
            <w:r w:rsidRPr="004D736C">
              <w:rPr>
                <w:webHidden/>
              </w:rPr>
              <w:instrText xml:space="preserve"> PAGEREF _Toc181986058 \h </w:instrText>
            </w:r>
            <w:r w:rsidRPr="004D736C">
              <w:rPr>
                <w:webHidden/>
              </w:rPr>
            </w:r>
            <w:r w:rsidRPr="004D736C">
              <w:rPr>
                <w:webHidden/>
              </w:rPr>
              <w:fldChar w:fldCharType="separate"/>
            </w:r>
            <w:r w:rsidRPr="004D736C">
              <w:rPr>
                <w:webHidden/>
              </w:rPr>
              <w:t>9</w:t>
            </w:r>
            <w:r w:rsidRPr="004D736C">
              <w:rPr>
                <w:webHidden/>
              </w:rPr>
              <w:fldChar w:fldCharType="end"/>
            </w:r>
          </w:hyperlink>
        </w:p>
        <w:p w14:paraId="37D3C67B" w14:textId="77777777" w:rsidR="00E41E30" w:rsidRPr="004D736C" w:rsidRDefault="00E41E30" w:rsidP="00E41E30">
          <w:pPr>
            <w:pStyle w:val="TOC3"/>
            <w:tabs>
              <w:tab w:val="left" w:pos="1100"/>
              <w:tab w:val="right" w:leader="dot" w:pos="9350"/>
            </w:tabs>
            <w:rPr>
              <w:rFonts w:asciiTheme="minorHAnsi" w:eastAsiaTheme="minorEastAsia" w:hAnsiTheme="minorHAnsi" w:cstheme="minorBidi"/>
              <w:sz w:val="22"/>
              <w:szCs w:val="22"/>
            </w:rPr>
          </w:pPr>
          <w:hyperlink w:anchor="_Toc181986059" w:history="1">
            <w:r w:rsidRPr="004D736C">
              <w:rPr>
                <w:rStyle w:val="Hyperlink"/>
                <w:rFonts w:ascii="Wingdings" w:hAnsi="Wingdings" w:cs="Arial"/>
              </w:rPr>
              <w:t></w:t>
            </w:r>
            <w:r w:rsidRPr="004D736C">
              <w:rPr>
                <w:rFonts w:asciiTheme="minorHAnsi" w:eastAsiaTheme="minorEastAsia" w:hAnsiTheme="minorHAnsi" w:cstheme="minorBidi"/>
                <w:sz w:val="22"/>
                <w:szCs w:val="22"/>
              </w:rPr>
              <w:tab/>
            </w:r>
            <w:r w:rsidRPr="004D736C">
              <w:rPr>
                <w:rStyle w:val="Hyperlink"/>
                <w:rFonts w:cs="Arial"/>
              </w:rPr>
              <w:t>Organisational Culture Comparison</w:t>
            </w:r>
            <w:r w:rsidRPr="004D736C">
              <w:rPr>
                <w:webHidden/>
              </w:rPr>
              <w:tab/>
            </w:r>
            <w:r w:rsidRPr="004D736C">
              <w:rPr>
                <w:webHidden/>
              </w:rPr>
              <w:fldChar w:fldCharType="begin"/>
            </w:r>
            <w:r w:rsidRPr="004D736C">
              <w:rPr>
                <w:webHidden/>
              </w:rPr>
              <w:instrText xml:space="preserve"> PAGEREF _Toc181986059 \h </w:instrText>
            </w:r>
            <w:r w:rsidRPr="004D736C">
              <w:rPr>
                <w:webHidden/>
              </w:rPr>
            </w:r>
            <w:r w:rsidRPr="004D736C">
              <w:rPr>
                <w:webHidden/>
              </w:rPr>
              <w:fldChar w:fldCharType="separate"/>
            </w:r>
            <w:r w:rsidRPr="004D736C">
              <w:rPr>
                <w:webHidden/>
              </w:rPr>
              <w:t>9</w:t>
            </w:r>
            <w:r w:rsidRPr="004D736C">
              <w:rPr>
                <w:webHidden/>
              </w:rPr>
              <w:fldChar w:fldCharType="end"/>
            </w:r>
          </w:hyperlink>
        </w:p>
        <w:p w14:paraId="52723672" w14:textId="77777777" w:rsidR="00E41E30" w:rsidRPr="004D736C" w:rsidRDefault="00E41E30" w:rsidP="00E41E30">
          <w:pPr>
            <w:pStyle w:val="TOC3"/>
            <w:tabs>
              <w:tab w:val="left" w:pos="1100"/>
              <w:tab w:val="right" w:leader="dot" w:pos="9350"/>
            </w:tabs>
            <w:rPr>
              <w:rFonts w:asciiTheme="minorHAnsi" w:eastAsiaTheme="minorEastAsia" w:hAnsiTheme="minorHAnsi" w:cstheme="minorBidi"/>
              <w:sz w:val="22"/>
              <w:szCs w:val="22"/>
            </w:rPr>
          </w:pPr>
          <w:hyperlink w:anchor="_Toc181986060" w:history="1">
            <w:r w:rsidRPr="004D736C">
              <w:rPr>
                <w:rStyle w:val="Hyperlink"/>
                <w:rFonts w:ascii="Wingdings" w:hAnsi="Wingdings" w:cs="Arial"/>
              </w:rPr>
              <w:t></w:t>
            </w:r>
            <w:r w:rsidRPr="004D736C">
              <w:rPr>
                <w:rFonts w:asciiTheme="minorHAnsi" w:eastAsiaTheme="minorEastAsia" w:hAnsiTheme="minorHAnsi" w:cstheme="minorBidi"/>
                <w:sz w:val="22"/>
                <w:szCs w:val="22"/>
              </w:rPr>
              <w:tab/>
            </w:r>
            <w:r w:rsidRPr="004D736C">
              <w:rPr>
                <w:rStyle w:val="Hyperlink"/>
                <w:rFonts w:cs="Arial"/>
              </w:rPr>
              <w:t>Structural Comparison</w:t>
            </w:r>
            <w:r w:rsidRPr="004D736C">
              <w:rPr>
                <w:webHidden/>
              </w:rPr>
              <w:tab/>
            </w:r>
            <w:r w:rsidRPr="004D736C">
              <w:rPr>
                <w:webHidden/>
              </w:rPr>
              <w:fldChar w:fldCharType="begin"/>
            </w:r>
            <w:r w:rsidRPr="004D736C">
              <w:rPr>
                <w:webHidden/>
              </w:rPr>
              <w:instrText xml:space="preserve"> PAGEREF _Toc181986060 \h </w:instrText>
            </w:r>
            <w:r w:rsidRPr="004D736C">
              <w:rPr>
                <w:webHidden/>
              </w:rPr>
            </w:r>
            <w:r w:rsidRPr="004D736C">
              <w:rPr>
                <w:webHidden/>
              </w:rPr>
              <w:fldChar w:fldCharType="separate"/>
            </w:r>
            <w:r w:rsidRPr="004D736C">
              <w:rPr>
                <w:webHidden/>
              </w:rPr>
              <w:t>10</w:t>
            </w:r>
            <w:r w:rsidRPr="004D736C">
              <w:rPr>
                <w:webHidden/>
              </w:rPr>
              <w:fldChar w:fldCharType="end"/>
            </w:r>
          </w:hyperlink>
        </w:p>
        <w:p w14:paraId="029FA47C"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61" w:history="1">
            <w:r w:rsidRPr="004D736C">
              <w:rPr>
                <w:rStyle w:val="Hyperlink"/>
                <w:rFonts w:cs="Arial"/>
              </w:rPr>
              <w:t>Change Management Practices</w:t>
            </w:r>
            <w:r w:rsidRPr="004D736C">
              <w:rPr>
                <w:webHidden/>
              </w:rPr>
              <w:tab/>
            </w:r>
            <w:r w:rsidRPr="004D736C">
              <w:rPr>
                <w:webHidden/>
              </w:rPr>
              <w:fldChar w:fldCharType="begin"/>
            </w:r>
            <w:r w:rsidRPr="004D736C">
              <w:rPr>
                <w:webHidden/>
              </w:rPr>
              <w:instrText xml:space="preserve"> PAGEREF _Toc181986061 \h </w:instrText>
            </w:r>
            <w:r w:rsidRPr="004D736C">
              <w:rPr>
                <w:webHidden/>
              </w:rPr>
            </w:r>
            <w:r w:rsidRPr="004D736C">
              <w:rPr>
                <w:webHidden/>
              </w:rPr>
              <w:fldChar w:fldCharType="separate"/>
            </w:r>
            <w:r w:rsidRPr="004D736C">
              <w:rPr>
                <w:webHidden/>
              </w:rPr>
              <w:t>11</w:t>
            </w:r>
            <w:r w:rsidRPr="004D736C">
              <w:rPr>
                <w:webHidden/>
              </w:rPr>
              <w:fldChar w:fldCharType="end"/>
            </w:r>
          </w:hyperlink>
        </w:p>
        <w:p w14:paraId="4175E032"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62" w:history="1">
            <w:r w:rsidRPr="004D736C">
              <w:rPr>
                <w:rStyle w:val="Hyperlink"/>
                <w:rFonts w:cs="Arial"/>
              </w:rPr>
              <w:t>Strategic Direction</w:t>
            </w:r>
            <w:r w:rsidRPr="004D736C">
              <w:rPr>
                <w:webHidden/>
              </w:rPr>
              <w:tab/>
            </w:r>
            <w:r w:rsidRPr="004D736C">
              <w:rPr>
                <w:webHidden/>
              </w:rPr>
              <w:fldChar w:fldCharType="begin"/>
            </w:r>
            <w:r w:rsidRPr="004D736C">
              <w:rPr>
                <w:webHidden/>
              </w:rPr>
              <w:instrText xml:space="preserve"> PAGEREF _Toc181986062 \h </w:instrText>
            </w:r>
            <w:r w:rsidRPr="004D736C">
              <w:rPr>
                <w:webHidden/>
              </w:rPr>
            </w:r>
            <w:r w:rsidRPr="004D736C">
              <w:rPr>
                <w:webHidden/>
              </w:rPr>
              <w:fldChar w:fldCharType="separate"/>
            </w:r>
            <w:r w:rsidRPr="004D736C">
              <w:rPr>
                <w:webHidden/>
              </w:rPr>
              <w:t>12</w:t>
            </w:r>
            <w:r w:rsidRPr="004D736C">
              <w:rPr>
                <w:webHidden/>
              </w:rPr>
              <w:fldChar w:fldCharType="end"/>
            </w:r>
          </w:hyperlink>
        </w:p>
        <w:p w14:paraId="6226AC04"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63" w:history="1">
            <w:r w:rsidRPr="004D736C">
              <w:rPr>
                <w:rStyle w:val="Hyperlink"/>
                <w:rFonts w:cs="Arial"/>
              </w:rPr>
              <w:t>Examining Strategic Direction using the Ansoff Matrix</w:t>
            </w:r>
            <w:r w:rsidRPr="004D736C">
              <w:rPr>
                <w:webHidden/>
              </w:rPr>
              <w:tab/>
            </w:r>
            <w:r w:rsidRPr="004D736C">
              <w:rPr>
                <w:webHidden/>
              </w:rPr>
              <w:fldChar w:fldCharType="begin"/>
            </w:r>
            <w:r w:rsidRPr="004D736C">
              <w:rPr>
                <w:webHidden/>
              </w:rPr>
              <w:instrText xml:space="preserve"> PAGEREF _Toc181986063 \h </w:instrText>
            </w:r>
            <w:r w:rsidRPr="004D736C">
              <w:rPr>
                <w:webHidden/>
              </w:rPr>
            </w:r>
            <w:r w:rsidRPr="004D736C">
              <w:rPr>
                <w:webHidden/>
              </w:rPr>
              <w:fldChar w:fldCharType="separate"/>
            </w:r>
            <w:r w:rsidRPr="004D736C">
              <w:rPr>
                <w:webHidden/>
              </w:rPr>
              <w:t>12</w:t>
            </w:r>
            <w:r w:rsidRPr="004D736C">
              <w:rPr>
                <w:webHidden/>
              </w:rPr>
              <w:fldChar w:fldCharType="end"/>
            </w:r>
          </w:hyperlink>
        </w:p>
        <w:p w14:paraId="00A1FBBC" w14:textId="77777777" w:rsidR="00E41E30" w:rsidRPr="004D736C" w:rsidRDefault="00E41E30" w:rsidP="00E41E30">
          <w:pPr>
            <w:pStyle w:val="TOC2"/>
            <w:tabs>
              <w:tab w:val="right" w:leader="dot" w:pos="9350"/>
            </w:tabs>
            <w:rPr>
              <w:rFonts w:asciiTheme="minorHAnsi" w:eastAsiaTheme="minorEastAsia" w:hAnsiTheme="minorHAnsi" w:cstheme="minorBidi"/>
              <w:sz w:val="22"/>
              <w:szCs w:val="22"/>
            </w:rPr>
          </w:pPr>
          <w:hyperlink w:anchor="_Toc181986064" w:history="1">
            <w:r w:rsidRPr="004D736C">
              <w:rPr>
                <w:rStyle w:val="Hyperlink"/>
                <w:rFonts w:cs="Arial"/>
              </w:rPr>
              <w:t>Strategies for Achieving Long-Term Objectives</w:t>
            </w:r>
            <w:r w:rsidRPr="004D736C">
              <w:rPr>
                <w:webHidden/>
              </w:rPr>
              <w:tab/>
            </w:r>
            <w:r w:rsidRPr="004D736C">
              <w:rPr>
                <w:webHidden/>
              </w:rPr>
              <w:fldChar w:fldCharType="begin"/>
            </w:r>
            <w:r w:rsidRPr="004D736C">
              <w:rPr>
                <w:webHidden/>
              </w:rPr>
              <w:instrText xml:space="preserve"> PAGEREF _Toc181986064 \h </w:instrText>
            </w:r>
            <w:r w:rsidRPr="004D736C">
              <w:rPr>
                <w:webHidden/>
              </w:rPr>
            </w:r>
            <w:r w:rsidRPr="004D736C">
              <w:rPr>
                <w:webHidden/>
              </w:rPr>
              <w:fldChar w:fldCharType="separate"/>
            </w:r>
            <w:r w:rsidRPr="004D736C">
              <w:rPr>
                <w:webHidden/>
              </w:rPr>
              <w:t>13</w:t>
            </w:r>
            <w:r w:rsidRPr="004D736C">
              <w:rPr>
                <w:webHidden/>
              </w:rPr>
              <w:fldChar w:fldCharType="end"/>
            </w:r>
          </w:hyperlink>
        </w:p>
        <w:p w14:paraId="61430C73"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65" w:history="1">
            <w:r w:rsidRPr="004D736C">
              <w:rPr>
                <w:rStyle w:val="Hyperlink"/>
                <w:rFonts w:cs="Arial"/>
              </w:rPr>
              <w:t>Conclusion</w:t>
            </w:r>
            <w:r w:rsidRPr="004D736C">
              <w:rPr>
                <w:webHidden/>
              </w:rPr>
              <w:tab/>
            </w:r>
            <w:r w:rsidRPr="004D736C">
              <w:rPr>
                <w:webHidden/>
              </w:rPr>
              <w:fldChar w:fldCharType="begin"/>
            </w:r>
            <w:r w:rsidRPr="004D736C">
              <w:rPr>
                <w:webHidden/>
              </w:rPr>
              <w:instrText xml:space="preserve"> PAGEREF _Toc181986065 \h </w:instrText>
            </w:r>
            <w:r w:rsidRPr="004D736C">
              <w:rPr>
                <w:webHidden/>
              </w:rPr>
            </w:r>
            <w:r w:rsidRPr="004D736C">
              <w:rPr>
                <w:webHidden/>
              </w:rPr>
              <w:fldChar w:fldCharType="separate"/>
            </w:r>
            <w:r w:rsidRPr="004D736C">
              <w:rPr>
                <w:webHidden/>
              </w:rPr>
              <w:t>14</w:t>
            </w:r>
            <w:r w:rsidRPr="004D736C">
              <w:rPr>
                <w:webHidden/>
              </w:rPr>
              <w:fldChar w:fldCharType="end"/>
            </w:r>
          </w:hyperlink>
        </w:p>
        <w:p w14:paraId="6441779C"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66" w:history="1">
            <w:r w:rsidRPr="004D736C">
              <w:rPr>
                <w:rStyle w:val="Hyperlink"/>
                <w:rFonts w:cs="Arial"/>
              </w:rPr>
              <w:t>Recommendations for Improvement</w:t>
            </w:r>
            <w:r w:rsidRPr="004D736C">
              <w:rPr>
                <w:webHidden/>
              </w:rPr>
              <w:tab/>
            </w:r>
            <w:r w:rsidRPr="004D736C">
              <w:rPr>
                <w:webHidden/>
              </w:rPr>
              <w:fldChar w:fldCharType="begin"/>
            </w:r>
            <w:r w:rsidRPr="004D736C">
              <w:rPr>
                <w:webHidden/>
              </w:rPr>
              <w:instrText xml:space="preserve"> PAGEREF _Toc181986066 \h </w:instrText>
            </w:r>
            <w:r w:rsidRPr="004D736C">
              <w:rPr>
                <w:webHidden/>
              </w:rPr>
            </w:r>
            <w:r w:rsidRPr="004D736C">
              <w:rPr>
                <w:webHidden/>
              </w:rPr>
              <w:fldChar w:fldCharType="separate"/>
            </w:r>
            <w:r w:rsidRPr="004D736C">
              <w:rPr>
                <w:webHidden/>
              </w:rPr>
              <w:t>15</w:t>
            </w:r>
            <w:r w:rsidRPr="004D736C">
              <w:rPr>
                <w:webHidden/>
              </w:rPr>
              <w:fldChar w:fldCharType="end"/>
            </w:r>
          </w:hyperlink>
        </w:p>
        <w:p w14:paraId="3E968D30" w14:textId="77777777" w:rsidR="00E41E30" w:rsidRPr="004D736C" w:rsidRDefault="00E41E30" w:rsidP="00E41E30">
          <w:pPr>
            <w:pStyle w:val="TOC1"/>
            <w:tabs>
              <w:tab w:val="right" w:leader="dot" w:pos="9350"/>
            </w:tabs>
            <w:rPr>
              <w:rFonts w:asciiTheme="minorHAnsi" w:eastAsiaTheme="minorEastAsia" w:hAnsiTheme="minorHAnsi" w:cstheme="minorBidi"/>
              <w:sz w:val="22"/>
              <w:szCs w:val="22"/>
            </w:rPr>
          </w:pPr>
          <w:hyperlink w:anchor="_Toc181986067" w:history="1">
            <w:r w:rsidRPr="004D736C">
              <w:rPr>
                <w:rStyle w:val="Hyperlink"/>
                <w:rFonts w:cs="Arial"/>
              </w:rPr>
              <w:t>References</w:t>
            </w:r>
            <w:r w:rsidRPr="004D736C">
              <w:rPr>
                <w:webHidden/>
              </w:rPr>
              <w:tab/>
            </w:r>
            <w:r w:rsidRPr="004D736C">
              <w:rPr>
                <w:webHidden/>
              </w:rPr>
              <w:fldChar w:fldCharType="begin"/>
            </w:r>
            <w:r w:rsidRPr="004D736C">
              <w:rPr>
                <w:webHidden/>
              </w:rPr>
              <w:instrText xml:space="preserve"> PAGEREF _Toc181986067 \h </w:instrText>
            </w:r>
            <w:r w:rsidRPr="004D736C">
              <w:rPr>
                <w:webHidden/>
              </w:rPr>
            </w:r>
            <w:r w:rsidRPr="004D736C">
              <w:rPr>
                <w:webHidden/>
              </w:rPr>
              <w:fldChar w:fldCharType="separate"/>
            </w:r>
            <w:r w:rsidRPr="004D736C">
              <w:rPr>
                <w:webHidden/>
              </w:rPr>
              <w:t>16</w:t>
            </w:r>
            <w:r w:rsidRPr="004D736C">
              <w:rPr>
                <w:webHidden/>
              </w:rPr>
              <w:fldChar w:fldCharType="end"/>
            </w:r>
          </w:hyperlink>
        </w:p>
        <w:p w14:paraId="30B34B65" w14:textId="77777777" w:rsidR="00E41E30" w:rsidRPr="004D736C" w:rsidRDefault="00E41E30" w:rsidP="00E41E30">
          <w:pPr>
            <w:rPr>
              <w:rFonts w:cs="Arial"/>
            </w:rPr>
          </w:pPr>
          <w:r w:rsidRPr="004D736C">
            <w:rPr>
              <w:rFonts w:cs="Arial"/>
              <w:b/>
              <w:bCs/>
            </w:rPr>
            <w:fldChar w:fldCharType="end"/>
          </w:r>
        </w:p>
      </w:sdtContent>
    </w:sdt>
    <w:p w14:paraId="69603D2D" w14:textId="77777777" w:rsidR="00E41E30" w:rsidRPr="004D736C" w:rsidRDefault="00E41E30" w:rsidP="00E41E30">
      <w:pPr>
        <w:spacing w:after="160" w:line="259" w:lineRule="auto"/>
        <w:jc w:val="left"/>
        <w:rPr>
          <w:rFonts w:cs="Arial"/>
          <w:lang w:eastAsia="en-GB"/>
        </w:rPr>
      </w:pPr>
      <w:r w:rsidRPr="004D736C">
        <w:rPr>
          <w:rFonts w:cs="Arial"/>
          <w:lang w:eastAsia="en-GB"/>
        </w:rPr>
        <w:br w:type="page"/>
      </w:r>
    </w:p>
    <w:p w14:paraId="2C17DF3C" w14:textId="77777777" w:rsidR="00E41E30" w:rsidRPr="004D736C" w:rsidRDefault="00E41E30" w:rsidP="00774CB1">
      <w:pPr>
        <w:pStyle w:val="Heading1"/>
      </w:pPr>
      <w:bookmarkStart w:id="1" w:name="_Toc181986050"/>
      <w:r w:rsidRPr="004D736C">
        <w:lastRenderedPageBreak/>
        <w:t>Introduction</w:t>
      </w:r>
      <w:bookmarkEnd w:id="1"/>
    </w:p>
    <w:p w14:paraId="2ADBCC40" w14:textId="77777777" w:rsidR="00E41E30" w:rsidRPr="004D736C" w:rsidRDefault="00E41E30" w:rsidP="00E41E30">
      <w:pPr>
        <w:rPr>
          <w:rFonts w:cs="Arial"/>
          <w:lang w:eastAsia="en-GB"/>
        </w:rPr>
      </w:pPr>
      <w:r w:rsidRPr="004D736C">
        <w:rPr>
          <w:rFonts w:cs="Arial"/>
          <w:lang w:eastAsia="en-GB"/>
        </w:rPr>
        <w:t xml:space="preserve">Hyatt Hotels Corporation is one of the worldwide leading hospitality organisations that has a high reputation for quality services and luxury products. Hyatt began in 1957 and entered several sectors like full service, select service, and extended stay hotels having more than 1250 lodgings worldwide. The company takes a people-centric approach to guest and employee experiences, with a business aim of providing optimization and enhancement to personalized services (Mullins, 2023).  The aim of this report is to examine Hyatt Hotels Corporation more closely, specifically, the structure, culture, objectives, change management activities, and strategic orientation. The report will also give recommendations on how the company can improve its position in the hospitality industry of the country.  </w:t>
      </w:r>
    </w:p>
    <w:p w14:paraId="4D3789B7" w14:textId="77777777" w:rsidR="00E41E30" w:rsidRPr="004D736C" w:rsidRDefault="00E41E30" w:rsidP="00E41E30">
      <w:pPr>
        <w:spacing w:after="160" w:line="259" w:lineRule="auto"/>
        <w:jc w:val="left"/>
        <w:rPr>
          <w:rFonts w:cs="Arial"/>
          <w:lang w:eastAsia="en-GB"/>
        </w:rPr>
      </w:pPr>
      <w:r w:rsidRPr="004D736C">
        <w:rPr>
          <w:rFonts w:cs="Arial"/>
          <w:lang w:eastAsia="en-GB"/>
        </w:rPr>
        <w:br w:type="page"/>
      </w:r>
    </w:p>
    <w:p w14:paraId="66AB22D8" w14:textId="77777777" w:rsidR="00E41E30" w:rsidRPr="004D736C" w:rsidRDefault="00E41E30" w:rsidP="00774CB1">
      <w:pPr>
        <w:pStyle w:val="Heading1"/>
      </w:pPr>
      <w:bookmarkStart w:id="2" w:name="_Toc181986051"/>
      <w:r w:rsidRPr="004D736C">
        <w:lastRenderedPageBreak/>
        <w:t>Organisational Structure, Culture, and Goals</w:t>
      </w:r>
      <w:bookmarkEnd w:id="2"/>
    </w:p>
    <w:p w14:paraId="4E64B1DA" w14:textId="77777777" w:rsidR="00E41E30" w:rsidRPr="004D736C" w:rsidRDefault="00E41E30" w:rsidP="00E41E30">
      <w:pPr>
        <w:pStyle w:val="Heading2"/>
        <w:rPr>
          <w:rFonts w:cs="Arial"/>
        </w:rPr>
      </w:pPr>
      <w:bookmarkStart w:id="3" w:name="_Toc181986052"/>
      <w:r w:rsidRPr="004D736C">
        <w:rPr>
          <w:rFonts w:cs="Arial"/>
        </w:rPr>
        <w:t>Organisational Structure</w:t>
      </w:r>
      <w:bookmarkEnd w:id="3"/>
    </w:p>
    <w:p w14:paraId="0807DBEE" w14:textId="77777777" w:rsidR="00E41E30" w:rsidRPr="004D736C" w:rsidRDefault="00E41E30" w:rsidP="00E41E30">
      <w:pPr>
        <w:rPr>
          <w:rFonts w:cs="Arial"/>
          <w:lang w:eastAsia="en-GB"/>
        </w:rPr>
      </w:pPr>
      <w:r w:rsidRPr="004D736C">
        <w:rPr>
          <w:rFonts w:cs="Arial"/>
          <w:lang w:eastAsia="en-GB"/>
        </w:rPr>
        <w:t>Hyatt Hotels Corporation's organisational structure is divided into divisions of national and business lines. The strategy corresponds to Hyatt’s practices on a global level by allowing local decisions and focus on specialization according to Mullins and Dosser (2013). The organisation of the company with a similar decentralised structure is capable of adapting to the regional markets while maintaining overall, corporate goals based in Chicago (Bloisi et al, 2007). It also opens up various problems in which Hyatt has to find ways to maintain consistency across all its properties although controls are set regionally. Hyatt’s structure is therefore well suited to both, central control and regional ventures (Boddy, 2017).</w:t>
      </w:r>
    </w:p>
    <w:p w14:paraId="308CE3DF" w14:textId="77777777" w:rsidR="00E41E30" w:rsidRPr="004D736C" w:rsidRDefault="00E41E30" w:rsidP="00E41E30">
      <w:pPr>
        <w:pStyle w:val="Heading2"/>
        <w:rPr>
          <w:rFonts w:cs="Arial"/>
        </w:rPr>
      </w:pPr>
      <w:bookmarkStart w:id="4" w:name="_Toc181986053"/>
      <w:r w:rsidRPr="004D736C">
        <w:rPr>
          <w:rFonts w:cs="Arial"/>
        </w:rPr>
        <w:t>Organisational Culture using Handy’s Model</w:t>
      </w:r>
      <w:bookmarkEnd w:id="4"/>
    </w:p>
    <w:p w14:paraId="280EB482" w14:textId="77777777" w:rsidR="00E41E30" w:rsidRPr="004D736C" w:rsidRDefault="00E41E30" w:rsidP="00E41E30">
      <w:pPr>
        <w:rPr>
          <w:rFonts w:cs="Arial"/>
          <w:lang w:eastAsia="en-GB"/>
        </w:rPr>
      </w:pPr>
      <w:r w:rsidRPr="004D736C">
        <w:rPr>
          <w:rFonts w:cs="Arial"/>
          <w:lang w:eastAsia="en-GB"/>
        </w:rPr>
        <w:t xml:space="preserve">Organisational culture can best be described as the sum of values, beliefs, norms, and activities within an organisation that affect the behavior or attitude of employees. It shapes how employees communicate or communicate, make choices, and handle their tasks </w:t>
      </w:r>
      <w:r w:rsidRPr="004D736C">
        <w:rPr>
          <w:rFonts w:cs="Arial"/>
        </w:rPr>
        <w:t>(Millington, 2011)</w:t>
      </w:r>
      <w:r w:rsidRPr="004D736C">
        <w:rPr>
          <w:rFonts w:cs="Arial"/>
          <w:lang w:eastAsia="en-GB"/>
        </w:rPr>
        <w:t xml:space="preserve">.  </w:t>
      </w:r>
    </w:p>
    <w:p w14:paraId="572FB88A" w14:textId="77777777" w:rsidR="00E41E30" w:rsidRPr="004D736C" w:rsidRDefault="00E41E30" w:rsidP="00E41E30">
      <w:pPr>
        <w:rPr>
          <w:rFonts w:cs="Arial"/>
          <w:lang w:eastAsia="en-GB"/>
        </w:rPr>
      </w:pPr>
      <w:r w:rsidRPr="004D736C">
        <w:rPr>
          <w:rFonts w:cs="Arial"/>
          <w:lang w:eastAsia="en-GB"/>
        </w:rPr>
        <w:t>Organisational culture may be described as the set of norms and assumptions held by employees in an organisation that guides their behavior, communication, and decision-making process (Schein, 2010).  In the case of Hyatt Hotels Corporation, Organisational culture is expressed in Task and Person cultural theories; however, Role and Power theories exist within specific settings (Boddy, 2017).</w:t>
      </w:r>
    </w:p>
    <w:p w14:paraId="5CC773C0" w14:textId="77777777" w:rsidR="00E41E30" w:rsidRPr="004D736C" w:rsidRDefault="00E41E30" w:rsidP="00E41E30">
      <w:pPr>
        <w:keepNext/>
        <w:jc w:val="center"/>
        <w:rPr>
          <w:rFonts w:cs="Arial"/>
        </w:rPr>
      </w:pPr>
      <w:r w:rsidRPr="004D736C">
        <w:rPr>
          <w:rFonts w:cs="Arial"/>
        </w:rPr>
        <w:lastRenderedPageBreak/>
        <w:drawing>
          <wp:inline distT="0" distB="0" distL="0" distR="0" wp14:anchorId="45C9C82A" wp14:editId="6910D736">
            <wp:extent cx="5602791" cy="3153126"/>
            <wp:effectExtent l="19050" t="19050" r="17145" b="28575"/>
            <wp:docPr id="2" name="Picture 2" descr="Charles Handy’s Organizational Culture Model PowerPoint Template - Standard  Licen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harles Handy’s Organizational Culture Model PowerPoint Template - Standard  Licen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13369" cy="3159079"/>
                    </a:xfrm>
                    <a:prstGeom prst="rect">
                      <a:avLst/>
                    </a:prstGeom>
                    <a:noFill/>
                    <a:ln>
                      <a:solidFill>
                        <a:schemeClr val="tx1"/>
                      </a:solidFill>
                    </a:ln>
                  </pic:spPr>
                </pic:pic>
              </a:graphicData>
            </a:graphic>
          </wp:inline>
        </w:drawing>
      </w:r>
    </w:p>
    <w:p w14:paraId="6AB082FC" w14:textId="77777777" w:rsidR="00E41E30" w:rsidRPr="004D736C" w:rsidRDefault="00E41E30" w:rsidP="00E41E30">
      <w:pPr>
        <w:pStyle w:val="Caption"/>
        <w:rPr>
          <w:rFonts w:cs="Arial"/>
          <w:lang w:val="en-GB" w:eastAsia="en-GB"/>
        </w:rPr>
      </w:pPr>
      <w:r w:rsidRPr="004D736C">
        <w:rPr>
          <w:rFonts w:cs="Arial"/>
          <w:lang w:val="en-GB"/>
        </w:rPr>
        <w:t xml:space="preserve">Figure </w:t>
      </w:r>
      <w:r w:rsidRPr="004D736C">
        <w:rPr>
          <w:rFonts w:cs="Arial"/>
          <w:lang w:val="en-GB"/>
        </w:rPr>
        <w:fldChar w:fldCharType="begin"/>
      </w:r>
      <w:r w:rsidRPr="004D736C">
        <w:rPr>
          <w:rFonts w:cs="Arial"/>
          <w:lang w:val="en-GB"/>
        </w:rPr>
        <w:instrText xml:space="preserve"> SEQ Figure \* ARABIC </w:instrText>
      </w:r>
      <w:r w:rsidRPr="004D736C">
        <w:rPr>
          <w:rFonts w:cs="Arial"/>
          <w:lang w:val="en-GB"/>
        </w:rPr>
        <w:fldChar w:fldCharType="separate"/>
      </w:r>
      <w:r w:rsidRPr="004D736C">
        <w:rPr>
          <w:rFonts w:cs="Arial"/>
          <w:lang w:val="en-GB"/>
        </w:rPr>
        <w:t>1</w:t>
      </w:r>
      <w:r w:rsidRPr="004D736C">
        <w:rPr>
          <w:rFonts w:cs="Arial"/>
          <w:lang w:val="en-GB"/>
        </w:rPr>
        <w:fldChar w:fldCharType="end"/>
      </w:r>
      <w:r w:rsidRPr="004D736C">
        <w:rPr>
          <w:rFonts w:cs="Arial"/>
          <w:lang w:val="en-GB"/>
        </w:rPr>
        <w:t>: Handy’s Model</w:t>
      </w:r>
      <w:r w:rsidRPr="004D736C">
        <w:rPr>
          <w:rFonts w:cs="Arial"/>
          <w:lang w:val="en-GB"/>
        </w:rPr>
        <w:br/>
        <w:t>Source:</w:t>
      </w:r>
      <w:r w:rsidRPr="004D736C">
        <w:rPr>
          <w:rFonts w:cs="Arial"/>
          <w:lang w:val="en-GB" w:eastAsia="en-GB"/>
        </w:rPr>
        <w:t xml:space="preserve"> (Boddy, 2017)</w:t>
      </w:r>
    </w:p>
    <w:p w14:paraId="109DEF84" w14:textId="77777777" w:rsidR="00E41E30" w:rsidRPr="004D736C" w:rsidRDefault="00E41E30" w:rsidP="00E41E30">
      <w:pPr>
        <w:rPr>
          <w:rFonts w:cs="Arial"/>
          <w:lang w:eastAsia="en-GB"/>
        </w:rPr>
      </w:pPr>
      <w:r w:rsidRPr="004D736C">
        <w:rPr>
          <w:rFonts w:cs="Arial"/>
          <w:b/>
          <w:lang w:eastAsia="en-GB"/>
        </w:rPr>
        <w:t>Task Culture:</w:t>
      </w:r>
      <w:r w:rsidRPr="004D736C">
        <w:rPr>
          <w:rFonts w:cs="Arial"/>
          <w:lang w:eastAsia="en-GB"/>
        </w:rPr>
        <w:t xml:space="preserve"> </w:t>
      </w:r>
      <w:r w:rsidRPr="004D736C">
        <w:rPr>
          <w:rFonts w:cs="Arial"/>
          <w:b/>
          <w:lang w:eastAsia="en-GB"/>
        </w:rPr>
        <w:t>Building Team and the Ability to Adapt</w:t>
      </w:r>
    </w:p>
    <w:p w14:paraId="15FA58FF" w14:textId="72A50B80" w:rsidR="00E41E30" w:rsidRPr="004D736C" w:rsidRDefault="00E41E30" w:rsidP="00E41E30">
      <w:pPr>
        <w:rPr>
          <w:rFonts w:cs="Arial"/>
          <w:lang w:eastAsia="en-GB"/>
        </w:rPr>
      </w:pPr>
      <w:r w:rsidRPr="004D736C">
        <w:rPr>
          <w:rFonts w:cs="Arial"/>
          <w:lang w:eastAsia="en-GB"/>
        </w:rPr>
        <w:t>Task culture is present at Hyatt at the individual hotel units where subgroups autonomously coordinate to accomplish goals like satisfying customer needs or organi</w:t>
      </w:r>
      <w:r w:rsidR="004D736C">
        <w:rPr>
          <w:rFonts w:cs="Arial"/>
          <w:lang w:eastAsia="en-GB"/>
        </w:rPr>
        <w:t>s</w:t>
      </w:r>
      <w:r w:rsidRPr="004D736C">
        <w:rPr>
          <w:rFonts w:cs="Arial"/>
          <w:lang w:eastAsia="en-GB"/>
        </w:rPr>
        <w:t>ing events. In return decision-making decentrali</w:t>
      </w:r>
      <w:r w:rsidR="004D736C">
        <w:rPr>
          <w:rFonts w:cs="Arial"/>
          <w:lang w:eastAsia="en-GB"/>
        </w:rPr>
        <w:t>s</w:t>
      </w:r>
      <w:r w:rsidRPr="004D736C">
        <w:rPr>
          <w:rFonts w:cs="Arial"/>
          <w:lang w:eastAsia="en-GB"/>
        </w:rPr>
        <w:t>ation motivates employees and provides them with an excellent level of productivity. For instance, one management mantra emphasi</w:t>
      </w:r>
      <w:r w:rsidR="004D736C">
        <w:rPr>
          <w:rFonts w:cs="Arial"/>
          <w:lang w:eastAsia="en-GB"/>
        </w:rPr>
        <w:t>s</w:t>
      </w:r>
      <w:r w:rsidRPr="004D736C">
        <w:rPr>
          <w:rFonts w:cs="Arial"/>
          <w:lang w:eastAsia="en-GB"/>
        </w:rPr>
        <w:t>ing the company’s responsiveness is the motto – ‘The guest is always right,’ literally meaning that ‘whatever the guest wants, the guest gets. Hyatt fosters an atmosphere when employees would like to cooperate, which, in turn, would improve the customers’ satisfaction (Mullins, 2019).</w:t>
      </w:r>
    </w:p>
    <w:p w14:paraId="4034F166" w14:textId="77777777" w:rsidR="00E41E30" w:rsidRPr="004D736C" w:rsidRDefault="00E41E30" w:rsidP="00E41E30">
      <w:pPr>
        <w:rPr>
          <w:rFonts w:cs="Arial"/>
          <w:b/>
        </w:rPr>
      </w:pPr>
      <w:r w:rsidRPr="004D736C">
        <w:rPr>
          <w:rFonts w:cs="Arial"/>
          <w:b/>
        </w:rPr>
        <w:t>Task Culture: Fostering Teamwork and Flexibility</w:t>
      </w:r>
    </w:p>
    <w:p w14:paraId="4A1DA9D3" w14:textId="77777777" w:rsidR="00E41E30" w:rsidRPr="004D736C" w:rsidRDefault="00E41E30" w:rsidP="00E41E30">
      <w:pPr>
        <w:rPr>
          <w:rFonts w:cs="Arial"/>
          <w:lang w:eastAsia="en-GB"/>
        </w:rPr>
      </w:pPr>
      <w:r w:rsidRPr="004D736C">
        <w:rPr>
          <w:rFonts w:cs="Arial"/>
          <w:lang w:eastAsia="en-GB"/>
        </w:rPr>
        <w:t>Hyatt’s personal culture is evident through its emphasis on employee persona. Known as “staff members” they are encouraged to develop, not only personally but also as a staff. The company has made a great consideration for diversity, particularly in terms of race and ethnicity, to help facilitate a healthy work culture for organisational stakeholders. It directly results in organisational performance since it is a way of increasing employees’ motivation and morale, thus reducing their turnover and improving service delivery (Huczynski and Buchanan, 2019).</w:t>
      </w:r>
    </w:p>
    <w:p w14:paraId="6F08E056" w14:textId="77777777" w:rsidR="00E41E30" w:rsidRPr="004D736C" w:rsidRDefault="00E41E30" w:rsidP="00E41E30">
      <w:pPr>
        <w:rPr>
          <w:rFonts w:cs="Arial"/>
          <w:b/>
          <w:lang w:eastAsia="en-GB"/>
        </w:rPr>
      </w:pPr>
      <w:r w:rsidRPr="004D736C">
        <w:rPr>
          <w:rFonts w:cs="Arial"/>
          <w:b/>
          <w:lang w:eastAsia="en-GB"/>
        </w:rPr>
        <w:lastRenderedPageBreak/>
        <w:t>Role Culture: Defining Accountability</w:t>
      </w:r>
    </w:p>
    <w:p w14:paraId="42933788" w14:textId="4CA3981C" w:rsidR="00E41E30" w:rsidRPr="004D736C" w:rsidRDefault="00E41E30" w:rsidP="00E41E30">
      <w:pPr>
        <w:rPr>
          <w:rFonts w:cs="Arial"/>
          <w:lang w:eastAsia="en-GB"/>
        </w:rPr>
      </w:pPr>
      <w:r w:rsidRPr="004D736C">
        <w:rPr>
          <w:rFonts w:cs="Arial"/>
          <w:lang w:eastAsia="en-GB"/>
        </w:rPr>
        <w:t>However, the Role culture exists in departments such as finance or human resources because there is always a proper chain of command and official assignments to meet. This system facilitates stable operations and minimi</w:t>
      </w:r>
      <w:r w:rsidR="004D736C">
        <w:rPr>
          <w:rFonts w:cs="Arial"/>
          <w:lang w:eastAsia="en-GB"/>
        </w:rPr>
        <w:t>s</w:t>
      </w:r>
      <w:r w:rsidRPr="004D736C">
        <w:rPr>
          <w:rFonts w:cs="Arial"/>
          <w:lang w:eastAsia="en-GB"/>
        </w:rPr>
        <w:t>es risks, thus enabling Hyatt to address the regulatory requirements and achieve business operations efficiency (Armstrong, 2021).</w:t>
      </w:r>
    </w:p>
    <w:p w14:paraId="24C632A7" w14:textId="77777777" w:rsidR="00E41E30" w:rsidRPr="004D736C" w:rsidRDefault="00E41E30" w:rsidP="00E41E30">
      <w:pPr>
        <w:rPr>
          <w:rFonts w:cs="Arial"/>
          <w:b/>
          <w:lang w:eastAsia="en-GB"/>
        </w:rPr>
      </w:pPr>
      <w:r w:rsidRPr="004D736C">
        <w:rPr>
          <w:rFonts w:cs="Arial"/>
          <w:b/>
          <w:lang w:eastAsia="en-GB"/>
        </w:rPr>
        <w:t>Power Culture: Strategic Leadership</w:t>
      </w:r>
    </w:p>
    <w:p w14:paraId="6291E6C4" w14:textId="36114849" w:rsidR="00E41E30" w:rsidRPr="004D736C" w:rsidRDefault="00E41E30" w:rsidP="00E41E30">
      <w:pPr>
        <w:rPr>
          <w:rFonts w:cs="Arial"/>
          <w:lang w:eastAsia="en-GB"/>
        </w:rPr>
      </w:pPr>
      <w:r w:rsidRPr="004D736C">
        <w:rPr>
          <w:rFonts w:cs="Arial"/>
          <w:lang w:eastAsia="en-GB"/>
        </w:rPr>
        <w:t>The existent sub-cultures are few but discernible in the organisation Those are the Power culture, which is most prominent with senior managers and staffers who make strategic decisions to steer the company. On the one hand, this approach helps reali</w:t>
      </w:r>
      <w:r w:rsidR="004D736C">
        <w:rPr>
          <w:rFonts w:cs="Arial"/>
          <w:lang w:eastAsia="en-GB"/>
        </w:rPr>
        <w:t>s</w:t>
      </w:r>
      <w:r w:rsidRPr="004D736C">
        <w:rPr>
          <w:rFonts w:cs="Arial"/>
          <w:lang w:eastAsia="en-GB"/>
        </w:rPr>
        <w:t>e a coherent corporate initiative, while on the other hand, regional decentrali</w:t>
      </w:r>
      <w:r w:rsidR="004D736C">
        <w:rPr>
          <w:rFonts w:cs="Arial"/>
          <w:lang w:eastAsia="en-GB"/>
        </w:rPr>
        <w:t>s</w:t>
      </w:r>
      <w:r w:rsidRPr="004D736C">
        <w:rPr>
          <w:rFonts w:cs="Arial"/>
          <w:lang w:eastAsia="en-GB"/>
        </w:rPr>
        <w:t>ation opens the way for market adaptation (Boddy, 2017).</w:t>
      </w:r>
    </w:p>
    <w:p w14:paraId="124ECC97" w14:textId="77777777" w:rsidR="00E41E30" w:rsidRPr="004D736C" w:rsidRDefault="00E41E30" w:rsidP="00E41E30">
      <w:pPr>
        <w:pStyle w:val="Heading2"/>
        <w:rPr>
          <w:rFonts w:cs="Arial"/>
        </w:rPr>
      </w:pPr>
      <w:bookmarkStart w:id="5" w:name="_Toc181986054"/>
      <w:r w:rsidRPr="004D736C">
        <w:rPr>
          <w:rFonts w:cs="Arial"/>
        </w:rPr>
        <w:t>Corporate and Unit-Level Goals</w:t>
      </w:r>
      <w:bookmarkEnd w:id="5"/>
      <w:r w:rsidRPr="004D736C">
        <w:rPr>
          <w:rFonts w:cs="Arial"/>
        </w:rPr>
        <w:t xml:space="preserve"> </w:t>
      </w:r>
    </w:p>
    <w:p w14:paraId="740B7918" w14:textId="77777777" w:rsidR="00E41E30" w:rsidRPr="004D736C" w:rsidRDefault="00E41E30" w:rsidP="00E41E30">
      <w:pPr>
        <w:rPr>
          <w:rFonts w:cs="Arial"/>
          <w:lang w:eastAsia="en-GB"/>
        </w:rPr>
      </w:pPr>
      <w:r w:rsidRPr="004D736C">
        <w:rPr>
          <w:rFonts w:cs="Arial"/>
          <w:lang w:eastAsia="en-GB"/>
        </w:rPr>
        <w:t xml:space="preserve">It is crucial to understand Hyatt Hotels Corporation’s corporate goals after carrying out an external and internal analysis The organisation's corporate objectives include growth, satisfying customers, being environmentally conscious, and reaping financial benefits. In line with its growth plan, Hyatt, believes that it will have more than 1,200 hotels by 2025 in various markets (Hyatt, 2023). Hyatt’s environmental management is in a strong position with the Climate Committee’s goal of a 27.5% cut in carbon emissions and a 25% slash in water usage by 2030 (Hyatt, 2022). At the unit level, each hotel has an average guest satisfaction score greater than 85% achieved through effective implementation of service quality and operations excellence. Hotels are also exhorted to achieve targets of profitability largely by raising occupancy levels and average daily rates (ADR). The various properties support a corporation’s effort, for example: Of the organisation’s leadership, and gender parity by 2025 (Hyatt, 2023).  </w:t>
      </w:r>
    </w:p>
    <w:p w14:paraId="77318F6B" w14:textId="77777777" w:rsidR="00E41E30" w:rsidRPr="004D736C" w:rsidRDefault="00E41E30" w:rsidP="00E41E30">
      <w:pPr>
        <w:spacing w:after="160" w:line="259" w:lineRule="auto"/>
        <w:jc w:val="left"/>
        <w:rPr>
          <w:rFonts w:cs="Arial"/>
          <w:lang w:eastAsia="en-GB"/>
        </w:rPr>
      </w:pPr>
      <w:r w:rsidRPr="004D736C">
        <w:rPr>
          <w:rFonts w:cs="Arial"/>
          <w:lang w:eastAsia="en-GB"/>
        </w:rPr>
        <w:br w:type="page"/>
      </w:r>
    </w:p>
    <w:p w14:paraId="4357E5E5" w14:textId="77777777" w:rsidR="00E41E30" w:rsidRPr="004D736C" w:rsidRDefault="00E41E30" w:rsidP="00774CB1">
      <w:pPr>
        <w:pStyle w:val="Heading1"/>
      </w:pPr>
      <w:bookmarkStart w:id="6" w:name="_Toc181986055"/>
      <w:r w:rsidRPr="004D736C">
        <w:rPr>
          <w:rStyle w:val="Strong"/>
          <w:rFonts w:cs="Arial"/>
          <w:b/>
          <w:bCs w:val="0"/>
          <w:lang w:val="en-GB"/>
        </w:rPr>
        <w:lastRenderedPageBreak/>
        <w:t>Recent Change Initiatives</w:t>
      </w:r>
      <w:bookmarkEnd w:id="6"/>
    </w:p>
    <w:p w14:paraId="1E1B5CEF" w14:textId="77777777" w:rsidR="00E41E30" w:rsidRPr="004D736C" w:rsidRDefault="00E41E30" w:rsidP="00E41E30">
      <w:pPr>
        <w:pStyle w:val="Heading2"/>
        <w:rPr>
          <w:rFonts w:cs="Arial"/>
        </w:rPr>
      </w:pPr>
      <w:bookmarkStart w:id="7" w:name="_Toc181986056"/>
      <w:r w:rsidRPr="004D736C">
        <w:rPr>
          <w:rFonts w:cs="Arial"/>
        </w:rPr>
        <w:t>Identifying Change Initiatives</w:t>
      </w:r>
      <w:bookmarkEnd w:id="7"/>
      <w:r w:rsidRPr="004D736C">
        <w:rPr>
          <w:rFonts w:cs="Arial"/>
        </w:rPr>
        <w:t xml:space="preserve"> </w:t>
      </w:r>
    </w:p>
    <w:p w14:paraId="1AC8EF07" w14:textId="77777777" w:rsidR="00E41E30" w:rsidRPr="004D736C" w:rsidRDefault="00E41E30" w:rsidP="00E41E30">
      <w:pPr>
        <w:rPr>
          <w:rFonts w:cs="Arial"/>
          <w:lang w:eastAsia="en-GB"/>
        </w:rPr>
      </w:pPr>
      <w:r w:rsidRPr="004D736C">
        <w:rPr>
          <w:rFonts w:cs="Arial"/>
          <w:lang w:eastAsia="en-GB"/>
        </w:rPr>
        <w:t>Leveraging information on organisational change management, Hyatt Hotels Corporation has embarked on several momentous change endeavors to address changing market forces and guest preferences. Key initiatives include:</w:t>
      </w:r>
    </w:p>
    <w:p w14:paraId="2986ADD8" w14:textId="77777777" w:rsidR="00E41E30" w:rsidRPr="004D736C" w:rsidRDefault="00E41E30" w:rsidP="00E41E30">
      <w:pPr>
        <w:pStyle w:val="ListParagraph"/>
        <w:numPr>
          <w:ilvl w:val="0"/>
          <w:numId w:val="34"/>
        </w:numPr>
        <w:rPr>
          <w:rFonts w:cs="Arial"/>
          <w:lang w:eastAsia="en-GB"/>
        </w:rPr>
      </w:pPr>
      <w:r w:rsidRPr="004D736C">
        <w:rPr>
          <w:rFonts w:cs="Arial"/>
          <w:b/>
          <w:lang w:eastAsia="en-GB"/>
        </w:rPr>
        <w:t>Digital Transformation:</w:t>
      </w:r>
      <w:r w:rsidRPr="004D736C">
        <w:rPr>
          <w:rFonts w:cs="Arial"/>
          <w:lang w:eastAsia="en-GB"/>
        </w:rPr>
        <w:t xml:space="preserve"> Correspondingly, contactless innovations such as mobile applications, smart kiosks, virtual room keys, and smartphones were adopted by Hyatt to make the guest experience as comfortable as possible </w:t>
      </w:r>
      <w:r w:rsidRPr="004D736C">
        <w:rPr>
          <w:rFonts w:cs="Arial"/>
        </w:rPr>
        <w:t>(Yumuk and Kurgun, 2020)</w:t>
      </w:r>
      <w:r w:rsidRPr="004D736C">
        <w:rPr>
          <w:rFonts w:cs="Arial"/>
          <w:lang w:eastAsia="en-GB"/>
        </w:rPr>
        <w:t>.</w:t>
      </w:r>
    </w:p>
    <w:p w14:paraId="2EC80A31" w14:textId="77777777" w:rsidR="00E41E30" w:rsidRPr="004D736C" w:rsidRDefault="00E41E30" w:rsidP="00E41E30">
      <w:pPr>
        <w:pStyle w:val="ListParagraph"/>
        <w:numPr>
          <w:ilvl w:val="0"/>
          <w:numId w:val="34"/>
        </w:numPr>
        <w:rPr>
          <w:rFonts w:cs="Arial"/>
          <w:lang w:eastAsia="en-GB"/>
        </w:rPr>
      </w:pPr>
      <w:r w:rsidRPr="004D736C">
        <w:rPr>
          <w:rFonts w:cs="Arial"/>
          <w:b/>
          <w:lang w:eastAsia="en-GB"/>
        </w:rPr>
        <w:t>Acquisition of Apple Leisure Group (2021):</w:t>
      </w:r>
      <w:r w:rsidRPr="004D736C">
        <w:rPr>
          <w:rFonts w:cs="Arial"/>
          <w:lang w:eastAsia="en-GB"/>
        </w:rPr>
        <w:t xml:space="preserve"> It also had the advantage of adding new business for Hyatt into the all-inclusive resort segment that still holds a specific niche in the leisure markets especially Latin America and Europe </w:t>
      </w:r>
      <w:r w:rsidRPr="004D736C">
        <w:rPr>
          <w:rFonts w:cs="Arial"/>
        </w:rPr>
        <w:t>(Panicacci, 2021)</w:t>
      </w:r>
      <w:r w:rsidRPr="004D736C">
        <w:rPr>
          <w:rFonts w:cs="Arial"/>
          <w:lang w:eastAsia="en-GB"/>
        </w:rPr>
        <w:t>.</w:t>
      </w:r>
    </w:p>
    <w:p w14:paraId="4B3BC1A8" w14:textId="657AC75D" w:rsidR="00E41E30" w:rsidRPr="004D736C" w:rsidRDefault="00E41E30" w:rsidP="00E41E30">
      <w:pPr>
        <w:pStyle w:val="ListParagraph"/>
        <w:numPr>
          <w:ilvl w:val="0"/>
          <w:numId w:val="34"/>
        </w:numPr>
        <w:rPr>
          <w:rFonts w:cs="Arial"/>
          <w:lang w:eastAsia="en-GB"/>
        </w:rPr>
      </w:pPr>
      <w:r w:rsidRPr="004D736C">
        <w:rPr>
          <w:rFonts w:cs="Arial"/>
          <w:b/>
          <w:lang w:eastAsia="en-GB"/>
        </w:rPr>
        <w:t>Sustainability Efforts:</w:t>
      </w:r>
      <w:r w:rsidRPr="004D736C">
        <w:rPr>
          <w:rFonts w:cs="Arial"/>
          <w:lang w:eastAsia="en-GB"/>
        </w:rPr>
        <w:t xml:space="preserve"> Hyatt unveiled the ‘World of Care’ with commitments for environmental management with the intent to remove fixables like single-use plastics, optimi</w:t>
      </w:r>
      <w:r w:rsidR="004D736C">
        <w:rPr>
          <w:rFonts w:cs="Arial"/>
          <w:lang w:eastAsia="en-GB"/>
        </w:rPr>
        <w:t>s</w:t>
      </w:r>
      <w:r w:rsidRPr="004D736C">
        <w:rPr>
          <w:rFonts w:cs="Arial"/>
          <w:lang w:eastAsia="en-GB"/>
        </w:rPr>
        <w:t>e energy envelope, and incorporate eco-friendly purchasing protocol</w:t>
      </w:r>
      <w:r w:rsidRPr="004D736C">
        <w:rPr>
          <w:rFonts w:cs="Arial"/>
        </w:rPr>
        <w:t xml:space="preserve"> (Delardas and Giannos, 2022)</w:t>
      </w:r>
      <w:r w:rsidRPr="004D736C">
        <w:rPr>
          <w:rFonts w:cs="Arial"/>
          <w:lang w:eastAsia="en-GB"/>
        </w:rPr>
        <w:t>.</w:t>
      </w:r>
    </w:p>
    <w:p w14:paraId="4E812B4A" w14:textId="77777777" w:rsidR="00E41E30" w:rsidRPr="004D736C" w:rsidRDefault="00E41E30" w:rsidP="00E41E30">
      <w:pPr>
        <w:pStyle w:val="ListParagraph"/>
        <w:numPr>
          <w:ilvl w:val="0"/>
          <w:numId w:val="34"/>
        </w:numPr>
        <w:rPr>
          <w:rFonts w:cs="Arial"/>
          <w:lang w:eastAsia="en-GB"/>
        </w:rPr>
      </w:pPr>
      <w:r w:rsidRPr="004D736C">
        <w:rPr>
          <w:rFonts w:cs="Arial"/>
          <w:b/>
          <w:lang w:eastAsia="en-GB"/>
        </w:rPr>
        <w:t>Post-COVID Operational Changes:</w:t>
      </w:r>
      <w:r w:rsidRPr="004D736C">
        <w:rPr>
          <w:rFonts w:cs="Arial"/>
          <w:lang w:eastAsia="en-GB"/>
        </w:rPr>
        <w:t xml:space="preserve"> New health measures were introduced and hybrid meeting places were added because of the tendency to work remotely. This helped safeguard customer interest in answering to the current trends of flex-space demand </w:t>
      </w:r>
      <w:r w:rsidRPr="004D736C">
        <w:rPr>
          <w:rFonts w:cs="Arial"/>
        </w:rPr>
        <w:t>(Yumuk and Kurgun, 2020)</w:t>
      </w:r>
      <w:r w:rsidRPr="004D736C">
        <w:rPr>
          <w:rFonts w:cs="Arial"/>
          <w:lang w:eastAsia="en-GB"/>
        </w:rPr>
        <w:t>.</w:t>
      </w:r>
    </w:p>
    <w:p w14:paraId="4C6686E1" w14:textId="77777777" w:rsidR="00E41E30" w:rsidRPr="004D736C" w:rsidRDefault="00E41E30" w:rsidP="00E41E30">
      <w:pPr>
        <w:rPr>
          <w:rFonts w:cs="Arial"/>
          <w:lang w:eastAsia="en-GB"/>
        </w:rPr>
      </w:pPr>
    </w:p>
    <w:p w14:paraId="14514D24" w14:textId="77777777" w:rsidR="00E41E30" w:rsidRPr="004D736C" w:rsidRDefault="00E41E30" w:rsidP="00E41E30">
      <w:pPr>
        <w:spacing w:after="160" w:line="259" w:lineRule="auto"/>
        <w:jc w:val="left"/>
        <w:rPr>
          <w:rFonts w:eastAsiaTheme="majorEastAsia" w:cs="Arial"/>
          <w:b/>
          <w:sz w:val="28"/>
          <w:szCs w:val="26"/>
          <w:lang w:eastAsia="en-GB"/>
        </w:rPr>
      </w:pPr>
      <w:r w:rsidRPr="004D736C">
        <w:rPr>
          <w:rFonts w:cs="Arial"/>
        </w:rPr>
        <w:br w:type="page"/>
      </w:r>
    </w:p>
    <w:p w14:paraId="0E092B08" w14:textId="77777777" w:rsidR="00E41E30" w:rsidRPr="004D736C" w:rsidRDefault="00E41E30" w:rsidP="00E41E30">
      <w:pPr>
        <w:pStyle w:val="Heading2"/>
        <w:rPr>
          <w:rFonts w:cs="Arial"/>
        </w:rPr>
      </w:pPr>
      <w:bookmarkStart w:id="8" w:name="_Toc181986057"/>
      <w:r w:rsidRPr="004D736C">
        <w:rPr>
          <w:rFonts w:cs="Arial"/>
        </w:rPr>
        <w:lastRenderedPageBreak/>
        <w:t>Impact of the Initiatives</w:t>
      </w:r>
      <w:bookmarkEnd w:id="8"/>
    </w:p>
    <w:p w14:paraId="10C49A4A" w14:textId="77777777" w:rsidR="00E41E30" w:rsidRPr="004D736C" w:rsidRDefault="00E41E30" w:rsidP="00E41E30">
      <w:pPr>
        <w:rPr>
          <w:rFonts w:cs="Arial"/>
          <w:lang w:eastAsia="en-GB"/>
        </w:rPr>
      </w:pPr>
      <w:r w:rsidRPr="004D736C">
        <w:rPr>
          <w:rFonts w:cs="Arial"/>
          <w:lang w:eastAsia="en-GB"/>
        </w:rPr>
        <w:t>These initiatives have had notable impacts on Hyatt’s business performance and brand positioning:</w:t>
      </w:r>
    </w:p>
    <w:p w14:paraId="615FCE31" w14:textId="3BA4D1AA" w:rsidR="00E41E30" w:rsidRPr="004D736C" w:rsidRDefault="00E41E30" w:rsidP="00E41E30">
      <w:pPr>
        <w:pStyle w:val="ListParagraph"/>
        <w:numPr>
          <w:ilvl w:val="0"/>
          <w:numId w:val="35"/>
        </w:numPr>
        <w:rPr>
          <w:rFonts w:cs="Arial"/>
          <w:lang w:eastAsia="en-GB"/>
        </w:rPr>
      </w:pPr>
      <w:r w:rsidRPr="004D736C">
        <w:rPr>
          <w:rFonts w:cs="Arial"/>
          <w:b/>
          <w:lang w:eastAsia="en-GB"/>
        </w:rPr>
        <w:t>Enhanced Customer Experience:</w:t>
      </w:r>
      <w:r w:rsidRPr="004D736C">
        <w:rPr>
          <w:rFonts w:cs="Arial"/>
          <w:lang w:eastAsia="en-GB"/>
        </w:rPr>
        <w:t xml:space="preserve"> Guests have also been satisfied by the reduction of waiting time and encouraging the use of digital tools allowing for individuali</w:t>
      </w:r>
      <w:r w:rsidR="004D736C">
        <w:rPr>
          <w:rFonts w:cs="Arial"/>
          <w:lang w:eastAsia="en-GB"/>
        </w:rPr>
        <w:t>s</w:t>
      </w:r>
      <w:r w:rsidRPr="004D736C">
        <w:rPr>
          <w:rFonts w:cs="Arial"/>
          <w:lang w:eastAsia="en-GB"/>
        </w:rPr>
        <w:t>ation of services.</w:t>
      </w:r>
    </w:p>
    <w:p w14:paraId="33760851" w14:textId="77777777" w:rsidR="00E41E30" w:rsidRPr="004D736C" w:rsidRDefault="00E41E30" w:rsidP="00E41E30">
      <w:pPr>
        <w:pStyle w:val="ListParagraph"/>
        <w:numPr>
          <w:ilvl w:val="0"/>
          <w:numId w:val="35"/>
        </w:numPr>
        <w:rPr>
          <w:rFonts w:cs="Arial"/>
          <w:lang w:eastAsia="en-GB"/>
        </w:rPr>
      </w:pPr>
      <w:r w:rsidRPr="004D736C">
        <w:rPr>
          <w:rFonts w:cs="Arial"/>
          <w:b/>
          <w:lang w:eastAsia="en-GB"/>
        </w:rPr>
        <w:t>Portfolio Expansion:</w:t>
      </w:r>
      <w:r w:rsidRPr="004D736C">
        <w:rPr>
          <w:rFonts w:cs="Arial"/>
          <w:lang w:eastAsia="en-GB"/>
        </w:rPr>
        <w:t xml:space="preserve"> The purchase of Apple Leisure Group has been useful for Hyatt because it allowed the acquisition of additions to its portfolio and attracted different kinds of clients. These changes enabled the company to bounce back in the leisure travel products segment once the pandemic had struck </w:t>
      </w:r>
      <w:r w:rsidRPr="004D736C">
        <w:rPr>
          <w:rFonts w:cs="Arial"/>
        </w:rPr>
        <w:t>(Yumuk and Kurgun, 2020)</w:t>
      </w:r>
      <w:r w:rsidRPr="004D736C">
        <w:rPr>
          <w:rFonts w:cs="Arial"/>
          <w:lang w:eastAsia="en-GB"/>
        </w:rPr>
        <w:t>.</w:t>
      </w:r>
    </w:p>
    <w:p w14:paraId="5229CF16" w14:textId="77777777" w:rsidR="00E41E30" w:rsidRPr="004D736C" w:rsidRDefault="00E41E30" w:rsidP="00E41E30">
      <w:pPr>
        <w:pStyle w:val="ListParagraph"/>
        <w:numPr>
          <w:ilvl w:val="0"/>
          <w:numId w:val="35"/>
        </w:numPr>
        <w:rPr>
          <w:rFonts w:cs="Arial"/>
          <w:lang w:eastAsia="en-GB"/>
        </w:rPr>
      </w:pPr>
      <w:r w:rsidRPr="004D736C">
        <w:rPr>
          <w:rFonts w:cs="Arial"/>
          <w:b/>
          <w:lang w:eastAsia="en-GB"/>
        </w:rPr>
        <w:t>Brand Reputation:</w:t>
      </w:r>
      <w:r w:rsidRPr="004D736C">
        <w:rPr>
          <w:rFonts w:cs="Arial"/>
          <w:lang w:eastAsia="en-GB"/>
        </w:rPr>
        <w:t xml:space="preserve"> It also noted that Hyatt’s sustainability agenda had a positive perception amongst stakeholders; given that sustainability was a trending global concept in the hospitality business</w:t>
      </w:r>
      <w:r w:rsidRPr="004D736C">
        <w:rPr>
          <w:rFonts w:cs="Arial"/>
        </w:rPr>
        <w:t xml:space="preserve"> (Panicacci, 2021)</w:t>
      </w:r>
      <w:r w:rsidRPr="004D736C">
        <w:rPr>
          <w:rFonts w:cs="Arial"/>
          <w:lang w:eastAsia="en-GB"/>
        </w:rPr>
        <w:t>.</w:t>
      </w:r>
    </w:p>
    <w:p w14:paraId="28FA59A8" w14:textId="77777777" w:rsidR="00E41E30" w:rsidRPr="004D736C" w:rsidRDefault="00E41E30" w:rsidP="00E41E30">
      <w:pPr>
        <w:pStyle w:val="ListParagraph"/>
        <w:numPr>
          <w:ilvl w:val="0"/>
          <w:numId w:val="35"/>
        </w:numPr>
        <w:rPr>
          <w:rFonts w:cs="Arial"/>
          <w:lang w:eastAsia="en-GB"/>
        </w:rPr>
      </w:pPr>
      <w:r w:rsidRPr="004D736C">
        <w:rPr>
          <w:rFonts w:cs="Arial"/>
          <w:b/>
          <w:lang w:eastAsia="en-GB"/>
        </w:rPr>
        <w:t>Operational Flexibility:</w:t>
      </w:r>
      <w:r w:rsidRPr="004D736C">
        <w:rPr>
          <w:rFonts w:cs="Arial"/>
          <w:lang w:eastAsia="en-GB"/>
        </w:rPr>
        <w:t xml:space="preserve"> COVID adjustments also served as a positive hypothesis for Hyatt to better respond to new guest expectations after the pandemic and retain its viability in the evolving hotel industry</w:t>
      </w:r>
      <w:r w:rsidRPr="004D736C">
        <w:rPr>
          <w:rFonts w:cs="Arial"/>
        </w:rPr>
        <w:t xml:space="preserve"> (Berman, 2002)</w:t>
      </w:r>
      <w:r w:rsidRPr="004D736C">
        <w:rPr>
          <w:rFonts w:cs="Arial"/>
          <w:lang w:eastAsia="en-GB"/>
        </w:rPr>
        <w:t>.</w:t>
      </w:r>
    </w:p>
    <w:p w14:paraId="274E53A1" w14:textId="77777777" w:rsidR="00E41E30" w:rsidRPr="004D736C" w:rsidRDefault="00E41E30" w:rsidP="00E41E30">
      <w:pPr>
        <w:rPr>
          <w:rFonts w:cs="Arial"/>
          <w:lang w:eastAsia="en-GB"/>
        </w:rPr>
      </w:pPr>
    </w:p>
    <w:p w14:paraId="02EB19EA" w14:textId="77777777" w:rsidR="00E41E30" w:rsidRPr="004D736C" w:rsidRDefault="00E41E30" w:rsidP="00E41E30">
      <w:pPr>
        <w:pStyle w:val="Heading2"/>
        <w:rPr>
          <w:rFonts w:cs="Arial"/>
        </w:rPr>
      </w:pPr>
      <w:bookmarkStart w:id="9" w:name="_Toc181986058"/>
      <w:r w:rsidRPr="004D736C">
        <w:rPr>
          <w:rFonts w:cs="Arial"/>
        </w:rPr>
        <w:t>Competitors’ Comparison Analysis</w:t>
      </w:r>
      <w:bookmarkEnd w:id="9"/>
    </w:p>
    <w:p w14:paraId="104DD1FE" w14:textId="77777777" w:rsidR="00E41E30" w:rsidRPr="004D736C" w:rsidRDefault="00E41E30" w:rsidP="00E41E30">
      <w:pPr>
        <w:rPr>
          <w:rFonts w:cs="Arial"/>
        </w:rPr>
      </w:pPr>
      <w:r w:rsidRPr="004D736C">
        <w:rPr>
          <w:rFonts w:cs="Arial"/>
        </w:rPr>
        <w:t>These methodologies can show how Hyatt's strategic position and operation compare to Marriott International and Hilton Worldwide to better understand the competitive environment culture and structure of a hotel company in the global highly competitive hospitality industry.</w:t>
      </w:r>
    </w:p>
    <w:p w14:paraId="147DC8A8" w14:textId="77777777" w:rsidR="00E41E30" w:rsidRPr="004D736C" w:rsidRDefault="00E41E30" w:rsidP="00E41E30">
      <w:pPr>
        <w:pStyle w:val="Heading3"/>
        <w:rPr>
          <w:rFonts w:cs="Arial"/>
        </w:rPr>
      </w:pPr>
      <w:bookmarkStart w:id="10" w:name="_Toc181986059"/>
      <w:r w:rsidRPr="004D736C">
        <w:rPr>
          <w:rFonts w:cs="Arial"/>
        </w:rPr>
        <w:t>Organisational Culture Comparison</w:t>
      </w:r>
      <w:bookmarkEnd w:id="10"/>
    </w:p>
    <w:p w14:paraId="3887952C" w14:textId="77777777" w:rsidR="00E41E30" w:rsidRPr="004D736C" w:rsidRDefault="00E41E30" w:rsidP="00E41E30">
      <w:pPr>
        <w:rPr>
          <w:rFonts w:cs="Arial"/>
        </w:rPr>
      </w:pPr>
      <w:r w:rsidRPr="004D736C">
        <w:rPr>
          <w:rFonts w:cs="Arial"/>
          <w:b/>
        </w:rPr>
        <w:t>Hyatt:</w:t>
      </w:r>
      <w:r w:rsidRPr="004D736C">
        <w:rPr>
          <w:rFonts w:cs="Arial"/>
        </w:rPr>
        <w:t xml:space="preserve"> It has been established above that; indeed, Hyatt embraces Task and Person culture. The decentralised approach to decision-making coupled with an organisational culture of personal development and diversity makes the company an employee-focused organisation that drives improved customer satisfaction through empowered teams (Mullins, 2019).  </w:t>
      </w:r>
    </w:p>
    <w:p w14:paraId="44727F0B" w14:textId="77777777" w:rsidR="00E41E30" w:rsidRPr="004D736C" w:rsidRDefault="00E41E30" w:rsidP="00E41E30">
      <w:pPr>
        <w:rPr>
          <w:rFonts w:cs="Arial"/>
        </w:rPr>
      </w:pPr>
      <w:r w:rsidRPr="004D736C">
        <w:rPr>
          <w:rFonts w:cs="Arial"/>
          <w:b/>
        </w:rPr>
        <w:t>Marriott:</w:t>
      </w:r>
      <w:r w:rsidRPr="004D736C">
        <w:rPr>
          <w:rFonts w:cs="Arial"/>
        </w:rPr>
        <w:t xml:space="preserve"> Marriott employs a Role culture that is more formally developed than the one in Hyatt. Marriott focuses on clearly defined roles and makes standard operating procedures </w:t>
      </w:r>
      <w:r w:rsidRPr="004D736C">
        <w:rPr>
          <w:rFonts w:cs="Arial"/>
        </w:rPr>
        <w:lastRenderedPageBreak/>
        <w:t xml:space="preserve">a common practice across the different Marriott properties in the world to have a standard and increased operational performance. This structure also helps Marriott to exercise great control, especially on quality but may reduce the level of versatility in comparison to Hyatt which has a less centralised structure pattern (Jin </w:t>
      </w:r>
      <w:r w:rsidRPr="004D736C">
        <w:rPr>
          <w:rFonts w:cs="Arial"/>
          <w:i/>
          <w:iCs/>
        </w:rPr>
        <w:t>et al</w:t>
      </w:r>
      <w:r w:rsidRPr="004D736C">
        <w:rPr>
          <w:rFonts w:cs="Arial"/>
        </w:rPr>
        <w:t>., 2021).</w:t>
      </w:r>
    </w:p>
    <w:p w14:paraId="77809C77" w14:textId="05B1779F" w:rsidR="00E41E30" w:rsidRPr="004D736C" w:rsidRDefault="00E41E30" w:rsidP="00E41E30">
      <w:pPr>
        <w:rPr>
          <w:rFonts w:cs="Arial"/>
        </w:rPr>
      </w:pPr>
      <w:r w:rsidRPr="004D736C">
        <w:rPr>
          <w:rFonts w:cs="Arial"/>
          <w:b/>
        </w:rPr>
        <w:t>Hilton:</w:t>
      </w:r>
      <w:r w:rsidRPr="004D736C">
        <w:rPr>
          <w:rFonts w:cs="Arial"/>
        </w:rPr>
        <w:t xml:space="preserve"> Hilton can be placed close to Role culture with the focus made on the uniformity of service and well-defined tiers. But at the same time, the company also incorporates elements of Task culture in some of its structural subdivisions, for example in organi</w:t>
      </w:r>
      <w:r w:rsidR="004D736C">
        <w:rPr>
          <w:rFonts w:cs="Arial"/>
        </w:rPr>
        <w:t>s</w:t>
      </w:r>
      <w:r w:rsidRPr="004D736C">
        <w:rPr>
          <w:rFonts w:cs="Arial"/>
        </w:rPr>
        <w:t xml:space="preserve">ing event planning departments where teamwork is essential. Thus, although the focus on structure makes Hilton trustworthy, the organisation’s hierarchy is less fluid than Hyatt’s and little centered around its employees (Wang </w:t>
      </w:r>
      <w:r w:rsidRPr="004D736C">
        <w:rPr>
          <w:rFonts w:cs="Arial"/>
          <w:i/>
          <w:iCs/>
        </w:rPr>
        <w:t>et al.,</w:t>
      </w:r>
      <w:r w:rsidRPr="004D736C">
        <w:rPr>
          <w:rFonts w:cs="Arial"/>
        </w:rPr>
        <w:t xml:space="preserve"> 2021).</w:t>
      </w:r>
    </w:p>
    <w:p w14:paraId="1BFF6869" w14:textId="77777777" w:rsidR="00E41E30" w:rsidRPr="004D736C" w:rsidRDefault="00E41E30" w:rsidP="00E41E30">
      <w:pPr>
        <w:pStyle w:val="Heading3"/>
        <w:rPr>
          <w:rFonts w:cs="Arial"/>
        </w:rPr>
      </w:pPr>
      <w:bookmarkStart w:id="11" w:name="_Toc181986060"/>
      <w:r w:rsidRPr="004D736C">
        <w:rPr>
          <w:rFonts w:cs="Arial"/>
        </w:rPr>
        <w:t>Structural Comparison</w:t>
      </w:r>
      <w:bookmarkEnd w:id="11"/>
    </w:p>
    <w:p w14:paraId="30553C44" w14:textId="77777777" w:rsidR="00E41E30" w:rsidRPr="004D736C" w:rsidRDefault="00E41E30" w:rsidP="00E41E30">
      <w:pPr>
        <w:rPr>
          <w:rFonts w:cs="Arial"/>
        </w:rPr>
      </w:pPr>
      <w:r w:rsidRPr="004D736C">
        <w:rPr>
          <w:rFonts w:cs="Arial"/>
          <w:b/>
        </w:rPr>
        <w:t>Hyatt’s Structure:</w:t>
      </w:r>
      <w:r w:rsidRPr="004D736C">
        <w:rPr>
          <w:rFonts w:cs="Arial"/>
        </w:rPr>
        <w:t xml:space="preserve"> This is Hyatt’s centralised model of organisation as each of its hotels is a separate legal entity capable of making decisions on its own. This flexibility makes it possible to address customer needs and increase innovation, especially where it is necessary to provide unique services (Mullins and Walker, 2019).</w:t>
      </w:r>
    </w:p>
    <w:p w14:paraId="50F5D86A" w14:textId="77777777" w:rsidR="00E41E30" w:rsidRPr="004D736C" w:rsidRDefault="00E41E30" w:rsidP="00E41E30">
      <w:pPr>
        <w:rPr>
          <w:rFonts w:cs="Arial"/>
        </w:rPr>
      </w:pPr>
      <w:r w:rsidRPr="004D736C">
        <w:rPr>
          <w:rFonts w:cs="Arial"/>
          <w:b/>
        </w:rPr>
        <w:t>Marriott’s Structure:</w:t>
      </w:r>
      <w:r w:rsidRPr="004D736C">
        <w:rPr>
          <w:rFonts w:cs="Arial"/>
        </w:rPr>
        <w:t xml:space="preserve"> Another very important clinical factor suggesting Marriott’s role culture is its structural differentiation between the hierarchy of corporate management and the property level. While it ensures that there is international coordination and a fixed structure, it can sometimes be unendurable to have slow changes and proactive strategies for rapid shifts within the local marketplace (Jin </w:t>
      </w:r>
      <w:r w:rsidRPr="004D736C">
        <w:rPr>
          <w:rFonts w:cs="Arial"/>
          <w:i/>
          <w:iCs/>
        </w:rPr>
        <w:t>et al</w:t>
      </w:r>
      <w:r w:rsidRPr="004D736C">
        <w:rPr>
          <w:rFonts w:cs="Arial"/>
        </w:rPr>
        <w:t>., 2021).</w:t>
      </w:r>
    </w:p>
    <w:p w14:paraId="027C40F0" w14:textId="77777777" w:rsidR="00E41E30" w:rsidRPr="004D736C" w:rsidRDefault="00E41E30" w:rsidP="00E41E30">
      <w:pPr>
        <w:rPr>
          <w:rFonts w:eastAsiaTheme="majorEastAsia" w:cs="Arial"/>
          <w:b/>
          <w:sz w:val="28"/>
          <w:szCs w:val="26"/>
          <w:lang w:eastAsia="en-GB"/>
        </w:rPr>
      </w:pPr>
      <w:r w:rsidRPr="004D736C">
        <w:rPr>
          <w:rFonts w:cs="Arial"/>
          <w:b/>
        </w:rPr>
        <w:t>Hilton’s Structure:</w:t>
      </w:r>
      <w:r w:rsidRPr="004D736C">
        <w:rPr>
          <w:rFonts w:cs="Arial"/>
        </w:rPr>
        <w:t xml:space="preserve"> Hilton’s organisational structure follows the hierarchy system but also is conducted with matrix dimensions, which help consider both, worldwide unity and local autonomy. This hybrid structure structure is flexible but maintains powerful control at the center (Wang </w:t>
      </w:r>
      <w:r w:rsidRPr="004D736C">
        <w:rPr>
          <w:rFonts w:cs="Arial"/>
          <w:i/>
          <w:iCs/>
        </w:rPr>
        <w:t>et al</w:t>
      </w:r>
      <w:r w:rsidRPr="004D736C">
        <w:rPr>
          <w:rFonts w:cs="Arial"/>
        </w:rPr>
        <w:t>., 2021).</w:t>
      </w:r>
      <w:r w:rsidRPr="004D736C">
        <w:rPr>
          <w:rFonts w:cs="Arial"/>
        </w:rPr>
        <w:br w:type="page"/>
      </w:r>
    </w:p>
    <w:p w14:paraId="73D3F646" w14:textId="77777777" w:rsidR="00E41E30" w:rsidRPr="004D736C" w:rsidRDefault="00E41E30" w:rsidP="00E41E30">
      <w:pPr>
        <w:pStyle w:val="Heading2"/>
        <w:rPr>
          <w:rFonts w:cs="Arial"/>
        </w:rPr>
      </w:pPr>
      <w:bookmarkStart w:id="12" w:name="_Toc181986061"/>
      <w:r w:rsidRPr="004D736C">
        <w:rPr>
          <w:rFonts w:cs="Arial"/>
        </w:rPr>
        <w:lastRenderedPageBreak/>
        <w:t>Change Management Practices</w:t>
      </w:r>
      <w:bookmarkEnd w:id="12"/>
    </w:p>
    <w:p w14:paraId="259BD963" w14:textId="77777777" w:rsidR="00E41E30" w:rsidRPr="004D736C" w:rsidRDefault="00E41E30" w:rsidP="00E41E30">
      <w:pPr>
        <w:rPr>
          <w:rFonts w:cs="Arial"/>
          <w:lang w:eastAsia="en-GB"/>
        </w:rPr>
      </w:pPr>
      <w:r w:rsidRPr="004D736C">
        <w:rPr>
          <w:rFonts w:cs="Arial"/>
          <w:lang w:eastAsia="en-GB"/>
        </w:rPr>
        <w:t>Hyatt successfully implemented these changes using Lewin’s Change Management Model, following three key phases:</w:t>
      </w:r>
    </w:p>
    <w:p w14:paraId="66EF8267" w14:textId="77777777" w:rsidR="00E41E30" w:rsidRPr="004D736C" w:rsidRDefault="00E41E30" w:rsidP="00E41E30">
      <w:pPr>
        <w:keepNext/>
        <w:jc w:val="center"/>
        <w:rPr>
          <w:rFonts w:cs="Arial"/>
        </w:rPr>
      </w:pPr>
      <w:r w:rsidRPr="004D736C">
        <w:rPr>
          <w:rFonts w:cs="Arial"/>
        </w:rPr>
        <w:drawing>
          <wp:inline distT="0" distB="0" distL="0" distR="0" wp14:anchorId="461D184B" wp14:editId="6539E1BE">
            <wp:extent cx="5274310" cy="3069356"/>
            <wp:effectExtent l="0" t="0" r="2540" b="0"/>
            <wp:docPr id="4" name="Picture 4" descr="What is Lewin's three-stage change process model? - Visual Paradig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What is Lewin's three-stage change process model? - Visual Paradigm Bl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8258" cy="3071653"/>
                    </a:xfrm>
                    <a:prstGeom prst="rect">
                      <a:avLst/>
                    </a:prstGeom>
                    <a:noFill/>
                    <a:ln>
                      <a:noFill/>
                    </a:ln>
                  </pic:spPr>
                </pic:pic>
              </a:graphicData>
            </a:graphic>
          </wp:inline>
        </w:drawing>
      </w:r>
    </w:p>
    <w:p w14:paraId="0D6AA8A6" w14:textId="77777777" w:rsidR="00E41E30" w:rsidRPr="004D736C" w:rsidRDefault="00E41E30" w:rsidP="00E41E30">
      <w:pPr>
        <w:pStyle w:val="Caption"/>
        <w:rPr>
          <w:rFonts w:cs="Arial"/>
          <w:lang w:val="en-GB" w:eastAsia="en-GB"/>
        </w:rPr>
      </w:pPr>
      <w:r w:rsidRPr="004D736C">
        <w:rPr>
          <w:rFonts w:cs="Arial"/>
          <w:lang w:val="en-GB"/>
        </w:rPr>
        <w:t xml:space="preserve">Figure </w:t>
      </w:r>
      <w:r w:rsidRPr="004D736C">
        <w:rPr>
          <w:rFonts w:cs="Arial"/>
          <w:lang w:val="en-GB"/>
        </w:rPr>
        <w:fldChar w:fldCharType="begin"/>
      </w:r>
      <w:r w:rsidRPr="004D736C">
        <w:rPr>
          <w:rFonts w:cs="Arial"/>
          <w:lang w:val="en-GB"/>
        </w:rPr>
        <w:instrText xml:space="preserve"> SEQ Figure \* ARABIC </w:instrText>
      </w:r>
      <w:r w:rsidRPr="004D736C">
        <w:rPr>
          <w:rFonts w:cs="Arial"/>
          <w:lang w:val="en-GB"/>
        </w:rPr>
        <w:fldChar w:fldCharType="separate"/>
      </w:r>
      <w:r w:rsidRPr="004D736C">
        <w:rPr>
          <w:rFonts w:cs="Arial"/>
          <w:lang w:val="en-GB"/>
        </w:rPr>
        <w:t>2</w:t>
      </w:r>
      <w:r w:rsidRPr="004D736C">
        <w:rPr>
          <w:rFonts w:cs="Arial"/>
          <w:lang w:val="en-GB"/>
        </w:rPr>
        <w:fldChar w:fldCharType="end"/>
      </w:r>
      <w:r w:rsidRPr="004D736C">
        <w:rPr>
          <w:rFonts w:cs="Arial"/>
          <w:lang w:val="en-GB"/>
        </w:rPr>
        <w:t>: Lewin’s Change Management Model</w:t>
      </w:r>
      <w:r w:rsidRPr="004D736C">
        <w:rPr>
          <w:rFonts w:cs="Arial"/>
          <w:lang w:val="en-GB"/>
        </w:rPr>
        <w:br/>
        <w:t>Source: (Crosby, 2020)</w:t>
      </w:r>
    </w:p>
    <w:p w14:paraId="4FD4AC1D" w14:textId="27B6656E" w:rsidR="00E41E30" w:rsidRPr="004D736C" w:rsidRDefault="00E41E30" w:rsidP="00E41E30">
      <w:pPr>
        <w:rPr>
          <w:rFonts w:cs="Arial"/>
          <w:lang w:eastAsia="en-GB"/>
        </w:rPr>
      </w:pPr>
      <w:r w:rsidRPr="004D736C">
        <w:rPr>
          <w:rFonts w:cs="Arial"/>
          <w:b/>
          <w:lang w:eastAsia="en-GB"/>
        </w:rPr>
        <w:t>Unfreezing:</w:t>
      </w:r>
      <w:r w:rsidRPr="004D736C">
        <w:rPr>
          <w:rFonts w:cs="Arial"/>
          <w:lang w:eastAsia="en-GB"/>
        </w:rPr>
        <w:t xml:space="preserve"> Hyatt first recogni</w:t>
      </w:r>
      <w:r w:rsidR="004D736C">
        <w:rPr>
          <w:rFonts w:cs="Arial"/>
          <w:lang w:eastAsia="en-GB"/>
        </w:rPr>
        <w:t>s</w:t>
      </w:r>
      <w:r w:rsidRPr="004D736C">
        <w:rPr>
          <w:rFonts w:cs="Arial"/>
          <w:lang w:eastAsia="en-GB"/>
        </w:rPr>
        <w:t xml:space="preserve">ed the change necessity, which stemmed from guest preferences and the competitive environment, and then implemented change ideas during meetings and training activities for its staff </w:t>
      </w:r>
      <w:r w:rsidRPr="004D736C">
        <w:rPr>
          <w:rFonts w:cs="Arial"/>
        </w:rPr>
        <w:t>(Fawzy and Shore, 2019)</w:t>
      </w:r>
      <w:r w:rsidRPr="004D736C">
        <w:rPr>
          <w:rFonts w:cs="Arial"/>
          <w:lang w:eastAsia="en-GB"/>
        </w:rPr>
        <w:t>.</w:t>
      </w:r>
    </w:p>
    <w:p w14:paraId="2CDBBD23" w14:textId="77777777" w:rsidR="00E41E30" w:rsidRPr="004D736C" w:rsidRDefault="00E41E30" w:rsidP="00E41E30">
      <w:pPr>
        <w:rPr>
          <w:rFonts w:cs="Arial"/>
          <w:lang w:eastAsia="en-GB"/>
        </w:rPr>
      </w:pPr>
      <w:r w:rsidRPr="004D736C">
        <w:rPr>
          <w:rFonts w:cs="Arial"/>
          <w:b/>
          <w:lang w:eastAsia="en-GB"/>
        </w:rPr>
        <w:t>Change:</w:t>
      </w:r>
      <w:r w:rsidRPr="004D736C">
        <w:rPr>
          <w:rFonts w:cs="Arial"/>
          <w:lang w:eastAsia="en-GB"/>
        </w:rPr>
        <w:t xml:space="preserve"> In the transitional phase, which took place at Hyatt, some of the amendments were made in terms of new tools which include among others the mobile application and the new standards of health measures </w:t>
      </w:r>
      <w:r w:rsidRPr="004D736C">
        <w:rPr>
          <w:rFonts w:cs="Arial"/>
        </w:rPr>
        <w:t>(Crosby, 2020)</w:t>
      </w:r>
      <w:r w:rsidRPr="004D736C">
        <w:rPr>
          <w:rFonts w:cs="Arial"/>
          <w:lang w:eastAsia="en-GB"/>
        </w:rPr>
        <w:t>.</w:t>
      </w:r>
    </w:p>
    <w:p w14:paraId="04F3B113" w14:textId="77777777" w:rsidR="00E41E30" w:rsidRPr="004D736C" w:rsidRDefault="00E41E30" w:rsidP="00E41E30">
      <w:pPr>
        <w:rPr>
          <w:rFonts w:cs="Arial"/>
          <w:lang w:eastAsia="en-GB"/>
        </w:rPr>
      </w:pPr>
      <w:r w:rsidRPr="004D736C">
        <w:rPr>
          <w:rFonts w:cs="Arial"/>
          <w:b/>
          <w:lang w:eastAsia="en-GB"/>
        </w:rPr>
        <w:t>Refreezing:</w:t>
      </w:r>
      <w:r w:rsidRPr="004D736C">
        <w:rPr>
          <w:rFonts w:cs="Arial"/>
          <w:lang w:eastAsia="en-GB"/>
        </w:rPr>
        <w:t xml:space="preserve"> It is important to underscore that Hyatt underpinned these changes in communicating passenger experience, through cultural assimilation of the changes into operations</w:t>
      </w:r>
      <w:r w:rsidRPr="004D736C">
        <w:rPr>
          <w:rFonts w:cs="Arial"/>
        </w:rPr>
        <w:t xml:space="preserve"> (Panicacci, 2021)</w:t>
      </w:r>
      <w:r w:rsidRPr="004D736C">
        <w:rPr>
          <w:rFonts w:cs="Arial"/>
          <w:lang w:eastAsia="en-GB"/>
        </w:rPr>
        <w:t>. For instance, it is impossible to identify any property without contactless services and sustainability measures as mandatory points in the project, with motivation and checking implemented within the team.</w:t>
      </w:r>
    </w:p>
    <w:p w14:paraId="13DCD2B6" w14:textId="77777777" w:rsidR="00E41E30" w:rsidRPr="004D736C" w:rsidRDefault="00E41E30" w:rsidP="00E41E30">
      <w:pPr>
        <w:spacing w:after="160" w:line="259" w:lineRule="auto"/>
        <w:jc w:val="left"/>
        <w:rPr>
          <w:rFonts w:cs="Arial"/>
          <w:b/>
          <w:sz w:val="32"/>
          <w:szCs w:val="32"/>
          <w:lang w:eastAsia="en-GB"/>
        </w:rPr>
      </w:pPr>
    </w:p>
    <w:p w14:paraId="198C5B6C" w14:textId="77777777" w:rsidR="00E41E30" w:rsidRPr="004D736C" w:rsidRDefault="00E41E30" w:rsidP="00774CB1">
      <w:pPr>
        <w:pStyle w:val="Heading1"/>
      </w:pPr>
      <w:bookmarkStart w:id="13" w:name="_Toc181986062"/>
      <w:r w:rsidRPr="004D736C">
        <w:lastRenderedPageBreak/>
        <w:t>Strategic Direction</w:t>
      </w:r>
      <w:bookmarkEnd w:id="13"/>
    </w:p>
    <w:p w14:paraId="389C06C4" w14:textId="77777777" w:rsidR="00E41E30" w:rsidRPr="004D736C" w:rsidRDefault="00E41E30" w:rsidP="00E41E30">
      <w:pPr>
        <w:pStyle w:val="Heading2"/>
        <w:rPr>
          <w:rFonts w:cs="Arial"/>
        </w:rPr>
      </w:pPr>
      <w:bookmarkStart w:id="14" w:name="_Toc181986063"/>
      <w:r w:rsidRPr="004D736C">
        <w:rPr>
          <w:rFonts w:cs="Arial"/>
        </w:rPr>
        <w:t>Examining Strategic Direction using the Ansoff Matrix</w:t>
      </w:r>
      <w:bookmarkEnd w:id="14"/>
    </w:p>
    <w:p w14:paraId="54BC6073" w14:textId="00CD5CEF" w:rsidR="00E41E30" w:rsidRPr="004D736C" w:rsidRDefault="00E41E30" w:rsidP="00E41E30">
      <w:pPr>
        <w:rPr>
          <w:rFonts w:cs="Arial"/>
          <w:lang w:eastAsia="en-GB"/>
        </w:rPr>
      </w:pPr>
      <w:r w:rsidRPr="004D736C">
        <w:rPr>
          <w:rFonts w:cs="Arial"/>
          <w:lang w:eastAsia="en-GB"/>
        </w:rPr>
        <w:t>The Ansoff Matrix helps in understanding Hyatt’s strategic direction by categori</w:t>
      </w:r>
      <w:r w:rsidR="004D736C">
        <w:rPr>
          <w:rFonts w:cs="Arial"/>
          <w:lang w:eastAsia="en-GB"/>
        </w:rPr>
        <w:t>s</w:t>
      </w:r>
      <w:r w:rsidRPr="004D736C">
        <w:rPr>
          <w:rFonts w:cs="Arial"/>
          <w:lang w:eastAsia="en-GB"/>
        </w:rPr>
        <w:t>ing its strategies into four areas:</w:t>
      </w:r>
    </w:p>
    <w:p w14:paraId="59CCEE0C" w14:textId="77777777" w:rsidR="00E41E30" w:rsidRPr="004D736C" w:rsidRDefault="00E41E30" w:rsidP="00E41E30">
      <w:pPr>
        <w:keepNext/>
        <w:jc w:val="center"/>
        <w:rPr>
          <w:rFonts w:cs="Arial"/>
        </w:rPr>
      </w:pPr>
      <w:r w:rsidRPr="004D736C">
        <w:rPr>
          <w:rFonts w:cs="Arial"/>
        </w:rPr>
        <w:drawing>
          <wp:inline distT="0" distB="0" distL="0" distR="0" wp14:anchorId="78961075" wp14:editId="300261EC">
            <wp:extent cx="5241851" cy="4086248"/>
            <wp:effectExtent l="0" t="0" r="0" b="0"/>
            <wp:docPr id="5" name="Picture 5" descr="Utilising the Ansoff Matrix to Drive Strategic Growth for Your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Utilising the Ansoff Matrix to Drive Strategic Growth for Your Compan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1851" cy="4086248"/>
                    </a:xfrm>
                    <a:prstGeom prst="rect">
                      <a:avLst/>
                    </a:prstGeom>
                    <a:noFill/>
                    <a:ln>
                      <a:noFill/>
                    </a:ln>
                  </pic:spPr>
                </pic:pic>
              </a:graphicData>
            </a:graphic>
          </wp:inline>
        </w:drawing>
      </w:r>
    </w:p>
    <w:p w14:paraId="25D52D22" w14:textId="77777777" w:rsidR="00E41E30" w:rsidRPr="004D736C" w:rsidRDefault="00E41E30" w:rsidP="00E41E30">
      <w:pPr>
        <w:pStyle w:val="Caption"/>
        <w:rPr>
          <w:rFonts w:cs="Arial"/>
          <w:lang w:val="en-GB" w:eastAsia="en-GB"/>
        </w:rPr>
      </w:pPr>
      <w:r w:rsidRPr="004D736C">
        <w:rPr>
          <w:rFonts w:cs="Arial"/>
          <w:lang w:val="en-GB"/>
        </w:rPr>
        <w:t xml:space="preserve">Figure </w:t>
      </w:r>
      <w:r w:rsidRPr="004D736C">
        <w:rPr>
          <w:rFonts w:cs="Arial"/>
          <w:lang w:val="en-GB"/>
        </w:rPr>
        <w:fldChar w:fldCharType="begin"/>
      </w:r>
      <w:r w:rsidRPr="004D736C">
        <w:rPr>
          <w:rFonts w:cs="Arial"/>
          <w:lang w:val="en-GB"/>
        </w:rPr>
        <w:instrText xml:space="preserve"> SEQ Figure \* ARABIC </w:instrText>
      </w:r>
      <w:r w:rsidRPr="004D736C">
        <w:rPr>
          <w:rFonts w:cs="Arial"/>
          <w:lang w:val="en-GB"/>
        </w:rPr>
        <w:fldChar w:fldCharType="separate"/>
      </w:r>
      <w:r w:rsidRPr="004D736C">
        <w:rPr>
          <w:rFonts w:cs="Arial"/>
          <w:lang w:val="en-GB"/>
        </w:rPr>
        <w:t>3</w:t>
      </w:r>
      <w:r w:rsidRPr="004D736C">
        <w:rPr>
          <w:rFonts w:cs="Arial"/>
          <w:lang w:val="en-GB"/>
        </w:rPr>
        <w:fldChar w:fldCharType="end"/>
      </w:r>
      <w:r w:rsidRPr="004D736C">
        <w:rPr>
          <w:rFonts w:cs="Arial"/>
          <w:lang w:val="en-GB"/>
        </w:rPr>
        <w:t>: The Ansoff Matrix</w:t>
      </w:r>
      <w:r w:rsidRPr="004D736C">
        <w:rPr>
          <w:rFonts w:cs="Arial"/>
          <w:lang w:val="en-GB"/>
        </w:rPr>
        <w:br/>
        <w:t>Source: (Ansoff et al., 2018)</w:t>
      </w:r>
    </w:p>
    <w:p w14:paraId="7E3144F8" w14:textId="77777777" w:rsidR="00E41E30" w:rsidRPr="004D736C" w:rsidRDefault="00E41E30" w:rsidP="00E41E30">
      <w:pPr>
        <w:rPr>
          <w:rFonts w:cs="Arial"/>
          <w:lang w:eastAsia="en-GB"/>
        </w:rPr>
      </w:pPr>
      <w:r w:rsidRPr="004D736C">
        <w:rPr>
          <w:rFonts w:cs="Arial"/>
          <w:b/>
          <w:lang w:eastAsia="en-GB"/>
        </w:rPr>
        <w:t>Market Penetration:</w:t>
      </w:r>
      <w:r w:rsidRPr="004D736C">
        <w:rPr>
          <w:rFonts w:cs="Arial"/>
          <w:lang w:eastAsia="en-GB"/>
        </w:rPr>
        <w:t xml:space="preserve"> In an attempt to grab a massive market share, Hyatt aims to meet the needs of repeat customers through programs like the World of Hyatt (Arnold, 2020).</w:t>
      </w:r>
    </w:p>
    <w:p w14:paraId="432FD335" w14:textId="77777777" w:rsidR="00E41E30" w:rsidRPr="004D736C" w:rsidRDefault="00E41E30" w:rsidP="00E41E30">
      <w:pPr>
        <w:rPr>
          <w:rFonts w:cs="Arial"/>
          <w:lang w:eastAsia="en-GB"/>
        </w:rPr>
      </w:pPr>
      <w:r w:rsidRPr="004D736C">
        <w:rPr>
          <w:rFonts w:cs="Arial"/>
          <w:b/>
          <w:lang w:eastAsia="en-GB"/>
        </w:rPr>
        <w:t>Product Development:</w:t>
      </w:r>
      <w:r w:rsidRPr="004D736C">
        <w:rPr>
          <w:rFonts w:cs="Arial"/>
          <w:lang w:eastAsia="en-GB"/>
        </w:rPr>
        <w:t xml:space="preserve"> Product development is supported by the acquisition of Apple Leisure Group through the addition of new vacation experiences </w:t>
      </w:r>
      <w:r w:rsidRPr="004D736C">
        <w:rPr>
          <w:rFonts w:cs="Arial"/>
        </w:rPr>
        <w:t>(Ansoff et al., 2018)</w:t>
      </w:r>
      <w:r w:rsidRPr="004D736C">
        <w:rPr>
          <w:rFonts w:cs="Arial"/>
          <w:lang w:eastAsia="en-GB"/>
        </w:rPr>
        <w:t>.</w:t>
      </w:r>
    </w:p>
    <w:p w14:paraId="1CC66E80" w14:textId="77777777" w:rsidR="00E41E30" w:rsidRPr="004D736C" w:rsidRDefault="00E41E30" w:rsidP="00E41E30">
      <w:pPr>
        <w:rPr>
          <w:rFonts w:cs="Arial"/>
          <w:lang w:eastAsia="en-GB"/>
        </w:rPr>
      </w:pPr>
      <w:r w:rsidRPr="004D736C">
        <w:rPr>
          <w:rFonts w:cs="Arial"/>
          <w:b/>
          <w:lang w:eastAsia="en-GB"/>
        </w:rPr>
        <w:t xml:space="preserve">Market Development: </w:t>
      </w:r>
      <w:r w:rsidRPr="004D736C">
        <w:rPr>
          <w:rFonts w:cs="Arial"/>
          <w:lang w:eastAsia="en-GB"/>
        </w:rPr>
        <w:t>Currently Hyatt’s growth strategy involves taking the company into new geographic regions, specifically Asia and the Middle East.</w:t>
      </w:r>
    </w:p>
    <w:p w14:paraId="0389DA9A" w14:textId="77777777" w:rsidR="00E41E30" w:rsidRPr="004D736C" w:rsidRDefault="00E41E30" w:rsidP="00E41E30">
      <w:pPr>
        <w:rPr>
          <w:rFonts w:cs="Arial"/>
          <w:lang w:eastAsia="en-GB"/>
        </w:rPr>
      </w:pPr>
      <w:r w:rsidRPr="004D736C">
        <w:rPr>
          <w:rFonts w:cs="Arial"/>
          <w:b/>
          <w:lang w:eastAsia="en-GB"/>
        </w:rPr>
        <w:t>Diversification:</w:t>
      </w:r>
      <w:r w:rsidRPr="004D736C">
        <w:rPr>
          <w:rFonts w:cs="Arial"/>
          <w:lang w:eastAsia="en-GB"/>
        </w:rPr>
        <w:t xml:space="preserve"> In this manner, through lifestyle brands such as Hyatt Centric, the company targets millennial workers and expands its service portfolio (Robbins and Judge, 2017).</w:t>
      </w:r>
    </w:p>
    <w:p w14:paraId="5A93FEF7" w14:textId="77777777" w:rsidR="00E41E30" w:rsidRPr="004D736C" w:rsidRDefault="00E41E30" w:rsidP="00E41E30">
      <w:pPr>
        <w:rPr>
          <w:rFonts w:cs="Arial"/>
          <w:lang w:eastAsia="en-GB"/>
        </w:rPr>
      </w:pPr>
      <w:r w:rsidRPr="004D736C">
        <w:rPr>
          <w:rFonts w:cs="Arial"/>
          <w:lang w:eastAsia="en-GB"/>
        </w:rPr>
        <w:lastRenderedPageBreak/>
        <w:t>The mentioned strategies correlate with Hyatt’s sustainable goals of market penetration, customer satisfaction, and innovation.</w:t>
      </w:r>
    </w:p>
    <w:p w14:paraId="7AA92C55" w14:textId="77777777" w:rsidR="00E41E30" w:rsidRPr="004D736C" w:rsidRDefault="00E41E30" w:rsidP="00E41E30">
      <w:pPr>
        <w:pStyle w:val="Heading2"/>
        <w:rPr>
          <w:rFonts w:cs="Arial"/>
        </w:rPr>
      </w:pPr>
      <w:bookmarkStart w:id="15" w:name="_Toc181986064"/>
      <w:r w:rsidRPr="004D736C">
        <w:rPr>
          <w:rFonts w:cs="Arial"/>
        </w:rPr>
        <w:t>Strategies for Achieving Long-Term Objectives</w:t>
      </w:r>
      <w:bookmarkEnd w:id="15"/>
    </w:p>
    <w:p w14:paraId="4716BA94" w14:textId="77777777" w:rsidR="00E41E30" w:rsidRPr="004D736C" w:rsidRDefault="00E41E30" w:rsidP="00E41E30">
      <w:pPr>
        <w:rPr>
          <w:rFonts w:cs="Arial"/>
          <w:lang w:eastAsia="en-GB"/>
        </w:rPr>
      </w:pPr>
      <w:r w:rsidRPr="004D736C">
        <w:rPr>
          <w:rFonts w:cs="Arial"/>
          <w:lang w:eastAsia="en-GB"/>
        </w:rPr>
        <w:t>To achieve its objectives, Hyatt implements several strategies:</w:t>
      </w:r>
    </w:p>
    <w:p w14:paraId="4E00A9CA" w14:textId="77777777" w:rsidR="00E41E30" w:rsidRPr="004D736C" w:rsidRDefault="00E41E30" w:rsidP="00E41E30">
      <w:pPr>
        <w:pStyle w:val="ListParagraph"/>
        <w:numPr>
          <w:ilvl w:val="0"/>
          <w:numId w:val="38"/>
        </w:numPr>
        <w:rPr>
          <w:rFonts w:cs="Arial"/>
          <w:lang w:eastAsia="en-GB"/>
        </w:rPr>
      </w:pPr>
      <w:r w:rsidRPr="004D736C">
        <w:rPr>
          <w:rFonts w:cs="Arial"/>
          <w:b/>
          <w:lang w:eastAsia="en-GB"/>
        </w:rPr>
        <w:t>Sustainability Strategy:</w:t>
      </w:r>
      <w:r w:rsidRPr="004D736C">
        <w:rPr>
          <w:rFonts w:cs="Arial"/>
          <w:lang w:eastAsia="en-GB"/>
        </w:rPr>
        <w:t xml:space="preserve"> The assimilation into executing operations under sustainable practices that are in compliance with global standards (Armstrong 2012).</w:t>
      </w:r>
    </w:p>
    <w:p w14:paraId="0A7E850D" w14:textId="77777777" w:rsidR="00E41E30" w:rsidRPr="004D736C" w:rsidRDefault="00E41E30" w:rsidP="00E41E30">
      <w:pPr>
        <w:pStyle w:val="ListParagraph"/>
        <w:numPr>
          <w:ilvl w:val="0"/>
          <w:numId w:val="38"/>
        </w:numPr>
        <w:rPr>
          <w:rFonts w:cs="Arial"/>
          <w:lang w:eastAsia="en-GB"/>
        </w:rPr>
      </w:pPr>
      <w:r w:rsidRPr="004D736C">
        <w:rPr>
          <w:rFonts w:cs="Arial"/>
          <w:b/>
          <w:lang w:eastAsia="en-GB"/>
        </w:rPr>
        <w:t>Digital Innovation:</w:t>
      </w:r>
      <w:r w:rsidRPr="004D736C">
        <w:rPr>
          <w:rFonts w:cs="Arial"/>
          <w:lang w:eastAsia="en-GB"/>
        </w:rPr>
        <w:t xml:space="preserve"> Using information technology to deliver targeted hospitality services to guests and create better organisation procedures.</w:t>
      </w:r>
    </w:p>
    <w:p w14:paraId="32C2EEF5" w14:textId="77777777" w:rsidR="00E41E30" w:rsidRPr="004D736C" w:rsidRDefault="00E41E30" w:rsidP="00E41E30">
      <w:pPr>
        <w:pStyle w:val="ListParagraph"/>
        <w:numPr>
          <w:ilvl w:val="0"/>
          <w:numId w:val="38"/>
        </w:numPr>
        <w:rPr>
          <w:rFonts w:cs="Arial"/>
          <w:lang w:eastAsia="en-GB"/>
        </w:rPr>
      </w:pPr>
      <w:r w:rsidRPr="004D736C">
        <w:rPr>
          <w:rFonts w:cs="Arial"/>
          <w:b/>
          <w:lang w:eastAsia="en-GB"/>
        </w:rPr>
        <w:t>Partnerships and Acquisitions:</w:t>
      </w:r>
      <w:r w:rsidRPr="004D736C">
        <w:rPr>
          <w:rFonts w:cs="Arial"/>
          <w:lang w:eastAsia="en-GB"/>
        </w:rPr>
        <w:t xml:space="preserve"> The following is a brief description of how the organisation has built up its portfolio by forging partnerships and making acquisitions (Buchanan and Huczynski, 2007).</w:t>
      </w:r>
    </w:p>
    <w:p w14:paraId="7B55FF6C" w14:textId="77777777" w:rsidR="00E41E30" w:rsidRPr="004D736C" w:rsidRDefault="00E41E30" w:rsidP="00E41E30">
      <w:pPr>
        <w:rPr>
          <w:rFonts w:cs="Arial"/>
          <w:lang w:eastAsia="en-GB"/>
        </w:rPr>
      </w:pPr>
      <w:r w:rsidRPr="004D736C">
        <w:rPr>
          <w:rFonts w:cs="Arial"/>
          <w:lang w:eastAsia="en-GB"/>
        </w:rPr>
        <w:t xml:space="preserve"> </w:t>
      </w:r>
    </w:p>
    <w:p w14:paraId="2D34CAF2" w14:textId="77777777" w:rsidR="00E41E30" w:rsidRPr="004D736C" w:rsidRDefault="00E41E30" w:rsidP="00E41E30">
      <w:pPr>
        <w:pStyle w:val="ListParagraph"/>
        <w:rPr>
          <w:rFonts w:cs="Arial"/>
          <w:lang w:eastAsia="en-GB"/>
        </w:rPr>
      </w:pPr>
      <w:r w:rsidRPr="004D736C">
        <w:rPr>
          <w:rFonts w:cs="Arial"/>
          <w:lang w:eastAsia="en-GB"/>
        </w:rPr>
        <w:br w:type="page"/>
      </w:r>
    </w:p>
    <w:p w14:paraId="5D5A715E" w14:textId="77777777" w:rsidR="00E41E30" w:rsidRPr="004D736C" w:rsidRDefault="00E41E30" w:rsidP="00774CB1">
      <w:pPr>
        <w:pStyle w:val="Heading1"/>
      </w:pPr>
      <w:bookmarkStart w:id="16" w:name="_Toc181986065"/>
      <w:r w:rsidRPr="004D736C">
        <w:lastRenderedPageBreak/>
        <w:t>Conclusion</w:t>
      </w:r>
      <w:bookmarkEnd w:id="16"/>
    </w:p>
    <w:p w14:paraId="71BBF99D" w14:textId="77777777" w:rsidR="00E41E30" w:rsidRPr="004D736C" w:rsidRDefault="00E41E30" w:rsidP="00E41E30">
      <w:pPr>
        <w:rPr>
          <w:rFonts w:cs="Arial"/>
          <w:lang w:eastAsia="en-GB"/>
        </w:rPr>
      </w:pPr>
      <w:r w:rsidRPr="004D736C">
        <w:rPr>
          <w:rFonts w:cs="Arial"/>
          <w:lang w:eastAsia="en-GB"/>
        </w:rPr>
        <w:t>Hyatt is one of the leading brands in the global hospitality industry and has reported excellent performance in terms of customer satisfaction, environmental initiatives, and employee engagement. The organisational structure of divisions is appropriate for the decentralisation of the regional offices, and the organisational culture is a mix of a task- and person-orientated</w:t>
      </w:r>
      <w:r w:rsidRPr="004D736C">
        <w:rPr>
          <w:rFonts w:cs="Arial"/>
        </w:rPr>
        <w:t xml:space="preserve"> (Enang and Rudd, 2024)</w:t>
      </w:r>
      <w:r w:rsidRPr="004D736C">
        <w:rPr>
          <w:rFonts w:cs="Arial"/>
          <w:lang w:eastAsia="en-GB"/>
        </w:rPr>
        <w:t xml:space="preserve">. Present change initiatives like digital change and acquisition have been good for the business. This paper establishes that Hyatt’s strategic direction is consistent with its long-term goals as defined by tools such as the Ansoff Matrix. Nonetheless, higher growth rates are required in digital innovation, sustainability, and its employees to retain competitive advantage.  </w:t>
      </w:r>
    </w:p>
    <w:p w14:paraId="5363ED67" w14:textId="77777777" w:rsidR="00E41E30" w:rsidRPr="004D736C" w:rsidRDefault="00E41E30" w:rsidP="00E41E30">
      <w:pPr>
        <w:rPr>
          <w:rFonts w:cs="Arial"/>
          <w:lang w:eastAsia="en-GB"/>
        </w:rPr>
      </w:pPr>
    </w:p>
    <w:p w14:paraId="3B975B84" w14:textId="77777777" w:rsidR="00E41E30" w:rsidRPr="004D736C" w:rsidRDefault="00E41E30" w:rsidP="00E41E30">
      <w:pPr>
        <w:spacing w:after="160" w:line="259" w:lineRule="auto"/>
        <w:jc w:val="left"/>
        <w:rPr>
          <w:rFonts w:cs="Arial"/>
          <w:lang w:eastAsia="en-GB"/>
        </w:rPr>
      </w:pPr>
      <w:r w:rsidRPr="004D736C">
        <w:rPr>
          <w:rFonts w:cs="Arial"/>
          <w:lang w:eastAsia="en-GB"/>
        </w:rPr>
        <w:br w:type="page"/>
      </w:r>
    </w:p>
    <w:p w14:paraId="389E9B4A" w14:textId="77777777" w:rsidR="00E41E30" w:rsidRPr="004D736C" w:rsidRDefault="00E41E30" w:rsidP="00774CB1">
      <w:pPr>
        <w:pStyle w:val="Heading1"/>
      </w:pPr>
      <w:bookmarkStart w:id="17" w:name="_Toc181986066"/>
      <w:r w:rsidRPr="004D736C">
        <w:lastRenderedPageBreak/>
        <w:t>Recommendations for Improvement</w:t>
      </w:r>
      <w:bookmarkEnd w:id="17"/>
    </w:p>
    <w:p w14:paraId="37B83289" w14:textId="77777777" w:rsidR="00E41E30" w:rsidRPr="004D736C" w:rsidRDefault="00E41E30" w:rsidP="00E41E30">
      <w:pPr>
        <w:rPr>
          <w:rFonts w:cs="Arial"/>
          <w:lang w:eastAsia="en-GB"/>
        </w:rPr>
      </w:pPr>
      <w:r w:rsidRPr="004D736C">
        <w:rPr>
          <w:rFonts w:cs="Arial"/>
          <w:lang w:eastAsia="en-GB"/>
        </w:rPr>
        <w:t>The analysis shows that Hyatt has numerous recommendations for other hospitality organisations that aim to improve performance as well as customer satisfaction.</w:t>
      </w:r>
    </w:p>
    <w:p w14:paraId="307784A4" w14:textId="77777777" w:rsidR="00E41E30" w:rsidRPr="004D736C" w:rsidRDefault="00E41E30" w:rsidP="00E41E30">
      <w:pPr>
        <w:pStyle w:val="ListParagraph"/>
        <w:numPr>
          <w:ilvl w:val="0"/>
          <w:numId w:val="43"/>
        </w:numPr>
        <w:rPr>
          <w:rFonts w:cs="Arial"/>
          <w:lang w:eastAsia="en-GB"/>
        </w:rPr>
      </w:pPr>
      <w:r w:rsidRPr="004D736C">
        <w:rPr>
          <w:rFonts w:cs="Arial"/>
          <w:b/>
          <w:lang w:eastAsia="en-GB"/>
        </w:rPr>
        <w:t>Decentralised Decision-Making:</w:t>
      </w:r>
      <w:r w:rsidRPr="004D736C">
        <w:rPr>
          <w:rFonts w:cs="Arial"/>
          <w:lang w:eastAsia="en-GB"/>
        </w:rPr>
        <w:t xml:space="preserve"> Hyatt’s decentralisation allows individual employees at various organisational units to make decisions on their own which makes them more responsive when attending to their client’s needs, making services delivered to customers more efficient and effective (Robinson and Judge, 2017). Other hospitality firms can replicate this model to develop a new and intelligent work model that would allow the speedy satisfaction of the locals’ demands, enhancing guest satisfaction (Mullins, 2019).</w:t>
      </w:r>
    </w:p>
    <w:p w14:paraId="74285D5E" w14:textId="77777777" w:rsidR="00E41E30" w:rsidRPr="004D736C" w:rsidRDefault="00E41E30" w:rsidP="00E41E30">
      <w:pPr>
        <w:pStyle w:val="ListParagraph"/>
        <w:numPr>
          <w:ilvl w:val="0"/>
          <w:numId w:val="43"/>
        </w:numPr>
        <w:rPr>
          <w:rFonts w:cs="Arial"/>
          <w:lang w:eastAsia="en-GB"/>
        </w:rPr>
      </w:pPr>
      <w:r w:rsidRPr="004D736C">
        <w:rPr>
          <w:rFonts w:cs="Arial"/>
          <w:b/>
          <w:lang w:eastAsia="en-GB"/>
        </w:rPr>
        <w:t>People-Centric Culture:</w:t>
      </w:r>
      <w:r w:rsidRPr="004D736C">
        <w:rPr>
          <w:rFonts w:cs="Arial"/>
          <w:lang w:eastAsia="en-GB"/>
        </w:rPr>
        <w:t xml:space="preserve"> The Hyatt Motors Hotel's personal and career development, diversity and inclusion, and commitment to teamwork enhance the worker's commitment and loyalty (Huczynski and Buchanan, 2019). There is a need for businesses in the industry to value employee health and development performance because this influences directly service delivery and organisational performance.</w:t>
      </w:r>
    </w:p>
    <w:p w14:paraId="4B92DE87" w14:textId="3A59535A" w:rsidR="00E41E30" w:rsidRPr="004D736C" w:rsidRDefault="00E41E30" w:rsidP="00E41E30">
      <w:pPr>
        <w:rPr>
          <w:rFonts w:cs="Arial"/>
          <w:lang w:eastAsia="en-GB"/>
        </w:rPr>
      </w:pPr>
      <w:r w:rsidRPr="004D736C">
        <w:rPr>
          <w:rFonts w:cs="Arial"/>
          <w:b/>
          <w:lang w:eastAsia="en-GB"/>
        </w:rPr>
        <w:t>Task-Oriented Teamwork:</w:t>
      </w:r>
      <w:r w:rsidRPr="004D736C">
        <w:rPr>
          <w:rFonts w:cs="Arial"/>
          <w:lang w:eastAsia="en-GB"/>
        </w:rPr>
        <w:t xml:space="preserve"> The manner in which the company organises task implementation by forming a team, for example, the event planning department encourages teamwork as well as innovation. The above strategy can be emulated by other hospitality firms to enhance cross-functional integration for optimi</w:t>
      </w:r>
      <w:r w:rsidR="004D736C">
        <w:rPr>
          <w:rFonts w:cs="Arial"/>
          <w:lang w:eastAsia="en-GB"/>
        </w:rPr>
        <w:t>s</w:t>
      </w:r>
      <w:r w:rsidRPr="004D736C">
        <w:rPr>
          <w:rFonts w:cs="Arial"/>
          <w:lang w:eastAsia="en-GB"/>
        </w:rPr>
        <w:t>ation of operations and idea innovation (Armstrong, 2021).</w:t>
      </w:r>
    </w:p>
    <w:p w14:paraId="5C6FB2CA" w14:textId="77777777" w:rsidR="00E41E30" w:rsidRPr="004D736C" w:rsidRDefault="00E41E30" w:rsidP="00E41E30">
      <w:pPr>
        <w:rPr>
          <w:rFonts w:cs="Arial"/>
        </w:rPr>
      </w:pPr>
      <w:r w:rsidRPr="004D736C">
        <w:rPr>
          <w:rFonts w:cs="Arial"/>
        </w:rPr>
        <w:br/>
      </w:r>
    </w:p>
    <w:p w14:paraId="442ACFBE" w14:textId="77777777" w:rsidR="00E41E30" w:rsidRPr="004D736C" w:rsidRDefault="00E41E30" w:rsidP="00E41E30">
      <w:pPr>
        <w:spacing w:after="160" w:line="259" w:lineRule="auto"/>
        <w:jc w:val="left"/>
        <w:rPr>
          <w:rFonts w:cs="Arial"/>
          <w:b/>
          <w:sz w:val="32"/>
          <w:szCs w:val="32"/>
          <w:u w:val="single"/>
          <w:lang w:eastAsia="en-GB"/>
        </w:rPr>
      </w:pPr>
      <w:r w:rsidRPr="004D736C">
        <w:rPr>
          <w:rFonts w:cs="Arial"/>
        </w:rPr>
        <w:br w:type="page"/>
      </w:r>
    </w:p>
    <w:p w14:paraId="39707621" w14:textId="77777777" w:rsidR="00E41E30" w:rsidRPr="004D736C" w:rsidRDefault="00E41E30" w:rsidP="00774CB1">
      <w:pPr>
        <w:pStyle w:val="Heading1"/>
      </w:pPr>
      <w:bookmarkStart w:id="18" w:name="_Toc181986067"/>
      <w:r w:rsidRPr="004D736C">
        <w:lastRenderedPageBreak/>
        <w:t>References</w:t>
      </w:r>
      <w:bookmarkEnd w:id="18"/>
    </w:p>
    <w:p w14:paraId="2A709C1E" w14:textId="77777777" w:rsidR="00E41E30" w:rsidRPr="004D736C" w:rsidRDefault="00E41E30" w:rsidP="00E41E30">
      <w:pPr>
        <w:rPr>
          <w:rFonts w:cs="Arial"/>
        </w:rPr>
      </w:pPr>
      <w:r w:rsidRPr="004D736C">
        <w:rPr>
          <w:rFonts w:cs="Arial"/>
        </w:rPr>
        <w:t xml:space="preserve">Ansoff, H.I. </w:t>
      </w:r>
      <w:r w:rsidRPr="004D736C">
        <w:rPr>
          <w:rFonts w:cs="Arial"/>
          <w:i/>
          <w:iCs/>
        </w:rPr>
        <w:t>et al.</w:t>
      </w:r>
      <w:r w:rsidRPr="004D736C">
        <w:rPr>
          <w:rFonts w:cs="Arial"/>
        </w:rPr>
        <w:t xml:space="preserve"> (2018) ‘Strategic issue management’, </w:t>
      </w:r>
      <w:r w:rsidRPr="004D736C">
        <w:rPr>
          <w:rFonts w:cs="Arial"/>
          <w:i/>
          <w:iCs/>
        </w:rPr>
        <w:t>Implanting Strategic Management</w:t>
      </w:r>
      <w:r w:rsidRPr="004D736C">
        <w:rPr>
          <w:rFonts w:cs="Arial"/>
        </w:rPr>
        <w:t xml:space="preserve">, pp. 431–447. doi:10.1007/978-3-319-99599-1_19. </w:t>
      </w:r>
    </w:p>
    <w:p w14:paraId="3D21F35B" w14:textId="77777777" w:rsidR="00E41E30" w:rsidRPr="004D736C" w:rsidRDefault="00E41E30" w:rsidP="00E41E30">
      <w:pPr>
        <w:rPr>
          <w:rFonts w:cs="Arial"/>
          <w:lang w:eastAsia="en-GB"/>
        </w:rPr>
      </w:pPr>
      <w:r w:rsidRPr="004D736C">
        <w:rPr>
          <w:rFonts w:cs="Arial"/>
          <w:lang w:eastAsia="en-GB"/>
        </w:rPr>
        <w:t>Armstong, M. (2021) Armstrong's handbook of performance management (7th Ed), London: Kogan Page</w:t>
      </w:r>
    </w:p>
    <w:p w14:paraId="5A81B656" w14:textId="77777777" w:rsidR="00E41E30" w:rsidRPr="004D736C" w:rsidRDefault="00E41E30" w:rsidP="00E41E30">
      <w:pPr>
        <w:rPr>
          <w:rFonts w:cs="Arial"/>
          <w:lang w:eastAsia="en-GB"/>
        </w:rPr>
      </w:pPr>
      <w:r w:rsidRPr="004D736C">
        <w:rPr>
          <w:rFonts w:cs="Arial"/>
          <w:lang w:eastAsia="en-GB"/>
        </w:rPr>
        <w:t>Armstrong, M. (2012) ƌŵƐƚƌŽŶŐ͛Ɛ Handbook of Management and Leadership (3rd Ed), London: Kogan Page.</w:t>
      </w:r>
    </w:p>
    <w:p w14:paraId="3D3CD7A3" w14:textId="77777777" w:rsidR="00E41E30" w:rsidRPr="004D736C" w:rsidRDefault="00E41E30" w:rsidP="00E41E30">
      <w:pPr>
        <w:rPr>
          <w:rFonts w:cs="Arial"/>
          <w:lang w:eastAsia="en-GB"/>
        </w:rPr>
      </w:pPr>
      <w:r w:rsidRPr="004D736C">
        <w:rPr>
          <w:rFonts w:cs="Arial"/>
          <w:lang w:eastAsia="en-GB"/>
        </w:rPr>
        <w:t>Arnold, J. (2020) Work Psychology (7th edition) Harlow: Pearson Education Limited.</w:t>
      </w:r>
    </w:p>
    <w:p w14:paraId="62294C3F" w14:textId="77777777" w:rsidR="00E41E30" w:rsidRPr="004D736C" w:rsidRDefault="00E41E30" w:rsidP="00E41E30">
      <w:pPr>
        <w:rPr>
          <w:rFonts w:cs="Arial"/>
        </w:rPr>
      </w:pPr>
      <w:r w:rsidRPr="004D736C">
        <w:rPr>
          <w:rFonts w:cs="Arial"/>
        </w:rPr>
        <w:t xml:space="preserve">Berman, E.L. (2002) ‘Company commitment to its employees’, </w:t>
      </w:r>
      <w:r w:rsidRPr="004D736C">
        <w:rPr>
          <w:rFonts w:cs="Arial"/>
          <w:i/>
          <w:iCs/>
        </w:rPr>
        <w:t>IEEE Engineering Management Review</w:t>
      </w:r>
      <w:r w:rsidRPr="004D736C">
        <w:rPr>
          <w:rFonts w:cs="Arial"/>
        </w:rPr>
        <w:t xml:space="preserve">, 30(3), pp. 110–112. doi:10.1109/emr.2002.1032405. </w:t>
      </w:r>
    </w:p>
    <w:p w14:paraId="655F0A64" w14:textId="77777777" w:rsidR="00E41E30" w:rsidRPr="004D736C" w:rsidRDefault="00E41E30" w:rsidP="00E41E30">
      <w:pPr>
        <w:rPr>
          <w:rFonts w:cs="Arial"/>
          <w:lang w:eastAsia="en-GB"/>
        </w:rPr>
      </w:pPr>
      <w:r w:rsidRPr="004D736C">
        <w:rPr>
          <w:rFonts w:cs="Arial"/>
          <w:lang w:eastAsia="en-GB"/>
        </w:rPr>
        <w:t>Bloisi, W. et al (2007) Management and Organisational Behaviour, (2nd edition) Maidenhead: McGraw-Hill.</w:t>
      </w:r>
    </w:p>
    <w:p w14:paraId="0A1E81B0" w14:textId="77777777" w:rsidR="00E41E30" w:rsidRPr="004D736C" w:rsidRDefault="00E41E30" w:rsidP="00E41E30">
      <w:pPr>
        <w:rPr>
          <w:rFonts w:cs="Arial"/>
          <w:lang w:eastAsia="en-GB"/>
        </w:rPr>
      </w:pPr>
      <w:r w:rsidRPr="004D736C">
        <w:rPr>
          <w:rFonts w:cs="Arial"/>
          <w:lang w:eastAsia="en-GB"/>
        </w:rPr>
        <w:t>Boddy, D. (2017) Management: An Introduction (7th Ed), Harlow, Pearson</w:t>
      </w:r>
    </w:p>
    <w:p w14:paraId="4F61EADE" w14:textId="77777777" w:rsidR="00E41E30" w:rsidRPr="004D736C" w:rsidRDefault="00E41E30" w:rsidP="00E41E30">
      <w:pPr>
        <w:rPr>
          <w:rFonts w:cs="Arial"/>
          <w:lang w:eastAsia="en-GB"/>
        </w:rPr>
      </w:pPr>
      <w:r w:rsidRPr="004D736C">
        <w:rPr>
          <w:rFonts w:cs="Arial"/>
          <w:lang w:eastAsia="en-GB"/>
        </w:rPr>
        <w:t>Buchanan, D. And Huczynski, A. (2007) Organisational Behaviour: An Introductory Text (6th edition), Harlow: Prentice Hall.</w:t>
      </w:r>
    </w:p>
    <w:p w14:paraId="7A7C2DBF" w14:textId="77777777" w:rsidR="00E41E30" w:rsidRPr="004D736C" w:rsidRDefault="00E41E30" w:rsidP="00E41E30">
      <w:pPr>
        <w:rPr>
          <w:rFonts w:cs="Arial"/>
        </w:rPr>
      </w:pPr>
      <w:r w:rsidRPr="004D736C">
        <w:rPr>
          <w:rFonts w:cs="Arial"/>
        </w:rPr>
        <w:t xml:space="preserve">Crosby, G. (2020) ‘Lewinian principles of planned change’, </w:t>
      </w:r>
      <w:r w:rsidRPr="004D736C">
        <w:rPr>
          <w:rFonts w:cs="Arial"/>
          <w:i/>
          <w:iCs/>
        </w:rPr>
        <w:t>Planned Change</w:t>
      </w:r>
      <w:r w:rsidRPr="004D736C">
        <w:rPr>
          <w:rFonts w:cs="Arial"/>
        </w:rPr>
        <w:t xml:space="preserve">, pp. 3–12. doi:10.4324/9781003082491-2. </w:t>
      </w:r>
    </w:p>
    <w:p w14:paraId="08F3F632" w14:textId="77777777" w:rsidR="00E41E30" w:rsidRPr="004D736C" w:rsidRDefault="00E41E30" w:rsidP="00E41E30">
      <w:pPr>
        <w:rPr>
          <w:rFonts w:cs="Arial"/>
        </w:rPr>
      </w:pPr>
      <w:r w:rsidRPr="004D736C">
        <w:rPr>
          <w:rFonts w:cs="Arial"/>
        </w:rPr>
        <w:t xml:space="preserve">Delardas, O. and Giannos, P. (2022) ‘Towards energy transition: Use of Blockchain in renewable certificates to support sustainability commitments’, </w:t>
      </w:r>
      <w:r w:rsidRPr="004D736C">
        <w:rPr>
          <w:rFonts w:cs="Arial"/>
          <w:i/>
          <w:iCs/>
        </w:rPr>
        <w:t>Sustainability</w:t>
      </w:r>
      <w:r w:rsidRPr="004D736C">
        <w:rPr>
          <w:rFonts w:cs="Arial"/>
        </w:rPr>
        <w:t xml:space="preserve">, 15(1), p. 258. doi:10.3390/su15010258. </w:t>
      </w:r>
    </w:p>
    <w:p w14:paraId="12388EBE" w14:textId="77777777" w:rsidR="00E41E30" w:rsidRPr="004D736C" w:rsidRDefault="00E41E30" w:rsidP="00E41E30">
      <w:pPr>
        <w:rPr>
          <w:rFonts w:cs="Arial"/>
        </w:rPr>
      </w:pPr>
      <w:r w:rsidRPr="004D736C">
        <w:rPr>
          <w:rFonts w:cs="Arial"/>
        </w:rPr>
        <w:t xml:space="preserve">Enang, I. and Rudd, J.M. (2024) ‘Organisational ambidexterity and organisational culture’, </w:t>
      </w:r>
      <w:r w:rsidRPr="004D736C">
        <w:rPr>
          <w:rFonts w:cs="Arial"/>
          <w:i/>
          <w:iCs/>
        </w:rPr>
        <w:t>Organisational Ambidexterity and Strategy</w:t>
      </w:r>
      <w:r w:rsidRPr="004D736C">
        <w:rPr>
          <w:rFonts w:cs="Arial"/>
        </w:rPr>
        <w:t xml:space="preserve">, pp. 48–61. doi:10.4324/9781003488224-4. </w:t>
      </w:r>
    </w:p>
    <w:p w14:paraId="1EC8D9CE" w14:textId="77777777" w:rsidR="00E41E30" w:rsidRPr="004D736C" w:rsidRDefault="00E41E30" w:rsidP="00E41E30">
      <w:pPr>
        <w:rPr>
          <w:rFonts w:cs="Arial"/>
        </w:rPr>
      </w:pPr>
      <w:r w:rsidRPr="004D736C">
        <w:rPr>
          <w:rFonts w:cs="Arial"/>
        </w:rPr>
        <w:t xml:space="preserve">Fawzy, C. and Shore, B. (2019) ‘Chapter 8 change leaders: Addressing biases during unfreezing’, </w:t>
      </w:r>
      <w:r w:rsidRPr="004D736C">
        <w:rPr>
          <w:rFonts w:cs="Arial"/>
          <w:i/>
          <w:iCs/>
        </w:rPr>
        <w:t>The Inclusive Management Strategy: Engineering Culture Change for Employees with DisAbilities</w:t>
      </w:r>
      <w:r w:rsidRPr="004D736C">
        <w:rPr>
          <w:rFonts w:cs="Arial"/>
        </w:rPr>
        <w:t xml:space="preserve">, pp. 77–88. doi:10.1108/978-1-78754-195-520191013. </w:t>
      </w:r>
    </w:p>
    <w:p w14:paraId="1A5871F4" w14:textId="77777777" w:rsidR="00E41E30" w:rsidRPr="004D736C" w:rsidRDefault="00E41E30" w:rsidP="00E41E30">
      <w:pPr>
        <w:rPr>
          <w:rFonts w:cs="Arial"/>
          <w:lang w:eastAsia="en-GB"/>
        </w:rPr>
      </w:pPr>
      <w:r w:rsidRPr="004D736C">
        <w:rPr>
          <w:rFonts w:cs="Arial"/>
          <w:lang w:eastAsia="en-GB"/>
        </w:rPr>
        <w:t>Huczynski, A. &amp; Buchanan, D. (2019) Organisational Behaviour (10th Ed), Harlow: Pearson</w:t>
      </w:r>
    </w:p>
    <w:p w14:paraId="4E18675F" w14:textId="77777777" w:rsidR="00E41E30" w:rsidRPr="004D736C" w:rsidRDefault="00E41E30" w:rsidP="00E41E30">
      <w:pPr>
        <w:rPr>
          <w:rFonts w:cs="Arial"/>
          <w:lang w:eastAsia="en-GB"/>
        </w:rPr>
      </w:pPr>
      <w:r w:rsidRPr="004D736C">
        <w:rPr>
          <w:rFonts w:cs="Arial"/>
          <w:lang w:eastAsia="en-GB"/>
        </w:rPr>
        <w:t>Hyatt (2022). Hyatt's Environmental Management Goals. Available at: https://www.hyatt.com/en-US/corporate/environmental-management (Accessed: 30 October 2024).</w:t>
      </w:r>
    </w:p>
    <w:p w14:paraId="1942772A" w14:textId="77777777" w:rsidR="00E41E30" w:rsidRPr="004D736C" w:rsidRDefault="00E41E30" w:rsidP="00E41E30">
      <w:pPr>
        <w:rPr>
          <w:rFonts w:cs="Arial"/>
          <w:lang w:eastAsia="en-GB"/>
        </w:rPr>
      </w:pPr>
      <w:r w:rsidRPr="004D736C">
        <w:rPr>
          <w:rFonts w:cs="Arial"/>
          <w:lang w:eastAsia="en-GB"/>
        </w:rPr>
        <w:lastRenderedPageBreak/>
        <w:t>Hyatt (2023). Hyatt Growth Strategy and Goals. Available at: https://www.hyatt.com/en-US/corporate/growth-strategy (Accessed: 30 October 2024).</w:t>
      </w:r>
    </w:p>
    <w:p w14:paraId="25E23CF5" w14:textId="77777777" w:rsidR="00E41E30" w:rsidRPr="004D736C" w:rsidRDefault="00E41E30" w:rsidP="00E41E30">
      <w:pPr>
        <w:rPr>
          <w:rFonts w:cs="Arial"/>
          <w:lang w:eastAsia="en-GB"/>
        </w:rPr>
      </w:pPr>
      <w:r w:rsidRPr="004D736C">
        <w:rPr>
          <w:rFonts w:cs="Arial"/>
        </w:rPr>
        <w:t xml:space="preserve">Jin, X., Yang, J., &amp; Kim, K. (2021). Organisational culture and performance: Evidence from the hospitality industry. </w:t>
      </w:r>
      <w:r w:rsidRPr="004D736C">
        <w:rPr>
          <w:rStyle w:val="Emphasis"/>
          <w:rFonts w:eastAsiaTheme="majorEastAsia" w:cs="Arial"/>
        </w:rPr>
        <w:t>International Journal of Hospitality Management, 92</w:t>
      </w:r>
      <w:r w:rsidRPr="004D736C">
        <w:rPr>
          <w:rFonts w:cs="Arial"/>
        </w:rPr>
        <w:t>, 102735.</w:t>
      </w:r>
    </w:p>
    <w:p w14:paraId="73494D68" w14:textId="77777777" w:rsidR="00E41E30" w:rsidRPr="004D736C" w:rsidRDefault="00E41E30" w:rsidP="00E41E30">
      <w:pPr>
        <w:rPr>
          <w:rFonts w:cs="Arial"/>
        </w:rPr>
      </w:pPr>
      <w:r w:rsidRPr="004D736C">
        <w:rPr>
          <w:rFonts w:cs="Arial"/>
        </w:rPr>
        <w:t xml:space="preserve">Millington, G. (2011) ‘Influences of national culture on continuous learning: Implications for learning objectives and Performance Management’, </w:t>
      </w:r>
      <w:r w:rsidRPr="004D736C">
        <w:rPr>
          <w:rFonts w:cs="Arial"/>
          <w:i/>
          <w:iCs/>
        </w:rPr>
        <w:t>The Oxford Handbook of Lifelong Learning</w:t>
      </w:r>
      <w:r w:rsidRPr="004D736C">
        <w:rPr>
          <w:rFonts w:cs="Arial"/>
        </w:rPr>
        <w:t xml:space="preserve">, pp. 290–311. doi:10.1093/oxfordhb/9780195390483.013.0103. </w:t>
      </w:r>
    </w:p>
    <w:p w14:paraId="5E2B76C8" w14:textId="77777777" w:rsidR="00E41E30" w:rsidRPr="004D736C" w:rsidRDefault="00E41E30" w:rsidP="00E41E30">
      <w:pPr>
        <w:rPr>
          <w:rFonts w:cs="Arial"/>
          <w:lang w:eastAsia="en-GB"/>
        </w:rPr>
      </w:pPr>
      <w:r w:rsidRPr="004D736C">
        <w:rPr>
          <w:rFonts w:cs="Arial"/>
          <w:lang w:eastAsia="en-GB"/>
        </w:rPr>
        <w:t>Mullins, L &amp; Dosser, P. (2013) Hospitality Management and Organisational Behaviour (5th Ed) Harlow, Pearson.</w:t>
      </w:r>
    </w:p>
    <w:p w14:paraId="4478B4FE" w14:textId="77777777" w:rsidR="00E41E30" w:rsidRPr="004D736C" w:rsidRDefault="00E41E30" w:rsidP="00E41E30">
      <w:pPr>
        <w:rPr>
          <w:rFonts w:cs="Arial"/>
          <w:lang w:eastAsia="en-GB"/>
        </w:rPr>
      </w:pPr>
      <w:r w:rsidRPr="004D736C">
        <w:rPr>
          <w:rFonts w:cs="Arial"/>
          <w:lang w:eastAsia="en-GB"/>
        </w:rPr>
        <w:t>Mullins, L (2019) Organisational Behaviour in the Workplace (12th edition) Harlow:Pearson</w:t>
      </w:r>
    </w:p>
    <w:p w14:paraId="65C4420C" w14:textId="77777777" w:rsidR="00E41E30" w:rsidRPr="004D736C" w:rsidRDefault="00E41E30" w:rsidP="00E41E30">
      <w:pPr>
        <w:rPr>
          <w:rFonts w:cs="Arial"/>
          <w:lang w:eastAsia="en-GB"/>
        </w:rPr>
      </w:pPr>
      <w:r w:rsidRPr="004D736C">
        <w:rPr>
          <w:rFonts w:cs="Arial"/>
          <w:lang w:eastAsia="en-GB"/>
        </w:rPr>
        <w:t>Mullins, L. (2023) Management and Organisational Behaviour (13th edition) Harlow: Pearson</w:t>
      </w:r>
    </w:p>
    <w:p w14:paraId="3526B508" w14:textId="77777777" w:rsidR="00E41E30" w:rsidRPr="004D736C" w:rsidRDefault="00E41E30" w:rsidP="00E41E30">
      <w:pPr>
        <w:rPr>
          <w:rFonts w:cs="Arial"/>
        </w:rPr>
      </w:pPr>
      <w:r w:rsidRPr="004D736C">
        <w:rPr>
          <w:rFonts w:cs="Arial"/>
        </w:rPr>
        <w:t xml:space="preserve">Panicacci, A. (2021) ‘Cultural changes in migrants’ experience’, </w:t>
      </w:r>
      <w:r w:rsidRPr="004D736C">
        <w:rPr>
          <w:rFonts w:cs="Arial"/>
          <w:i/>
          <w:iCs/>
        </w:rPr>
        <w:t>Exploring Identity Across Language and Culture</w:t>
      </w:r>
      <w:r w:rsidRPr="004D736C">
        <w:rPr>
          <w:rFonts w:cs="Arial"/>
        </w:rPr>
        <w:t xml:space="preserve">, pp. 80–92. doi:10.4324/9781003017417-4. </w:t>
      </w:r>
    </w:p>
    <w:p w14:paraId="28FBB240" w14:textId="77777777" w:rsidR="00E41E30" w:rsidRPr="004D736C" w:rsidRDefault="00E41E30" w:rsidP="00E41E30">
      <w:pPr>
        <w:rPr>
          <w:rFonts w:cs="Arial"/>
          <w:lang w:eastAsia="en-GB"/>
        </w:rPr>
      </w:pPr>
      <w:r w:rsidRPr="004D736C">
        <w:rPr>
          <w:rFonts w:cs="Arial"/>
          <w:lang w:eastAsia="en-GB"/>
        </w:rPr>
        <w:t>Robbins, S. &amp; Judge (2017) Organisational Behaviour (17th edition) Harlow: Pearson Education Limited.</w:t>
      </w:r>
    </w:p>
    <w:p w14:paraId="5AF1F985" w14:textId="77777777" w:rsidR="00E41E30" w:rsidRPr="004D736C" w:rsidRDefault="00E41E30" w:rsidP="00E41E30">
      <w:pPr>
        <w:rPr>
          <w:rFonts w:cs="Arial"/>
          <w:lang w:eastAsia="en-GB"/>
        </w:rPr>
      </w:pPr>
      <w:r w:rsidRPr="004D736C">
        <w:rPr>
          <w:rFonts w:cs="Arial"/>
        </w:rPr>
        <w:t xml:space="preserve">Wang, Y., Kim, H., &amp; Lee, J. (2021). The role of organisational culture in service quality: A comparison of Hilton and Marriott. </w:t>
      </w:r>
      <w:r w:rsidRPr="004D736C">
        <w:rPr>
          <w:rStyle w:val="Emphasis"/>
          <w:rFonts w:eastAsiaTheme="majorEastAsia" w:cs="Arial"/>
        </w:rPr>
        <w:t>Journal of Hospitality &amp; Tourism Research, 45</w:t>
      </w:r>
      <w:r w:rsidRPr="004D736C">
        <w:rPr>
          <w:rFonts w:cs="Arial"/>
        </w:rPr>
        <w:t>(2), 123-139.</w:t>
      </w:r>
    </w:p>
    <w:p w14:paraId="0FFE4CF8" w14:textId="77777777" w:rsidR="00E41E30" w:rsidRPr="004D736C" w:rsidRDefault="00E41E30" w:rsidP="00E41E30">
      <w:pPr>
        <w:rPr>
          <w:rFonts w:cs="Arial"/>
        </w:rPr>
      </w:pPr>
      <w:r w:rsidRPr="004D736C">
        <w:rPr>
          <w:rFonts w:cs="Arial"/>
        </w:rPr>
        <w:t xml:space="preserve">Yumuk, Y. and Kurgun, H. (2020) ‘The role of organisational culture types on person-organisation fit and organisational alienation levels of hotel workers*’, </w:t>
      </w:r>
      <w:r w:rsidRPr="004D736C">
        <w:rPr>
          <w:rFonts w:cs="Arial"/>
          <w:i/>
          <w:iCs/>
        </w:rPr>
        <w:t>Advanced Series in Management</w:t>
      </w:r>
      <w:r w:rsidRPr="004D736C">
        <w:rPr>
          <w:rFonts w:cs="Arial"/>
        </w:rPr>
        <w:t xml:space="preserve">, pp. 83–104. doi:10.1108/s1877-636120200000024007. </w:t>
      </w:r>
    </w:p>
    <w:p w14:paraId="383A0337" w14:textId="77777777" w:rsidR="00DE5BF0" w:rsidRPr="004D736C" w:rsidRDefault="00DE5BF0" w:rsidP="003B1DFD">
      <w:pPr>
        <w:rPr>
          <w:lang w:eastAsia="en-GB"/>
        </w:rPr>
      </w:pPr>
    </w:p>
    <w:sectPr w:rsidR="00DE5BF0" w:rsidRPr="004D736C" w:rsidSect="003708F8">
      <w:footerReference w:type="defaul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A16B54" w14:textId="77777777" w:rsidR="00864977" w:rsidRDefault="00864977" w:rsidP="005A0EFC">
      <w:pPr>
        <w:spacing w:line="240" w:lineRule="auto"/>
      </w:pPr>
      <w:r>
        <w:separator/>
      </w:r>
    </w:p>
  </w:endnote>
  <w:endnote w:type="continuationSeparator" w:id="0">
    <w:p w14:paraId="55B7331C" w14:textId="77777777" w:rsidR="00864977" w:rsidRDefault="00864977" w:rsidP="005A0E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1448197253"/>
      <w:docPartObj>
        <w:docPartGallery w:val="Page Numbers (Bottom of Page)"/>
        <w:docPartUnique/>
      </w:docPartObj>
    </w:sdtPr>
    <w:sdtEndPr>
      <w:rPr>
        <w:noProof/>
        <w:color w:val="7F7F7F" w:themeColor="background1" w:themeShade="7F"/>
        <w:spacing w:val="60"/>
      </w:rPr>
    </w:sdtEndPr>
    <w:sdtContent>
      <w:p w14:paraId="2DFDE711" w14:textId="1D002E0E" w:rsidR="00AD2FC9" w:rsidRDefault="00AD2FC9">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sidR="00EE16B3" w:rsidRPr="00EE16B3">
          <w:rPr>
            <w:b/>
            <w:bCs/>
          </w:rPr>
          <w:t>16</w:t>
        </w:r>
        <w:r>
          <w:rPr>
            <w:b/>
            <w:bCs/>
          </w:rPr>
          <w:fldChar w:fldCharType="end"/>
        </w:r>
        <w:r>
          <w:rPr>
            <w:b/>
            <w:bCs/>
          </w:rPr>
          <w:t xml:space="preserve"> | </w:t>
        </w:r>
        <w:r>
          <w:rPr>
            <w:color w:val="7F7F7F" w:themeColor="background1" w:themeShade="7F"/>
            <w:spacing w:val="60"/>
          </w:rPr>
          <w:t>Page</w:t>
        </w:r>
      </w:p>
    </w:sdtContent>
  </w:sdt>
  <w:p w14:paraId="285D3BEF" w14:textId="77777777" w:rsidR="00AD2FC9" w:rsidRDefault="00AD2F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964492617"/>
      <w:docPartObj>
        <w:docPartGallery w:val="Page Numbers (Bottom of Page)"/>
        <w:docPartUnique/>
      </w:docPartObj>
    </w:sdtPr>
    <w:sdtEndPr>
      <w:rPr>
        <w:noProof/>
      </w:rPr>
    </w:sdtEndPr>
    <w:sdtContent>
      <w:p w14:paraId="57B282EE" w14:textId="54FC046A" w:rsidR="00AD2FC9" w:rsidRDefault="00AD2FC9">
        <w:pPr>
          <w:pStyle w:val="Footer"/>
          <w:jc w:val="center"/>
        </w:pPr>
        <w:r>
          <w:rPr>
            <w:noProof w:val="0"/>
          </w:rPr>
          <w:fldChar w:fldCharType="begin"/>
        </w:r>
        <w:r>
          <w:instrText xml:space="preserve"> PAGE   \* MERGEFORMAT </w:instrText>
        </w:r>
        <w:r>
          <w:rPr>
            <w:noProof w:val="0"/>
          </w:rPr>
          <w:fldChar w:fldCharType="separate"/>
        </w:r>
        <w:r w:rsidR="00EE16B3">
          <w:t>1</w:t>
        </w:r>
        <w:r>
          <w:fldChar w:fldCharType="end"/>
        </w:r>
      </w:p>
    </w:sdtContent>
  </w:sdt>
  <w:p w14:paraId="239CF6BD" w14:textId="77777777" w:rsidR="00AD2FC9" w:rsidRDefault="00AD2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658CB3" w14:textId="77777777" w:rsidR="00864977" w:rsidRDefault="00864977" w:rsidP="005A0EFC">
      <w:pPr>
        <w:spacing w:line="240" w:lineRule="auto"/>
      </w:pPr>
      <w:r>
        <w:separator/>
      </w:r>
    </w:p>
  </w:footnote>
  <w:footnote w:type="continuationSeparator" w:id="0">
    <w:p w14:paraId="4ABE1AC6" w14:textId="77777777" w:rsidR="00864977" w:rsidRDefault="00864977" w:rsidP="005A0E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E17F0"/>
    <w:multiLevelType w:val="hybridMultilevel"/>
    <w:tmpl w:val="16B21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BD6D72"/>
    <w:multiLevelType w:val="hybridMultilevel"/>
    <w:tmpl w:val="4952322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5217F5"/>
    <w:multiLevelType w:val="hybridMultilevel"/>
    <w:tmpl w:val="92DA2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7F5EEC"/>
    <w:multiLevelType w:val="hybridMultilevel"/>
    <w:tmpl w:val="88387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0C705D"/>
    <w:multiLevelType w:val="hybridMultilevel"/>
    <w:tmpl w:val="E72E76D6"/>
    <w:lvl w:ilvl="0" w:tplc="D33EA5AE">
      <w:numFmt w:val="bullet"/>
      <w:lvlText w:val=""/>
      <w:lvlJc w:val="left"/>
      <w:pPr>
        <w:ind w:left="765" w:hanging="405"/>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DF61ACD"/>
    <w:multiLevelType w:val="hybridMultilevel"/>
    <w:tmpl w:val="B5D439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140CDF"/>
    <w:multiLevelType w:val="hybridMultilevel"/>
    <w:tmpl w:val="0E30A1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161DC0"/>
    <w:multiLevelType w:val="hybridMultilevel"/>
    <w:tmpl w:val="27DA3C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F03599"/>
    <w:multiLevelType w:val="hybridMultilevel"/>
    <w:tmpl w:val="CFC2F6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9614CD"/>
    <w:multiLevelType w:val="hybridMultilevel"/>
    <w:tmpl w:val="84A8A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5A55671"/>
    <w:multiLevelType w:val="hybridMultilevel"/>
    <w:tmpl w:val="7334FE8C"/>
    <w:lvl w:ilvl="0" w:tplc="D33EA5AE">
      <w:numFmt w:val="bullet"/>
      <w:lvlText w:val=""/>
      <w:lvlJc w:val="left"/>
      <w:pPr>
        <w:ind w:left="765" w:hanging="405"/>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6E14578"/>
    <w:multiLevelType w:val="hybridMultilevel"/>
    <w:tmpl w:val="874042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A319A9"/>
    <w:multiLevelType w:val="hybridMultilevel"/>
    <w:tmpl w:val="44584D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C086E20"/>
    <w:multiLevelType w:val="hybridMultilevel"/>
    <w:tmpl w:val="FDD69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1C752A"/>
    <w:multiLevelType w:val="multilevel"/>
    <w:tmpl w:val="616CC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F447315"/>
    <w:multiLevelType w:val="hybridMultilevel"/>
    <w:tmpl w:val="8FBA4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961EF5"/>
    <w:multiLevelType w:val="hybridMultilevel"/>
    <w:tmpl w:val="B3DA2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4F5D8F"/>
    <w:multiLevelType w:val="hybridMultilevel"/>
    <w:tmpl w:val="F64693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994264B"/>
    <w:multiLevelType w:val="hybridMultilevel"/>
    <w:tmpl w:val="95D6C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0501DE"/>
    <w:multiLevelType w:val="hybridMultilevel"/>
    <w:tmpl w:val="94F2B4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0E4851"/>
    <w:multiLevelType w:val="hybridMultilevel"/>
    <w:tmpl w:val="43EAD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B8473F9"/>
    <w:multiLevelType w:val="hybridMultilevel"/>
    <w:tmpl w:val="DE2E4112"/>
    <w:lvl w:ilvl="0" w:tplc="E2C68090">
      <w:start w:val="1"/>
      <w:numFmt w:val="bullet"/>
      <w:pStyle w:val="Heading3"/>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BA56282"/>
    <w:multiLevelType w:val="hybridMultilevel"/>
    <w:tmpl w:val="9D043A8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D4302E9"/>
    <w:multiLevelType w:val="hybridMultilevel"/>
    <w:tmpl w:val="CDB637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226792D"/>
    <w:multiLevelType w:val="hybridMultilevel"/>
    <w:tmpl w:val="23ACC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4D5857"/>
    <w:multiLevelType w:val="hybridMultilevel"/>
    <w:tmpl w:val="854C1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49A7838"/>
    <w:multiLevelType w:val="hybridMultilevel"/>
    <w:tmpl w:val="881295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F80E91"/>
    <w:multiLevelType w:val="hybridMultilevel"/>
    <w:tmpl w:val="1E0E67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9C0CCC"/>
    <w:multiLevelType w:val="hybridMultilevel"/>
    <w:tmpl w:val="6F7AFA46"/>
    <w:lvl w:ilvl="0" w:tplc="CB3E7CF0">
      <w:numFmt w:val="bullet"/>
      <w:lvlText w:val=""/>
      <w:lvlJc w:val="left"/>
      <w:pPr>
        <w:ind w:left="735" w:hanging="375"/>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E9E3FB7"/>
    <w:multiLevelType w:val="hybridMultilevel"/>
    <w:tmpl w:val="35E64896"/>
    <w:lvl w:ilvl="0" w:tplc="0409000B">
      <w:start w:val="1"/>
      <w:numFmt w:val="bullet"/>
      <w:lvlText w:val=""/>
      <w:lvlJc w:val="left"/>
      <w:pPr>
        <w:ind w:left="1189" w:hanging="360"/>
      </w:pPr>
      <w:rPr>
        <w:rFonts w:ascii="Wingdings" w:hAnsi="Wingdings" w:hint="default"/>
      </w:rPr>
    </w:lvl>
    <w:lvl w:ilvl="1" w:tplc="04090003" w:tentative="1">
      <w:start w:val="1"/>
      <w:numFmt w:val="bullet"/>
      <w:lvlText w:val="o"/>
      <w:lvlJc w:val="left"/>
      <w:pPr>
        <w:ind w:left="1909" w:hanging="360"/>
      </w:pPr>
      <w:rPr>
        <w:rFonts w:ascii="Courier New" w:hAnsi="Courier New" w:cs="Courier New" w:hint="default"/>
      </w:rPr>
    </w:lvl>
    <w:lvl w:ilvl="2" w:tplc="04090005" w:tentative="1">
      <w:start w:val="1"/>
      <w:numFmt w:val="bullet"/>
      <w:lvlText w:val=""/>
      <w:lvlJc w:val="left"/>
      <w:pPr>
        <w:ind w:left="2629" w:hanging="360"/>
      </w:pPr>
      <w:rPr>
        <w:rFonts w:ascii="Wingdings" w:hAnsi="Wingdings" w:hint="default"/>
      </w:rPr>
    </w:lvl>
    <w:lvl w:ilvl="3" w:tplc="04090001" w:tentative="1">
      <w:start w:val="1"/>
      <w:numFmt w:val="bullet"/>
      <w:lvlText w:val=""/>
      <w:lvlJc w:val="left"/>
      <w:pPr>
        <w:ind w:left="3349" w:hanging="360"/>
      </w:pPr>
      <w:rPr>
        <w:rFonts w:ascii="Symbol" w:hAnsi="Symbol" w:hint="default"/>
      </w:rPr>
    </w:lvl>
    <w:lvl w:ilvl="4" w:tplc="04090003" w:tentative="1">
      <w:start w:val="1"/>
      <w:numFmt w:val="bullet"/>
      <w:lvlText w:val="o"/>
      <w:lvlJc w:val="left"/>
      <w:pPr>
        <w:ind w:left="4069" w:hanging="360"/>
      </w:pPr>
      <w:rPr>
        <w:rFonts w:ascii="Courier New" w:hAnsi="Courier New" w:cs="Courier New" w:hint="default"/>
      </w:rPr>
    </w:lvl>
    <w:lvl w:ilvl="5" w:tplc="04090005" w:tentative="1">
      <w:start w:val="1"/>
      <w:numFmt w:val="bullet"/>
      <w:lvlText w:val=""/>
      <w:lvlJc w:val="left"/>
      <w:pPr>
        <w:ind w:left="4789" w:hanging="360"/>
      </w:pPr>
      <w:rPr>
        <w:rFonts w:ascii="Wingdings" w:hAnsi="Wingdings" w:hint="default"/>
      </w:rPr>
    </w:lvl>
    <w:lvl w:ilvl="6" w:tplc="04090001" w:tentative="1">
      <w:start w:val="1"/>
      <w:numFmt w:val="bullet"/>
      <w:lvlText w:val=""/>
      <w:lvlJc w:val="left"/>
      <w:pPr>
        <w:ind w:left="5509" w:hanging="360"/>
      </w:pPr>
      <w:rPr>
        <w:rFonts w:ascii="Symbol" w:hAnsi="Symbol" w:hint="default"/>
      </w:rPr>
    </w:lvl>
    <w:lvl w:ilvl="7" w:tplc="04090003" w:tentative="1">
      <w:start w:val="1"/>
      <w:numFmt w:val="bullet"/>
      <w:lvlText w:val="o"/>
      <w:lvlJc w:val="left"/>
      <w:pPr>
        <w:ind w:left="6229" w:hanging="360"/>
      </w:pPr>
      <w:rPr>
        <w:rFonts w:ascii="Courier New" w:hAnsi="Courier New" w:cs="Courier New" w:hint="default"/>
      </w:rPr>
    </w:lvl>
    <w:lvl w:ilvl="8" w:tplc="04090005" w:tentative="1">
      <w:start w:val="1"/>
      <w:numFmt w:val="bullet"/>
      <w:lvlText w:val=""/>
      <w:lvlJc w:val="left"/>
      <w:pPr>
        <w:ind w:left="6949" w:hanging="360"/>
      </w:pPr>
      <w:rPr>
        <w:rFonts w:ascii="Wingdings" w:hAnsi="Wingdings" w:hint="default"/>
      </w:rPr>
    </w:lvl>
  </w:abstractNum>
  <w:abstractNum w:abstractNumId="30" w15:restartNumberingAfterBreak="0">
    <w:nsid w:val="4F9A1F0B"/>
    <w:multiLevelType w:val="hybridMultilevel"/>
    <w:tmpl w:val="2CFAB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0614F26"/>
    <w:multiLevelType w:val="hybridMultilevel"/>
    <w:tmpl w:val="3A564636"/>
    <w:lvl w:ilvl="0" w:tplc="CB3E7CF0">
      <w:numFmt w:val="bullet"/>
      <w:lvlText w:val=""/>
      <w:lvlJc w:val="left"/>
      <w:pPr>
        <w:ind w:left="735" w:hanging="375"/>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22356B5"/>
    <w:multiLevelType w:val="hybridMultilevel"/>
    <w:tmpl w:val="5FAEED7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8E06318"/>
    <w:multiLevelType w:val="hybridMultilevel"/>
    <w:tmpl w:val="ABF42AD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9223E58"/>
    <w:multiLevelType w:val="hybridMultilevel"/>
    <w:tmpl w:val="FFD2B0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D171220"/>
    <w:multiLevelType w:val="hybridMultilevel"/>
    <w:tmpl w:val="110AF258"/>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5EE542BC"/>
    <w:multiLevelType w:val="hybridMultilevel"/>
    <w:tmpl w:val="B08670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52620D1"/>
    <w:multiLevelType w:val="hybridMultilevel"/>
    <w:tmpl w:val="5852C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E66214"/>
    <w:multiLevelType w:val="hybridMultilevel"/>
    <w:tmpl w:val="EE8AB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6EC4027"/>
    <w:multiLevelType w:val="hybridMultilevel"/>
    <w:tmpl w:val="BA48F2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467733E"/>
    <w:multiLevelType w:val="hybridMultilevel"/>
    <w:tmpl w:val="E500C4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68511CC"/>
    <w:multiLevelType w:val="hybridMultilevel"/>
    <w:tmpl w:val="CC9AC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7374392"/>
    <w:multiLevelType w:val="hybridMultilevel"/>
    <w:tmpl w:val="CF7A2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92504937">
    <w:abstractNumId w:val="20"/>
  </w:num>
  <w:num w:numId="2" w16cid:durableId="890071818">
    <w:abstractNumId w:val="19"/>
  </w:num>
  <w:num w:numId="3" w16cid:durableId="942347003">
    <w:abstractNumId w:val="41"/>
  </w:num>
  <w:num w:numId="4" w16cid:durableId="377166551">
    <w:abstractNumId w:val="16"/>
  </w:num>
  <w:num w:numId="5" w16cid:durableId="1662583500">
    <w:abstractNumId w:val="9"/>
  </w:num>
  <w:num w:numId="6" w16cid:durableId="1766684182">
    <w:abstractNumId w:val="34"/>
  </w:num>
  <w:num w:numId="7" w16cid:durableId="1674651163">
    <w:abstractNumId w:val="14"/>
  </w:num>
  <w:num w:numId="8" w16cid:durableId="1950359108">
    <w:abstractNumId w:val="3"/>
  </w:num>
  <w:num w:numId="9" w16cid:durableId="589701404">
    <w:abstractNumId w:val="39"/>
  </w:num>
  <w:num w:numId="10" w16cid:durableId="1731920672">
    <w:abstractNumId w:val="0"/>
  </w:num>
  <w:num w:numId="11" w16cid:durableId="1390227961">
    <w:abstractNumId w:val="24"/>
  </w:num>
  <w:num w:numId="12" w16cid:durableId="1577209704">
    <w:abstractNumId w:val="29"/>
  </w:num>
  <w:num w:numId="13" w16cid:durableId="1920481862">
    <w:abstractNumId w:val="21"/>
  </w:num>
  <w:num w:numId="14" w16cid:durableId="120419344">
    <w:abstractNumId w:val="5"/>
  </w:num>
  <w:num w:numId="15" w16cid:durableId="1278878417">
    <w:abstractNumId w:val="6"/>
  </w:num>
  <w:num w:numId="16" w16cid:durableId="1951008345">
    <w:abstractNumId w:val="12"/>
  </w:num>
  <w:num w:numId="17" w16cid:durableId="651836899">
    <w:abstractNumId w:val="32"/>
  </w:num>
  <w:num w:numId="18" w16cid:durableId="123814567">
    <w:abstractNumId w:val="36"/>
  </w:num>
  <w:num w:numId="19" w16cid:durableId="1003168091">
    <w:abstractNumId w:val="22"/>
  </w:num>
  <w:num w:numId="20" w16cid:durableId="1964077392">
    <w:abstractNumId w:val="15"/>
  </w:num>
  <w:num w:numId="21" w16cid:durableId="554126994">
    <w:abstractNumId w:val="13"/>
  </w:num>
  <w:num w:numId="22" w16cid:durableId="259872370">
    <w:abstractNumId w:val="37"/>
  </w:num>
  <w:num w:numId="23" w16cid:durableId="1514800038">
    <w:abstractNumId w:val="25"/>
  </w:num>
  <w:num w:numId="24" w16cid:durableId="1529249344">
    <w:abstractNumId w:val="8"/>
  </w:num>
  <w:num w:numId="25" w16cid:durableId="1005938308">
    <w:abstractNumId w:val="38"/>
  </w:num>
  <w:num w:numId="26" w16cid:durableId="1515999635">
    <w:abstractNumId w:val="11"/>
  </w:num>
  <w:num w:numId="27" w16cid:durableId="1151750108">
    <w:abstractNumId w:val="35"/>
  </w:num>
  <w:num w:numId="28" w16cid:durableId="1763604626">
    <w:abstractNumId w:val="42"/>
  </w:num>
  <w:num w:numId="29" w16cid:durableId="307709324">
    <w:abstractNumId w:val="10"/>
  </w:num>
  <w:num w:numId="30" w16cid:durableId="490095820">
    <w:abstractNumId w:val="4"/>
  </w:num>
  <w:num w:numId="31" w16cid:durableId="865100154">
    <w:abstractNumId w:val="28"/>
  </w:num>
  <w:num w:numId="32" w16cid:durableId="1875775375">
    <w:abstractNumId w:val="31"/>
  </w:num>
  <w:num w:numId="33" w16cid:durableId="80100815">
    <w:abstractNumId w:val="1"/>
  </w:num>
  <w:num w:numId="34" w16cid:durableId="194083738">
    <w:abstractNumId w:val="18"/>
  </w:num>
  <w:num w:numId="35" w16cid:durableId="1219898192">
    <w:abstractNumId w:val="7"/>
  </w:num>
  <w:num w:numId="36" w16cid:durableId="474178880">
    <w:abstractNumId w:val="27"/>
  </w:num>
  <w:num w:numId="37" w16cid:durableId="1901552923">
    <w:abstractNumId w:val="40"/>
  </w:num>
  <w:num w:numId="38" w16cid:durableId="630063220">
    <w:abstractNumId w:val="30"/>
  </w:num>
  <w:num w:numId="39" w16cid:durableId="555505408">
    <w:abstractNumId w:val="17"/>
  </w:num>
  <w:num w:numId="40" w16cid:durableId="731269848">
    <w:abstractNumId w:val="26"/>
  </w:num>
  <w:num w:numId="41" w16cid:durableId="95102746">
    <w:abstractNumId w:val="33"/>
  </w:num>
  <w:num w:numId="42" w16cid:durableId="1995720940">
    <w:abstractNumId w:val="23"/>
  </w:num>
  <w:num w:numId="43" w16cid:durableId="15568148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NK8FAC6iApgtAAAA"/>
  </w:docVars>
  <w:rsids>
    <w:rsidRoot w:val="00A27A2D"/>
    <w:rsid w:val="00004F9A"/>
    <w:rsid w:val="00020564"/>
    <w:rsid w:val="00036471"/>
    <w:rsid w:val="00037105"/>
    <w:rsid w:val="000460E9"/>
    <w:rsid w:val="00052506"/>
    <w:rsid w:val="00053296"/>
    <w:rsid w:val="0005346E"/>
    <w:rsid w:val="00063D41"/>
    <w:rsid w:val="00063F35"/>
    <w:rsid w:val="00073873"/>
    <w:rsid w:val="00081EDE"/>
    <w:rsid w:val="00092B31"/>
    <w:rsid w:val="00093B67"/>
    <w:rsid w:val="0009486E"/>
    <w:rsid w:val="000A6B0B"/>
    <w:rsid w:val="000A6DC4"/>
    <w:rsid w:val="000B5198"/>
    <w:rsid w:val="000B7325"/>
    <w:rsid w:val="000C0B86"/>
    <w:rsid w:val="000C171E"/>
    <w:rsid w:val="000C1B12"/>
    <w:rsid w:val="000C2657"/>
    <w:rsid w:val="000C5E5F"/>
    <w:rsid w:val="000D0DE3"/>
    <w:rsid w:val="000F6D19"/>
    <w:rsid w:val="0010025B"/>
    <w:rsid w:val="001477E6"/>
    <w:rsid w:val="00150CDB"/>
    <w:rsid w:val="00150EEC"/>
    <w:rsid w:val="00152C2B"/>
    <w:rsid w:val="001552ED"/>
    <w:rsid w:val="001711DB"/>
    <w:rsid w:val="00171D19"/>
    <w:rsid w:val="00174992"/>
    <w:rsid w:val="00176BD3"/>
    <w:rsid w:val="00180AA2"/>
    <w:rsid w:val="00185FBE"/>
    <w:rsid w:val="00197CB4"/>
    <w:rsid w:val="001B0B88"/>
    <w:rsid w:val="001B5B86"/>
    <w:rsid w:val="001D53B2"/>
    <w:rsid w:val="001D5DA1"/>
    <w:rsid w:val="001E04D9"/>
    <w:rsid w:val="001E7576"/>
    <w:rsid w:val="00227F88"/>
    <w:rsid w:val="00233513"/>
    <w:rsid w:val="002968BB"/>
    <w:rsid w:val="00297EED"/>
    <w:rsid w:val="002B5911"/>
    <w:rsid w:val="002D20AF"/>
    <w:rsid w:val="002E6F59"/>
    <w:rsid w:val="002F026F"/>
    <w:rsid w:val="00301355"/>
    <w:rsid w:val="00327BAD"/>
    <w:rsid w:val="003304BA"/>
    <w:rsid w:val="00350FB3"/>
    <w:rsid w:val="003708F8"/>
    <w:rsid w:val="00376B64"/>
    <w:rsid w:val="0038452C"/>
    <w:rsid w:val="003915A9"/>
    <w:rsid w:val="003B032B"/>
    <w:rsid w:val="003B1DFD"/>
    <w:rsid w:val="003E3D06"/>
    <w:rsid w:val="003E3E63"/>
    <w:rsid w:val="003F48B0"/>
    <w:rsid w:val="003F5374"/>
    <w:rsid w:val="004034CD"/>
    <w:rsid w:val="00404CF9"/>
    <w:rsid w:val="00407041"/>
    <w:rsid w:val="004104B1"/>
    <w:rsid w:val="00411DCC"/>
    <w:rsid w:val="00414772"/>
    <w:rsid w:val="004213BB"/>
    <w:rsid w:val="004266DB"/>
    <w:rsid w:val="00427D59"/>
    <w:rsid w:val="00431968"/>
    <w:rsid w:val="00434330"/>
    <w:rsid w:val="00435719"/>
    <w:rsid w:val="00443164"/>
    <w:rsid w:val="00453D8C"/>
    <w:rsid w:val="0045665F"/>
    <w:rsid w:val="00456AEB"/>
    <w:rsid w:val="0046279E"/>
    <w:rsid w:val="004731E7"/>
    <w:rsid w:val="00474E04"/>
    <w:rsid w:val="004758C8"/>
    <w:rsid w:val="00481421"/>
    <w:rsid w:val="004848F5"/>
    <w:rsid w:val="004964C4"/>
    <w:rsid w:val="004A2BD8"/>
    <w:rsid w:val="004A6265"/>
    <w:rsid w:val="004C2A8E"/>
    <w:rsid w:val="004C635C"/>
    <w:rsid w:val="004C6E78"/>
    <w:rsid w:val="004D62DB"/>
    <w:rsid w:val="004D6F4D"/>
    <w:rsid w:val="004D736C"/>
    <w:rsid w:val="004D7C31"/>
    <w:rsid w:val="004E2ED5"/>
    <w:rsid w:val="004F1BF8"/>
    <w:rsid w:val="004F32E0"/>
    <w:rsid w:val="004F7837"/>
    <w:rsid w:val="00503D3E"/>
    <w:rsid w:val="005046C1"/>
    <w:rsid w:val="00510C60"/>
    <w:rsid w:val="00522499"/>
    <w:rsid w:val="00523957"/>
    <w:rsid w:val="00524396"/>
    <w:rsid w:val="00526D00"/>
    <w:rsid w:val="005435B6"/>
    <w:rsid w:val="00556BC5"/>
    <w:rsid w:val="0056073A"/>
    <w:rsid w:val="00563515"/>
    <w:rsid w:val="00566FB0"/>
    <w:rsid w:val="00567155"/>
    <w:rsid w:val="00577840"/>
    <w:rsid w:val="00595298"/>
    <w:rsid w:val="005A0958"/>
    <w:rsid w:val="005A0EFC"/>
    <w:rsid w:val="005A11D8"/>
    <w:rsid w:val="005A20AB"/>
    <w:rsid w:val="005B4817"/>
    <w:rsid w:val="005D306A"/>
    <w:rsid w:val="005D7962"/>
    <w:rsid w:val="005E70D5"/>
    <w:rsid w:val="005E7933"/>
    <w:rsid w:val="005F3769"/>
    <w:rsid w:val="005F4BAA"/>
    <w:rsid w:val="006037F6"/>
    <w:rsid w:val="006050C3"/>
    <w:rsid w:val="00611568"/>
    <w:rsid w:val="00623F78"/>
    <w:rsid w:val="00634C9D"/>
    <w:rsid w:val="00643A64"/>
    <w:rsid w:val="00645DB2"/>
    <w:rsid w:val="0065415E"/>
    <w:rsid w:val="00657D5E"/>
    <w:rsid w:val="0069036B"/>
    <w:rsid w:val="00695B69"/>
    <w:rsid w:val="006B7CD3"/>
    <w:rsid w:val="006C0400"/>
    <w:rsid w:val="006C5EA0"/>
    <w:rsid w:val="006C765A"/>
    <w:rsid w:val="006D13A3"/>
    <w:rsid w:val="006E0EC0"/>
    <w:rsid w:val="006E6BDC"/>
    <w:rsid w:val="00702699"/>
    <w:rsid w:val="0070693D"/>
    <w:rsid w:val="00707E1F"/>
    <w:rsid w:val="0071058C"/>
    <w:rsid w:val="00711EB4"/>
    <w:rsid w:val="00720FDE"/>
    <w:rsid w:val="0072558A"/>
    <w:rsid w:val="00725752"/>
    <w:rsid w:val="00732B93"/>
    <w:rsid w:val="00733FEE"/>
    <w:rsid w:val="00747021"/>
    <w:rsid w:val="007473D3"/>
    <w:rsid w:val="0074780F"/>
    <w:rsid w:val="007550DE"/>
    <w:rsid w:val="00763707"/>
    <w:rsid w:val="00763B3A"/>
    <w:rsid w:val="007664FC"/>
    <w:rsid w:val="00766572"/>
    <w:rsid w:val="007740C5"/>
    <w:rsid w:val="00774CB1"/>
    <w:rsid w:val="007773F6"/>
    <w:rsid w:val="007969A0"/>
    <w:rsid w:val="00796E48"/>
    <w:rsid w:val="007A0B70"/>
    <w:rsid w:val="007A3873"/>
    <w:rsid w:val="007B07F6"/>
    <w:rsid w:val="007B11E1"/>
    <w:rsid w:val="007B519A"/>
    <w:rsid w:val="007C742B"/>
    <w:rsid w:val="007D23C9"/>
    <w:rsid w:val="007E0C92"/>
    <w:rsid w:val="007E22AA"/>
    <w:rsid w:val="007E28E4"/>
    <w:rsid w:val="007E500A"/>
    <w:rsid w:val="007E6A9D"/>
    <w:rsid w:val="007F66E8"/>
    <w:rsid w:val="008052B2"/>
    <w:rsid w:val="00815B5F"/>
    <w:rsid w:val="00817ADF"/>
    <w:rsid w:val="00827046"/>
    <w:rsid w:val="00831009"/>
    <w:rsid w:val="00833CF1"/>
    <w:rsid w:val="00834317"/>
    <w:rsid w:val="0083463D"/>
    <w:rsid w:val="00842515"/>
    <w:rsid w:val="008435E0"/>
    <w:rsid w:val="00845EB5"/>
    <w:rsid w:val="00855EB5"/>
    <w:rsid w:val="008632AC"/>
    <w:rsid w:val="00863FBB"/>
    <w:rsid w:val="00864977"/>
    <w:rsid w:val="00890674"/>
    <w:rsid w:val="0089717D"/>
    <w:rsid w:val="008A3CE2"/>
    <w:rsid w:val="008C331D"/>
    <w:rsid w:val="008E157A"/>
    <w:rsid w:val="008F425E"/>
    <w:rsid w:val="009035A2"/>
    <w:rsid w:val="00903A84"/>
    <w:rsid w:val="0092452C"/>
    <w:rsid w:val="00927066"/>
    <w:rsid w:val="00927B9B"/>
    <w:rsid w:val="0095711C"/>
    <w:rsid w:val="009573F5"/>
    <w:rsid w:val="00962432"/>
    <w:rsid w:val="0097041D"/>
    <w:rsid w:val="00970622"/>
    <w:rsid w:val="00973D68"/>
    <w:rsid w:val="0097518C"/>
    <w:rsid w:val="00982DA3"/>
    <w:rsid w:val="00997373"/>
    <w:rsid w:val="0099761C"/>
    <w:rsid w:val="009A19E3"/>
    <w:rsid w:val="009B1FAC"/>
    <w:rsid w:val="009C10F3"/>
    <w:rsid w:val="009C1D6E"/>
    <w:rsid w:val="009C2676"/>
    <w:rsid w:val="009D4514"/>
    <w:rsid w:val="009E4041"/>
    <w:rsid w:val="009E40A1"/>
    <w:rsid w:val="009F022E"/>
    <w:rsid w:val="009F16C3"/>
    <w:rsid w:val="00A12E1F"/>
    <w:rsid w:val="00A15A3B"/>
    <w:rsid w:val="00A22060"/>
    <w:rsid w:val="00A262CD"/>
    <w:rsid w:val="00A269EA"/>
    <w:rsid w:val="00A27A2D"/>
    <w:rsid w:val="00A324B7"/>
    <w:rsid w:val="00A42F85"/>
    <w:rsid w:val="00A452A8"/>
    <w:rsid w:val="00A47258"/>
    <w:rsid w:val="00A57C74"/>
    <w:rsid w:val="00A666A5"/>
    <w:rsid w:val="00A71851"/>
    <w:rsid w:val="00A71EEF"/>
    <w:rsid w:val="00A77976"/>
    <w:rsid w:val="00A859E9"/>
    <w:rsid w:val="00A86F4E"/>
    <w:rsid w:val="00A92481"/>
    <w:rsid w:val="00A972E3"/>
    <w:rsid w:val="00AB02C1"/>
    <w:rsid w:val="00AB319E"/>
    <w:rsid w:val="00AC13C0"/>
    <w:rsid w:val="00AC6909"/>
    <w:rsid w:val="00AD2002"/>
    <w:rsid w:val="00AD2FC9"/>
    <w:rsid w:val="00AF0384"/>
    <w:rsid w:val="00AF423B"/>
    <w:rsid w:val="00AF70BB"/>
    <w:rsid w:val="00B0469B"/>
    <w:rsid w:val="00B30699"/>
    <w:rsid w:val="00B3634C"/>
    <w:rsid w:val="00B40435"/>
    <w:rsid w:val="00B43858"/>
    <w:rsid w:val="00B4452D"/>
    <w:rsid w:val="00B558BF"/>
    <w:rsid w:val="00B64D2D"/>
    <w:rsid w:val="00B81A77"/>
    <w:rsid w:val="00B8753B"/>
    <w:rsid w:val="00B93286"/>
    <w:rsid w:val="00B9419E"/>
    <w:rsid w:val="00B94988"/>
    <w:rsid w:val="00BC086D"/>
    <w:rsid w:val="00BF1D56"/>
    <w:rsid w:val="00C27177"/>
    <w:rsid w:val="00C27815"/>
    <w:rsid w:val="00C30E81"/>
    <w:rsid w:val="00C34BFE"/>
    <w:rsid w:val="00C44032"/>
    <w:rsid w:val="00C5699D"/>
    <w:rsid w:val="00C71F2A"/>
    <w:rsid w:val="00C73CB2"/>
    <w:rsid w:val="00C90588"/>
    <w:rsid w:val="00C90740"/>
    <w:rsid w:val="00C9302F"/>
    <w:rsid w:val="00C93112"/>
    <w:rsid w:val="00CA0231"/>
    <w:rsid w:val="00CA0BA1"/>
    <w:rsid w:val="00CB041E"/>
    <w:rsid w:val="00CB4059"/>
    <w:rsid w:val="00CB4B07"/>
    <w:rsid w:val="00CB5153"/>
    <w:rsid w:val="00CC5479"/>
    <w:rsid w:val="00CD0399"/>
    <w:rsid w:val="00CD046F"/>
    <w:rsid w:val="00CD3FBB"/>
    <w:rsid w:val="00CE5709"/>
    <w:rsid w:val="00CF663B"/>
    <w:rsid w:val="00D24423"/>
    <w:rsid w:val="00D3388F"/>
    <w:rsid w:val="00D35EB5"/>
    <w:rsid w:val="00D4527F"/>
    <w:rsid w:val="00D503FC"/>
    <w:rsid w:val="00D51AF7"/>
    <w:rsid w:val="00D53988"/>
    <w:rsid w:val="00D648DB"/>
    <w:rsid w:val="00D73944"/>
    <w:rsid w:val="00D75479"/>
    <w:rsid w:val="00D76BCE"/>
    <w:rsid w:val="00D82DF8"/>
    <w:rsid w:val="00D92E91"/>
    <w:rsid w:val="00D94D8E"/>
    <w:rsid w:val="00DA656A"/>
    <w:rsid w:val="00DB1B6F"/>
    <w:rsid w:val="00DB6311"/>
    <w:rsid w:val="00DE0500"/>
    <w:rsid w:val="00DE5BF0"/>
    <w:rsid w:val="00DF20B0"/>
    <w:rsid w:val="00DF38B7"/>
    <w:rsid w:val="00E15226"/>
    <w:rsid w:val="00E24391"/>
    <w:rsid w:val="00E33D6E"/>
    <w:rsid w:val="00E41E30"/>
    <w:rsid w:val="00E4409D"/>
    <w:rsid w:val="00E53D13"/>
    <w:rsid w:val="00E617C0"/>
    <w:rsid w:val="00E619B5"/>
    <w:rsid w:val="00E65C88"/>
    <w:rsid w:val="00E71CC6"/>
    <w:rsid w:val="00E73CA5"/>
    <w:rsid w:val="00E76E5B"/>
    <w:rsid w:val="00E9371B"/>
    <w:rsid w:val="00E971F2"/>
    <w:rsid w:val="00EB0D64"/>
    <w:rsid w:val="00EB3304"/>
    <w:rsid w:val="00EC317D"/>
    <w:rsid w:val="00EC691B"/>
    <w:rsid w:val="00ED2356"/>
    <w:rsid w:val="00ED444E"/>
    <w:rsid w:val="00EE16B3"/>
    <w:rsid w:val="00EE3000"/>
    <w:rsid w:val="00EF620C"/>
    <w:rsid w:val="00F076B7"/>
    <w:rsid w:val="00F10BF2"/>
    <w:rsid w:val="00F118A5"/>
    <w:rsid w:val="00F41C02"/>
    <w:rsid w:val="00F42B12"/>
    <w:rsid w:val="00F56DAC"/>
    <w:rsid w:val="00F66C27"/>
    <w:rsid w:val="00F72B92"/>
    <w:rsid w:val="00F748FC"/>
    <w:rsid w:val="00F94B0D"/>
    <w:rsid w:val="00F97899"/>
    <w:rsid w:val="00FA48DA"/>
    <w:rsid w:val="00FB2ADE"/>
    <w:rsid w:val="00FB3940"/>
    <w:rsid w:val="00FB3CE8"/>
    <w:rsid w:val="00FC213A"/>
    <w:rsid w:val="00FC28AA"/>
    <w:rsid w:val="00FC5CE0"/>
    <w:rsid w:val="00FC6DC8"/>
    <w:rsid w:val="00FD1770"/>
    <w:rsid w:val="00FD323F"/>
    <w:rsid w:val="00FE64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FBB"/>
    <w:pPr>
      <w:spacing w:after="0" w:line="360" w:lineRule="auto"/>
      <w:jc w:val="both"/>
    </w:pPr>
    <w:rPr>
      <w:rFonts w:ascii="Arial" w:hAnsi="Arial" w:cs="Times New Roman"/>
      <w:noProof/>
      <w:sz w:val="24"/>
      <w:szCs w:val="20"/>
      <w:lang w:val="en-GB"/>
    </w:rPr>
  </w:style>
  <w:style w:type="paragraph" w:styleId="Heading1">
    <w:name w:val="heading 1"/>
    <w:basedOn w:val="Normal"/>
    <w:next w:val="Normal"/>
    <w:link w:val="Heading1Char"/>
    <w:autoRedefine/>
    <w:uiPriority w:val="9"/>
    <w:qFormat/>
    <w:rsid w:val="00774CB1"/>
    <w:pPr>
      <w:keepNext/>
      <w:keepLines/>
      <w:spacing w:before="240"/>
      <w:outlineLvl w:val="0"/>
    </w:pPr>
    <w:rPr>
      <w:b/>
      <w:sz w:val="32"/>
      <w:szCs w:val="32"/>
      <w:u w:val="single"/>
      <w:lang w:val="en-US" w:eastAsia="en-GB"/>
    </w:rPr>
  </w:style>
  <w:style w:type="paragraph" w:styleId="Heading2">
    <w:name w:val="heading 2"/>
    <w:basedOn w:val="Normal"/>
    <w:next w:val="Normal"/>
    <w:link w:val="Heading2Char"/>
    <w:autoRedefine/>
    <w:uiPriority w:val="9"/>
    <w:unhideWhenUsed/>
    <w:qFormat/>
    <w:rsid w:val="004D6F4D"/>
    <w:pPr>
      <w:keepNext/>
      <w:keepLines/>
      <w:outlineLvl w:val="1"/>
    </w:pPr>
    <w:rPr>
      <w:rFonts w:eastAsiaTheme="majorEastAsia" w:cstheme="majorBidi"/>
      <w:b/>
      <w:sz w:val="28"/>
      <w:szCs w:val="26"/>
      <w:lang w:eastAsia="en-GB"/>
    </w:rPr>
  </w:style>
  <w:style w:type="paragraph" w:styleId="Heading3">
    <w:name w:val="heading 3"/>
    <w:basedOn w:val="Normal"/>
    <w:next w:val="Normal"/>
    <w:link w:val="Heading3Char"/>
    <w:autoRedefine/>
    <w:uiPriority w:val="9"/>
    <w:unhideWhenUsed/>
    <w:qFormat/>
    <w:rsid w:val="007664FC"/>
    <w:pPr>
      <w:keepNext/>
      <w:keepLines/>
      <w:numPr>
        <w:numId w:val="13"/>
      </w:numPr>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10025B"/>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6F4D"/>
    <w:rPr>
      <w:rFonts w:ascii="Times New Roman" w:eastAsiaTheme="majorEastAsia" w:hAnsi="Times New Roman" w:cstheme="majorBidi"/>
      <w:b/>
      <w:noProof/>
      <w:sz w:val="28"/>
      <w:szCs w:val="26"/>
      <w:lang w:val="en-GB" w:eastAsia="en-GB"/>
    </w:rPr>
  </w:style>
  <w:style w:type="paragraph" w:styleId="Caption">
    <w:name w:val="caption"/>
    <w:basedOn w:val="Normal"/>
    <w:next w:val="Normal"/>
    <w:autoRedefine/>
    <w:uiPriority w:val="35"/>
    <w:unhideWhenUsed/>
    <w:qFormat/>
    <w:rsid w:val="009E40A1"/>
    <w:pPr>
      <w:keepNext/>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774CB1"/>
    <w:rPr>
      <w:rFonts w:ascii="Arial" w:hAnsi="Arial" w:cs="Times New Roman"/>
      <w:b/>
      <w:noProof/>
      <w:sz w:val="32"/>
      <w:szCs w:val="32"/>
      <w:u w:val="single"/>
      <w:lang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664FC"/>
    <w:rPr>
      <w:rFonts w:ascii="Times New Roman" w:eastAsiaTheme="majorEastAsia" w:hAnsi="Times New Roman" w:cstheme="majorBidi"/>
      <w:b/>
      <w:noProof/>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E71CC6"/>
    <w:pPr>
      <w:ind w:left="720"/>
      <w:contextualSpacing/>
    </w:pPr>
  </w:style>
  <w:style w:type="character" w:customStyle="1" w:styleId="Heading4Char">
    <w:name w:val="Heading 4 Char"/>
    <w:basedOn w:val="DefaultParagraphFont"/>
    <w:link w:val="Heading4"/>
    <w:uiPriority w:val="9"/>
    <w:semiHidden/>
    <w:rsid w:val="0010025B"/>
    <w:rPr>
      <w:rFonts w:asciiTheme="majorHAnsi" w:eastAsiaTheme="majorEastAsia" w:hAnsiTheme="majorHAnsi" w:cstheme="majorBidi"/>
      <w:b/>
      <w:bCs/>
      <w:i/>
      <w:iCs/>
      <w:noProof/>
      <w:color w:val="4472C4" w:themeColor="accent1"/>
      <w:sz w:val="24"/>
      <w:szCs w:val="20"/>
      <w:lang w:val="en-GB"/>
    </w:rPr>
  </w:style>
  <w:style w:type="paragraph" w:styleId="TOC3">
    <w:name w:val="toc 3"/>
    <w:basedOn w:val="Normal"/>
    <w:next w:val="Normal"/>
    <w:autoRedefine/>
    <w:uiPriority w:val="39"/>
    <w:unhideWhenUsed/>
    <w:rsid w:val="00645DB2"/>
    <w:pPr>
      <w:spacing w:after="100"/>
      <w:ind w:left="480"/>
    </w:pPr>
  </w:style>
  <w:style w:type="paragraph" w:styleId="BalloonText">
    <w:name w:val="Balloon Text"/>
    <w:basedOn w:val="Normal"/>
    <w:link w:val="BalloonTextChar"/>
    <w:uiPriority w:val="99"/>
    <w:semiHidden/>
    <w:unhideWhenUsed/>
    <w:rsid w:val="00645DB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DB2"/>
    <w:rPr>
      <w:rFonts w:ascii="Tahoma" w:hAnsi="Tahoma" w:cs="Tahoma"/>
      <w:noProof/>
      <w:sz w:val="16"/>
      <w:szCs w:val="16"/>
      <w:lang w:val="en-GB"/>
    </w:rPr>
  </w:style>
  <w:style w:type="paragraph" w:styleId="NormalWeb">
    <w:name w:val="Normal (Web)"/>
    <w:basedOn w:val="Normal"/>
    <w:uiPriority w:val="99"/>
    <w:semiHidden/>
    <w:unhideWhenUsed/>
    <w:rsid w:val="00645DB2"/>
    <w:pPr>
      <w:spacing w:before="100" w:beforeAutospacing="1" w:after="100" w:afterAutospacing="1" w:line="240" w:lineRule="auto"/>
      <w:jc w:val="left"/>
    </w:pPr>
    <w:rPr>
      <w:noProof w:val="0"/>
      <w:szCs w:val="24"/>
      <w:lang w:val="en-US"/>
    </w:rPr>
  </w:style>
  <w:style w:type="character" w:styleId="CommentReference">
    <w:name w:val="annotation reference"/>
    <w:basedOn w:val="DefaultParagraphFont"/>
    <w:uiPriority w:val="99"/>
    <w:semiHidden/>
    <w:unhideWhenUsed/>
    <w:rsid w:val="0045665F"/>
    <w:rPr>
      <w:sz w:val="16"/>
      <w:szCs w:val="16"/>
    </w:rPr>
  </w:style>
  <w:style w:type="paragraph" w:styleId="CommentText">
    <w:name w:val="annotation text"/>
    <w:basedOn w:val="Normal"/>
    <w:link w:val="CommentTextChar"/>
    <w:uiPriority w:val="99"/>
    <w:semiHidden/>
    <w:unhideWhenUsed/>
    <w:rsid w:val="0045665F"/>
    <w:pPr>
      <w:spacing w:line="240" w:lineRule="auto"/>
    </w:pPr>
    <w:rPr>
      <w:sz w:val="20"/>
    </w:rPr>
  </w:style>
  <w:style w:type="character" w:customStyle="1" w:styleId="CommentTextChar">
    <w:name w:val="Comment Text Char"/>
    <w:basedOn w:val="DefaultParagraphFont"/>
    <w:link w:val="CommentText"/>
    <w:uiPriority w:val="99"/>
    <w:semiHidden/>
    <w:rsid w:val="0045665F"/>
    <w:rPr>
      <w:rFonts w:ascii="Times New Roman" w:hAnsi="Times New Roman"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45665F"/>
    <w:rPr>
      <w:b/>
      <w:bCs/>
    </w:rPr>
  </w:style>
  <w:style w:type="character" w:customStyle="1" w:styleId="CommentSubjectChar">
    <w:name w:val="Comment Subject Char"/>
    <w:basedOn w:val="CommentTextChar"/>
    <w:link w:val="CommentSubject"/>
    <w:uiPriority w:val="99"/>
    <w:semiHidden/>
    <w:rsid w:val="0045665F"/>
    <w:rPr>
      <w:rFonts w:ascii="Times New Roman" w:hAnsi="Times New Roman" w:cs="Times New Roman"/>
      <w:b/>
      <w:bCs/>
      <w:noProof/>
      <w:sz w:val="20"/>
      <w:szCs w:val="20"/>
      <w:lang w:val="en-GB"/>
    </w:rPr>
  </w:style>
  <w:style w:type="table" w:customStyle="1" w:styleId="GridTable41">
    <w:name w:val="Grid Table 41"/>
    <w:basedOn w:val="TableNormal"/>
    <w:uiPriority w:val="49"/>
    <w:rsid w:val="00B9498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line-clamp-1">
    <w:name w:val="line-clamp-1"/>
    <w:basedOn w:val="DefaultParagraphFont"/>
    <w:rsid w:val="00833CF1"/>
  </w:style>
  <w:style w:type="table" w:styleId="LightShading">
    <w:name w:val="Light Shading"/>
    <w:basedOn w:val="TableNormal"/>
    <w:uiPriority w:val="60"/>
    <w:rsid w:val="001B5B8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1B5B86"/>
    <w:pPr>
      <w:spacing w:after="0"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EF620C"/>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character" w:styleId="Emphasis">
    <w:name w:val="Emphasis"/>
    <w:basedOn w:val="DefaultParagraphFont"/>
    <w:uiPriority w:val="20"/>
    <w:qFormat/>
    <w:rsid w:val="00C71F2A"/>
    <w:rPr>
      <w:i/>
      <w:iCs/>
    </w:rPr>
  </w:style>
  <w:style w:type="character" w:styleId="Strong">
    <w:name w:val="Strong"/>
    <w:basedOn w:val="DefaultParagraphFont"/>
    <w:uiPriority w:val="22"/>
    <w:qFormat/>
    <w:rsid w:val="00435719"/>
    <w:rPr>
      <w:b/>
      <w:bCs/>
    </w:rPr>
  </w:style>
  <w:style w:type="paragraph" w:customStyle="1" w:styleId="TableParagraph">
    <w:name w:val="Table Paragraph"/>
    <w:basedOn w:val="Normal"/>
    <w:uiPriority w:val="1"/>
    <w:qFormat/>
    <w:rsid w:val="00863FBB"/>
    <w:pPr>
      <w:widowControl w:val="0"/>
      <w:autoSpaceDE w:val="0"/>
      <w:autoSpaceDN w:val="0"/>
      <w:spacing w:line="240" w:lineRule="auto"/>
      <w:ind w:left="102"/>
    </w:pPr>
    <w:rPr>
      <w:rFonts w:eastAsia="Arial" w:cs="Arial"/>
      <w:noProof w:val="0"/>
      <w:sz w:val="22"/>
      <w:szCs w:val="22"/>
      <w:lang w:val="en-US"/>
    </w:rPr>
  </w:style>
  <w:style w:type="paragraph" w:styleId="Title">
    <w:name w:val="Title"/>
    <w:basedOn w:val="Normal"/>
    <w:next w:val="Normal"/>
    <w:link w:val="TitleChar"/>
    <w:uiPriority w:val="10"/>
    <w:qFormat/>
    <w:rsid w:val="003915A9"/>
    <w:pPr>
      <w:contextualSpacing/>
      <w:jc w:val="center"/>
    </w:pPr>
    <w:rPr>
      <w:rFonts w:ascii="Times New Roman" w:eastAsiaTheme="majorEastAsia" w:hAnsi="Times New Roman" w:cstheme="majorBidi"/>
      <w:b/>
      <w:noProof w:val="0"/>
      <w:spacing w:val="-10"/>
      <w:kern w:val="28"/>
      <w:sz w:val="40"/>
      <w:szCs w:val="56"/>
    </w:rPr>
  </w:style>
  <w:style w:type="character" w:customStyle="1" w:styleId="TitleChar">
    <w:name w:val="Title Char"/>
    <w:basedOn w:val="DefaultParagraphFont"/>
    <w:link w:val="Title"/>
    <w:uiPriority w:val="10"/>
    <w:rsid w:val="003915A9"/>
    <w:rPr>
      <w:rFonts w:ascii="Times New Roman" w:eastAsiaTheme="majorEastAsia" w:hAnsi="Times New Roman" w:cstheme="majorBidi"/>
      <w:b/>
      <w:spacing w:val="-10"/>
      <w:kern w:val="28"/>
      <w:sz w:val="40"/>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5926">
      <w:bodyDiv w:val="1"/>
      <w:marLeft w:val="0"/>
      <w:marRight w:val="0"/>
      <w:marTop w:val="0"/>
      <w:marBottom w:val="0"/>
      <w:divBdr>
        <w:top w:val="none" w:sz="0" w:space="0" w:color="auto"/>
        <w:left w:val="none" w:sz="0" w:space="0" w:color="auto"/>
        <w:bottom w:val="none" w:sz="0" w:space="0" w:color="auto"/>
        <w:right w:val="none" w:sz="0" w:space="0" w:color="auto"/>
      </w:divBdr>
      <w:divsChild>
        <w:div w:id="71243737">
          <w:marLeft w:val="0"/>
          <w:marRight w:val="0"/>
          <w:marTop w:val="0"/>
          <w:marBottom w:val="0"/>
          <w:divBdr>
            <w:top w:val="none" w:sz="0" w:space="0" w:color="auto"/>
            <w:left w:val="none" w:sz="0" w:space="0" w:color="auto"/>
            <w:bottom w:val="none" w:sz="0" w:space="0" w:color="auto"/>
            <w:right w:val="none" w:sz="0" w:space="0" w:color="auto"/>
          </w:divBdr>
          <w:divsChild>
            <w:div w:id="1739010372">
              <w:marLeft w:val="0"/>
              <w:marRight w:val="0"/>
              <w:marTop w:val="0"/>
              <w:marBottom w:val="0"/>
              <w:divBdr>
                <w:top w:val="none" w:sz="0" w:space="0" w:color="auto"/>
                <w:left w:val="none" w:sz="0" w:space="0" w:color="auto"/>
                <w:bottom w:val="none" w:sz="0" w:space="0" w:color="auto"/>
                <w:right w:val="none" w:sz="0" w:space="0" w:color="auto"/>
              </w:divBdr>
              <w:divsChild>
                <w:div w:id="1190099008">
                  <w:marLeft w:val="0"/>
                  <w:marRight w:val="0"/>
                  <w:marTop w:val="0"/>
                  <w:marBottom w:val="0"/>
                  <w:divBdr>
                    <w:top w:val="none" w:sz="0" w:space="0" w:color="auto"/>
                    <w:left w:val="none" w:sz="0" w:space="0" w:color="auto"/>
                    <w:bottom w:val="none" w:sz="0" w:space="0" w:color="auto"/>
                    <w:right w:val="none" w:sz="0" w:space="0" w:color="auto"/>
                  </w:divBdr>
                  <w:divsChild>
                    <w:div w:id="508788179">
                      <w:marLeft w:val="0"/>
                      <w:marRight w:val="0"/>
                      <w:marTop w:val="0"/>
                      <w:marBottom w:val="0"/>
                      <w:divBdr>
                        <w:top w:val="none" w:sz="0" w:space="0" w:color="auto"/>
                        <w:left w:val="none" w:sz="0" w:space="0" w:color="auto"/>
                        <w:bottom w:val="none" w:sz="0" w:space="0" w:color="auto"/>
                        <w:right w:val="none" w:sz="0" w:space="0" w:color="auto"/>
                      </w:divBdr>
                      <w:divsChild>
                        <w:div w:id="379717903">
                          <w:marLeft w:val="0"/>
                          <w:marRight w:val="0"/>
                          <w:marTop w:val="0"/>
                          <w:marBottom w:val="0"/>
                          <w:divBdr>
                            <w:top w:val="none" w:sz="0" w:space="0" w:color="auto"/>
                            <w:left w:val="none" w:sz="0" w:space="0" w:color="auto"/>
                            <w:bottom w:val="none" w:sz="0" w:space="0" w:color="auto"/>
                            <w:right w:val="none" w:sz="0" w:space="0" w:color="auto"/>
                          </w:divBdr>
                          <w:divsChild>
                            <w:div w:id="78847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0031">
      <w:bodyDiv w:val="1"/>
      <w:marLeft w:val="0"/>
      <w:marRight w:val="0"/>
      <w:marTop w:val="0"/>
      <w:marBottom w:val="0"/>
      <w:divBdr>
        <w:top w:val="none" w:sz="0" w:space="0" w:color="auto"/>
        <w:left w:val="none" w:sz="0" w:space="0" w:color="auto"/>
        <w:bottom w:val="none" w:sz="0" w:space="0" w:color="auto"/>
        <w:right w:val="none" w:sz="0" w:space="0" w:color="auto"/>
      </w:divBdr>
    </w:div>
    <w:div w:id="13305926">
      <w:bodyDiv w:val="1"/>
      <w:marLeft w:val="0"/>
      <w:marRight w:val="0"/>
      <w:marTop w:val="0"/>
      <w:marBottom w:val="0"/>
      <w:divBdr>
        <w:top w:val="none" w:sz="0" w:space="0" w:color="auto"/>
        <w:left w:val="none" w:sz="0" w:space="0" w:color="auto"/>
        <w:bottom w:val="none" w:sz="0" w:space="0" w:color="auto"/>
        <w:right w:val="none" w:sz="0" w:space="0" w:color="auto"/>
      </w:divBdr>
    </w:div>
    <w:div w:id="20671349">
      <w:bodyDiv w:val="1"/>
      <w:marLeft w:val="0"/>
      <w:marRight w:val="0"/>
      <w:marTop w:val="0"/>
      <w:marBottom w:val="0"/>
      <w:divBdr>
        <w:top w:val="none" w:sz="0" w:space="0" w:color="auto"/>
        <w:left w:val="none" w:sz="0" w:space="0" w:color="auto"/>
        <w:bottom w:val="none" w:sz="0" w:space="0" w:color="auto"/>
        <w:right w:val="none" w:sz="0" w:space="0" w:color="auto"/>
      </w:divBdr>
    </w:div>
    <w:div w:id="49425245">
      <w:bodyDiv w:val="1"/>
      <w:marLeft w:val="0"/>
      <w:marRight w:val="0"/>
      <w:marTop w:val="0"/>
      <w:marBottom w:val="0"/>
      <w:divBdr>
        <w:top w:val="none" w:sz="0" w:space="0" w:color="auto"/>
        <w:left w:val="none" w:sz="0" w:space="0" w:color="auto"/>
        <w:bottom w:val="none" w:sz="0" w:space="0" w:color="auto"/>
        <w:right w:val="none" w:sz="0" w:space="0" w:color="auto"/>
      </w:divBdr>
      <w:divsChild>
        <w:div w:id="320351209">
          <w:marLeft w:val="0"/>
          <w:marRight w:val="0"/>
          <w:marTop w:val="0"/>
          <w:marBottom w:val="0"/>
          <w:divBdr>
            <w:top w:val="none" w:sz="0" w:space="0" w:color="auto"/>
            <w:left w:val="none" w:sz="0" w:space="0" w:color="auto"/>
            <w:bottom w:val="none" w:sz="0" w:space="0" w:color="auto"/>
            <w:right w:val="none" w:sz="0" w:space="0" w:color="auto"/>
          </w:divBdr>
          <w:divsChild>
            <w:div w:id="1396969523">
              <w:marLeft w:val="0"/>
              <w:marRight w:val="0"/>
              <w:marTop w:val="0"/>
              <w:marBottom w:val="0"/>
              <w:divBdr>
                <w:top w:val="none" w:sz="0" w:space="0" w:color="auto"/>
                <w:left w:val="none" w:sz="0" w:space="0" w:color="auto"/>
                <w:bottom w:val="none" w:sz="0" w:space="0" w:color="auto"/>
                <w:right w:val="none" w:sz="0" w:space="0" w:color="auto"/>
              </w:divBdr>
              <w:divsChild>
                <w:div w:id="679739618">
                  <w:marLeft w:val="0"/>
                  <w:marRight w:val="0"/>
                  <w:marTop w:val="0"/>
                  <w:marBottom w:val="0"/>
                  <w:divBdr>
                    <w:top w:val="none" w:sz="0" w:space="0" w:color="auto"/>
                    <w:left w:val="none" w:sz="0" w:space="0" w:color="auto"/>
                    <w:bottom w:val="none" w:sz="0" w:space="0" w:color="auto"/>
                    <w:right w:val="none" w:sz="0" w:space="0" w:color="auto"/>
                  </w:divBdr>
                  <w:divsChild>
                    <w:div w:id="170439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350084">
          <w:marLeft w:val="0"/>
          <w:marRight w:val="0"/>
          <w:marTop w:val="0"/>
          <w:marBottom w:val="0"/>
          <w:divBdr>
            <w:top w:val="none" w:sz="0" w:space="0" w:color="auto"/>
            <w:left w:val="none" w:sz="0" w:space="0" w:color="auto"/>
            <w:bottom w:val="none" w:sz="0" w:space="0" w:color="auto"/>
            <w:right w:val="none" w:sz="0" w:space="0" w:color="auto"/>
          </w:divBdr>
          <w:divsChild>
            <w:div w:id="1703437889">
              <w:marLeft w:val="0"/>
              <w:marRight w:val="0"/>
              <w:marTop w:val="0"/>
              <w:marBottom w:val="0"/>
              <w:divBdr>
                <w:top w:val="none" w:sz="0" w:space="0" w:color="auto"/>
                <w:left w:val="none" w:sz="0" w:space="0" w:color="auto"/>
                <w:bottom w:val="none" w:sz="0" w:space="0" w:color="auto"/>
                <w:right w:val="none" w:sz="0" w:space="0" w:color="auto"/>
              </w:divBdr>
              <w:divsChild>
                <w:div w:id="1758742602">
                  <w:marLeft w:val="0"/>
                  <w:marRight w:val="0"/>
                  <w:marTop w:val="0"/>
                  <w:marBottom w:val="0"/>
                  <w:divBdr>
                    <w:top w:val="none" w:sz="0" w:space="0" w:color="auto"/>
                    <w:left w:val="none" w:sz="0" w:space="0" w:color="auto"/>
                    <w:bottom w:val="none" w:sz="0" w:space="0" w:color="auto"/>
                    <w:right w:val="none" w:sz="0" w:space="0" w:color="auto"/>
                  </w:divBdr>
                  <w:divsChild>
                    <w:div w:id="25906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47757">
      <w:bodyDiv w:val="1"/>
      <w:marLeft w:val="0"/>
      <w:marRight w:val="0"/>
      <w:marTop w:val="0"/>
      <w:marBottom w:val="0"/>
      <w:divBdr>
        <w:top w:val="none" w:sz="0" w:space="0" w:color="auto"/>
        <w:left w:val="none" w:sz="0" w:space="0" w:color="auto"/>
        <w:bottom w:val="none" w:sz="0" w:space="0" w:color="auto"/>
        <w:right w:val="none" w:sz="0" w:space="0" w:color="auto"/>
      </w:divBdr>
    </w:div>
    <w:div w:id="135412483">
      <w:bodyDiv w:val="1"/>
      <w:marLeft w:val="0"/>
      <w:marRight w:val="0"/>
      <w:marTop w:val="0"/>
      <w:marBottom w:val="0"/>
      <w:divBdr>
        <w:top w:val="none" w:sz="0" w:space="0" w:color="auto"/>
        <w:left w:val="none" w:sz="0" w:space="0" w:color="auto"/>
        <w:bottom w:val="none" w:sz="0" w:space="0" w:color="auto"/>
        <w:right w:val="none" w:sz="0" w:space="0" w:color="auto"/>
      </w:divBdr>
    </w:div>
    <w:div w:id="139230466">
      <w:bodyDiv w:val="1"/>
      <w:marLeft w:val="0"/>
      <w:marRight w:val="0"/>
      <w:marTop w:val="0"/>
      <w:marBottom w:val="0"/>
      <w:divBdr>
        <w:top w:val="none" w:sz="0" w:space="0" w:color="auto"/>
        <w:left w:val="none" w:sz="0" w:space="0" w:color="auto"/>
        <w:bottom w:val="none" w:sz="0" w:space="0" w:color="auto"/>
        <w:right w:val="none" w:sz="0" w:space="0" w:color="auto"/>
      </w:divBdr>
    </w:div>
    <w:div w:id="212352307">
      <w:bodyDiv w:val="1"/>
      <w:marLeft w:val="0"/>
      <w:marRight w:val="0"/>
      <w:marTop w:val="0"/>
      <w:marBottom w:val="0"/>
      <w:divBdr>
        <w:top w:val="none" w:sz="0" w:space="0" w:color="auto"/>
        <w:left w:val="none" w:sz="0" w:space="0" w:color="auto"/>
        <w:bottom w:val="none" w:sz="0" w:space="0" w:color="auto"/>
        <w:right w:val="none" w:sz="0" w:space="0" w:color="auto"/>
      </w:divBdr>
      <w:divsChild>
        <w:div w:id="1954362155">
          <w:marLeft w:val="0"/>
          <w:marRight w:val="0"/>
          <w:marTop w:val="0"/>
          <w:marBottom w:val="0"/>
          <w:divBdr>
            <w:top w:val="none" w:sz="0" w:space="0" w:color="auto"/>
            <w:left w:val="none" w:sz="0" w:space="0" w:color="auto"/>
            <w:bottom w:val="none" w:sz="0" w:space="0" w:color="auto"/>
            <w:right w:val="none" w:sz="0" w:space="0" w:color="auto"/>
          </w:divBdr>
          <w:divsChild>
            <w:div w:id="306470588">
              <w:marLeft w:val="0"/>
              <w:marRight w:val="0"/>
              <w:marTop w:val="0"/>
              <w:marBottom w:val="0"/>
              <w:divBdr>
                <w:top w:val="none" w:sz="0" w:space="0" w:color="auto"/>
                <w:left w:val="none" w:sz="0" w:space="0" w:color="auto"/>
                <w:bottom w:val="none" w:sz="0" w:space="0" w:color="auto"/>
                <w:right w:val="none" w:sz="0" w:space="0" w:color="auto"/>
              </w:divBdr>
              <w:divsChild>
                <w:div w:id="1028407758">
                  <w:marLeft w:val="0"/>
                  <w:marRight w:val="0"/>
                  <w:marTop w:val="0"/>
                  <w:marBottom w:val="0"/>
                  <w:divBdr>
                    <w:top w:val="none" w:sz="0" w:space="0" w:color="auto"/>
                    <w:left w:val="none" w:sz="0" w:space="0" w:color="auto"/>
                    <w:bottom w:val="none" w:sz="0" w:space="0" w:color="auto"/>
                    <w:right w:val="none" w:sz="0" w:space="0" w:color="auto"/>
                  </w:divBdr>
                  <w:divsChild>
                    <w:div w:id="1092777627">
                      <w:marLeft w:val="0"/>
                      <w:marRight w:val="0"/>
                      <w:marTop w:val="0"/>
                      <w:marBottom w:val="0"/>
                      <w:divBdr>
                        <w:top w:val="none" w:sz="0" w:space="0" w:color="auto"/>
                        <w:left w:val="none" w:sz="0" w:space="0" w:color="auto"/>
                        <w:bottom w:val="none" w:sz="0" w:space="0" w:color="auto"/>
                        <w:right w:val="none" w:sz="0" w:space="0" w:color="auto"/>
                      </w:divBdr>
                      <w:divsChild>
                        <w:div w:id="1675961535">
                          <w:marLeft w:val="0"/>
                          <w:marRight w:val="0"/>
                          <w:marTop w:val="0"/>
                          <w:marBottom w:val="0"/>
                          <w:divBdr>
                            <w:top w:val="none" w:sz="0" w:space="0" w:color="auto"/>
                            <w:left w:val="none" w:sz="0" w:space="0" w:color="auto"/>
                            <w:bottom w:val="none" w:sz="0" w:space="0" w:color="auto"/>
                            <w:right w:val="none" w:sz="0" w:space="0" w:color="auto"/>
                          </w:divBdr>
                          <w:divsChild>
                            <w:div w:id="157778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9941769">
      <w:bodyDiv w:val="1"/>
      <w:marLeft w:val="0"/>
      <w:marRight w:val="0"/>
      <w:marTop w:val="0"/>
      <w:marBottom w:val="0"/>
      <w:divBdr>
        <w:top w:val="none" w:sz="0" w:space="0" w:color="auto"/>
        <w:left w:val="none" w:sz="0" w:space="0" w:color="auto"/>
        <w:bottom w:val="none" w:sz="0" w:space="0" w:color="auto"/>
        <w:right w:val="none" w:sz="0" w:space="0" w:color="auto"/>
      </w:divBdr>
    </w:div>
    <w:div w:id="262616283">
      <w:bodyDiv w:val="1"/>
      <w:marLeft w:val="0"/>
      <w:marRight w:val="0"/>
      <w:marTop w:val="0"/>
      <w:marBottom w:val="0"/>
      <w:divBdr>
        <w:top w:val="none" w:sz="0" w:space="0" w:color="auto"/>
        <w:left w:val="none" w:sz="0" w:space="0" w:color="auto"/>
        <w:bottom w:val="none" w:sz="0" w:space="0" w:color="auto"/>
        <w:right w:val="none" w:sz="0" w:space="0" w:color="auto"/>
      </w:divBdr>
    </w:div>
    <w:div w:id="335811147">
      <w:bodyDiv w:val="1"/>
      <w:marLeft w:val="0"/>
      <w:marRight w:val="0"/>
      <w:marTop w:val="0"/>
      <w:marBottom w:val="0"/>
      <w:divBdr>
        <w:top w:val="none" w:sz="0" w:space="0" w:color="auto"/>
        <w:left w:val="none" w:sz="0" w:space="0" w:color="auto"/>
        <w:bottom w:val="none" w:sz="0" w:space="0" w:color="auto"/>
        <w:right w:val="none" w:sz="0" w:space="0" w:color="auto"/>
      </w:divBdr>
      <w:divsChild>
        <w:div w:id="1063136590">
          <w:marLeft w:val="0"/>
          <w:marRight w:val="0"/>
          <w:marTop w:val="0"/>
          <w:marBottom w:val="0"/>
          <w:divBdr>
            <w:top w:val="none" w:sz="0" w:space="0" w:color="auto"/>
            <w:left w:val="none" w:sz="0" w:space="0" w:color="auto"/>
            <w:bottom w:val="none" w:sz="0" w:space="0" w:color="auto"/>
            <w:right w:val="none" w:sz="0" w:space="0" w:color="auto"/>
          </w:divBdr>
          <w:divsChild>
            <w:div w:id="586809542">
              <w:marLeft w:val="0"/>
              <w:marRight w:val="0"/>
              <w:marTop w:val="0"/>
              <w:marBottom w:val="0"/>
              <w:divBdr>
                <w:top w:val="none" w:sz="0" w:space="0" w:color="auto"/>
                <w:left w:val="none" w:sz="0" w:space="0" w:color="auto"/>
                <w:bottom w:val="none" w:sz="0" w:space="0" w:color="auto"/>
                <w:right w:val="none" w:sz="0" w:space="0" w:color="auto"/>
              </w:divBdr>
              <w:divsChild>
                <w:div w:id="1480490824">
                  <w:marLeft w:val="0"/>
                  <w:marRight w:val="0"/>
                  <w:marTop w:val="0"/>
                  <w:marBottom w:val="0"/>
                  <w:divBdr>
                    <w:top w:val="none" w:sz="0" w:space="0" w:color="auto"/>
                    <w:left w:val="none" w:sz="0" w:space="0" w:color="auto"/>
                    <w:bottom w:val="none" w:sz="0" w:space="0" w:color="auto"/>
                    <w:right w:val="none" w:sz="0" w:space="0" w:color="auto"/>
                  </w:divBdr>
                  <w:divsChild>
                    <w:div w:id="9463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789736">
          <w:marLeft w:val="0"/>
          <w:marRight w:val="0"/>
          <w:marTop w:val="0"/>
          <w:marBottom w:val="0"/>
          <w:divBdr>
            <w:top w:val="none" w:sz="0" w:space="0" w:color="auto"/>
            <w:left w:val="none" w:sz="0" w:space="0" w:color="auto"/>
            <w:bottom w:val="none" w:sz="0" w:space="0" w:color="auto"/>
            <w:right w:val="none" w:sz="0" w:space="0" w:color="auto"/>
          </w:divBdr>
          <w:divsChild>
            <w:div w:id="379978477">
              <w:marLeft w:val="0"/>
              <w:marRight w:val="0"/>
              <w:marTop w:val="0"/>
              <w:marBottom w:val="0"/>
              <w:divBdr>
                <w:top w:val="none" w:sz="0" w:space="0" w:color="auto"/>
                <w:left w:val="none" w:sz="0" w:space="0" w:color="auto"/>
                <w:bottom w:val="none" w:sz="0" w:space="0" w:color="auto"/>
                <w:right w:val="none" w:sz="0" w:space="0" w:color="auto"/>
              </w:divBdr>
              <w:divsChild>
                <w:div w:id="2122796869">
                  <w:marLeft w:val="0"/>
                  <w:marRight w:val="0"/>
                  <w:marTop w:val="0"/>
                  <w:marBottom w:val="0"/>
                  <w:divBdr>
                    <w:top w:val="none" w:sz="0" w:space="0" w:color="auto"/>
                    <w:left w:val="none" w:sz="0" w:space="0" w:color="auto"/>
                    <w:bottom w:val="none" w:sz="0" w:space="0" w:color="auto"/>
                    <w:right w:val="none" w:sz="0" w:space="0" w:color="auto"/>
                  </w:divBdr>
                  <w:divsChild>
                    <w:div w:id="252007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506357">
      <w:bodyDiv w:val="1"/>
      <w:marLeft w:val="0"/>
      <w:marRight w:val="0"/>
      <w:marTop w:val="0"/>
      <w:marBottom w:val="0"/>
      <w:divBdr>
        <w:top w:val="none" w:sz="0" w:space="0" w:color="auto"/>
        <w:left w:val="none" w:sz="0" w:space="0" w:color="auto"/>
        <w:bottom w:val="none" w:sz="0" w:space="0" w:color="auto"/>
        <w:right w:val="none" w:sz="0" w:space="0" w:color="auto"/>
      </w:divBdr>
    </w:div>
    <w:div w:id="412165549">
      <w:bodyDiv w:val="1"/>
      <w:marLeft w:val="0"/>
      <w:marRight w:val="0"/>
      <w:marTop w:val="0"/>
      <w:marBottom w:val="0"/>
      <w:divBdr>
        <w:top w:val="none" w:sz="0" w:space="0" w:color="auto"/>
        <w:left w:val="none" w:sz="0" w:space="0" w:color="auto"/>
        <w:bottom w:val="none" w:sz="0" w:space="0" w:color="auto"/>
        <w:right w:val="none" w:sz="0" w:space="0" w:color="auto"/>
      </w:divBdr>
    </w:div>
    <w:div w:id="421342124">
      <w:bodyDiv w:val="1"/>
      <w:marLeft w:val="0"/>
      <w:marRight w:val="0"/>
      <w:marTop w:val="0"/>
      <w:marBottom w:val="0"/>
      <w:divBdr>
        <w:top w:val="none" w:sz="0" w:space="0" w:color="auto"/>
        <w:left w:val="none" w:sz="0" w:space="0" w:color="auto"/>
        <w:bottom w:val="none" w:sz="0" w:space="0" w:color="auto"/>
        <w:right w:val="none" w:sz="0" w:space="0" w:color="auto"/>
      </w:divBdr>
    </w:div>
    <w:div w:id="439029689">
      <w:bodyDiv w:val="1"/>
      <w:marLeft w:val="0"/>
      <w:marRight w:val="0"/>
      <w:marTop w:val="0"/>
      <w:marBottom w:val="0"/>
      <w:divBdr>
        <w:top w:val="none" w:sz="0" w:space="0" w:color="auto"/>
        <w:left w:val="none" w:sz="0" w:space="0" w:color="auto"/>
        <w:bottom w:val="none" w:sz="0" w:space="0" w:color="auto"/>
        <w:right w:val="none" w:sz="0" w:space="0" w:color="auto"/>
      </w:divBdr>
    </w:div>
    <w:div w:id="442382070">
      <w:bodyDiv w:val="1"/>
      <w:marLeft w:val="0"/>
      <w:marRight w:val="0"/>
      <w:marTop w:val="0"/>
      <w:marBottom w:val="0"/>
      <w:divBdr>
        <w:top w:val="none" w:sz="0" w:space="0" w:color="auto"/>
        <w:left w:val="none" w:sz="0" w:space="0" w:color="auto"/>
        <w:bottom w:val="none" w:sz="0" w:space="0" w:color="auto"/>
        <w:right w:val="none" w:sz="0" w:space="0" w:color="auto"/>
      </w:divBdr>
    </w:div>
    <w:div w:id="484708664">
      <w:bodyDiv w:val="1"/>
      <w:marLeft w:val="0"/>
      <w:marRight w:val="0"/>
      <w:marTop w:val="0"/>
      <w:marBottom w:val="0"/>
      <w:divBdr>
        <w:top w:val="none" w:sz="0" w:space="0" w:color="auto"/>
        <w:left w:val="none" w:sz="0" w:space="0" w:color="auto"/>
        <w:bottom w:val="none" w:sz="0" w:space="0" w:color="auto"/>
        <w:right w:val="none" w:sz="0" w:space="0" w:color="auto"/>
      </w:divBdr>
    </w:div>
    <w:div w:id="511527592">
      <w:bodyDiv w:val="1"/>
      <w:marLeft w:val="0"/>
      <w:marRight w:val="0"/>
      <w:marTop w:val="0"/>
      <w:marBottom w:val="0"/>
      <w:divBdr>
        <w:top w:val="none" w:sz="0" w:space="0" w:color="auto"/>
        <w:left w:val="none" w:sz="0" w:space="0" w:color="auto"/>
        <w:bottom w:val="none" w:sz="0" w:space="0" w:color="auto"/>
        <w:right w:val="none" w:sz="0" w:space="0" w:color="auto"/>
      </w:divBdr>
    </w:div>
    <w:div w:id="526796774">
      <w:bodyDiv w:val="1"/>
      <w:marLeft w:val="0"/>
      <w:marRight w:val="0"/>
      <w:marTop w:val="0"/>
      <w:marBottom w:val="0"/>
      <w:divBdr>
        <w:top w:val="none" w:sz="0" w:space="0" w:color="auto"/>
        <w:left w:val="none" w:sz="0" w:space="0" w:color="auto"/>
        <w:bottom w:val="none" w:sz="0" w:space="0" w:color="auto"/>
        <w:right w:val="none" w:sz="0" w:space="0" w:color="auto"/>
      </w:divBdr>
    </w:div>
    <w:div w:id="593712890">
      <w:bodyDiv w:val="1"/>
      <w:marLeft w:val="0"/>
      <w:marRight w:val="0"/>
      <w:marTop w:val="0"/>
      <w:marBottom w:val="0"/>
      <w:divBdr>
        <w:top w:val="none" w:sz="0" w:space="0" w:color="auto"/>
        <w:left w:val="none" w:sz="0" w:space="0" w:color="auto"/>
        <w:bottom w:val="none" w:sz="0" w:space="0" w:color="auto"/>
        <w:right w:val="none" w:sz="0" w:space="0" w:color="auto"/>
      </w:divBdr>
    </w:div>
    <w:div w:id="690497009">
      <w:bodyDiv w:val="1"/>
      <w:marLeft w:val="0"/>
      <w:marRight w:val="0"/>
      <w:marTop w:val="0"/>
      <w:marBottom w:val="0"/>
      <w:divBdr>
        <w:top w:val="none" w:sz="0" w:space="0" w:color="auto"/>
        <w:left w:val="none" w:sz="0" w:space="0" w:color="auto"/>
        <w:bottom w:val="none" w:sz="0" w:space="0" w:color="auto"/>
        <w:right w:val="none" w:sz="0" w:space="0" w:color="auto"/>
      </w:divBdr>
    </w:div>
    <w:div w:id="762651914">
      <w:bodyDiv w:val="1"/>
      <w:marLeft w:val="0"/>
      <w:marRight w:val="0"/>
      <w:marTop w:val="0"/>
      <w:marBottom w:val="0"/>
      <w:divBdr>
        <w:top w:val="none" w:sz="0" w:space="0" w:color="auto"/>
        <w:left w:val="none" w:sz="0" w:space="0" w:color="auto"/>
        <w:bottom w:val="none" w:sz="0" w:space="0" w:color="auto"/>
        <w:right w:val="none" w:sz="0" w:space="0" w:color="auto"/>
      </w:divBdr>
    </w:div>
    <w:div w:id="899052412">
      <w:bodyDiv w:val="1"/>
      <w:marLeft w:val="0"/>
      <w:marRight w:val="0"/>
      <w:marTop w:val="0"/>
      <w:marBottom w:val="0"/>
      <w:divBdr>
        <w:top w:val="none" w:sz="0" w:space="0" w:color="auto"/>
        <w:left w:val="none" w:sz="0" w:space="0" w:color="auto"/>
        <w:bottom w:val="none" w:sz="0" w:space="0" w:color="auto"/>
        <w:right w:val="none" w:sz="0" w:space="0" w:color="auto"/>
      </w:divBdr>
    </w:div>
    <w:div w:id="918176844">
      <w:bodyDiv w:val="1"/>
      <w:marLeft w:val="0"/>
      <w:marRight w:val="0"/>
      <w:marTop w:val="0"/>
      <w:marBottom w:val="0"/>
      <w:divBdr>
        <w:top w:val="none" w:sz="0" w:space="0" w:color="auto"/>
        <w:left w:val="none" w:sz="0" w:space="0" w:color="auto"/>
        <w:bottom w:val="none" w:sz="0" w:space="0" w:color="auto"/>
        <w:right w:val="none" w:sz="0" w:space="0" w:color="auto"/>
      </w:divBdr>
    </w:div>
    <w:div w:id="922684990">
      <w:bodyDiv w:val="1"/>
      <w:marLeft w:val="0"/>
      <w:marRight w:val="0"/>
      <w:marTop w:val="0"/>
      <w:marBottom w:val="0"/>
      <w:divBdr>
        <w:top w:val="none" w:sz="0" w:space="0" w:color="auto"/>
        <w:left w:val="none" w:sz="0" w:space="0" w:color="auto"/>
        <w:bottom w:val="none" w:sz="0" w:space="0" w:color="auto"/>
        <w:right w:val="none" w:sz="0" w:space="0" w:color="auto"/>
      </w:divBdr>
    </w:div>
    <w:div w:id="930119659">
      <w:bodyDiv w:val="1"/>
      <w:marLeft w:val="0"/>
      <w:marRight w:val="0"/>
      <w:marTop w:val="0"/>
      <w:marBottom w:val="0"/>
      <w:divBdr>
        <w:top w:val="none" w:sz="0" w:space="0" w:color="auto"/>
        <w:left w:val="none" w:sz="0" w:space="0" w:color="auto"/>
        <w:bottom w:val="none" w:sz="0" w:space="0" w:color="auto"/>
        <w:right w:val="none" w:sz="0" w:space="0" w:color="auto"/>
      </w:divBdr>
    </w:div>
    <w:div w:id="934167463">
      <w:bodyDiv w:val="1"/>
      <w:marLeft w:val="0"/>
      <w:marRight w:val="0"/>
      <w:marTop w:val="0"/>
      <w:marBottom w:val="0"/>
      <w:divBdr>
        <w:top w:val="none" w:sz="0" w:space="0" w:color="auto"/>
        <w:left w:val="none" w:sz="0" w:space="0" w:color="auto"/>
        <w:bottom w:val="none" w:sz="0" w:space="0" w:color="auto"/>
        <w:right w:val="none" w:sz="0" w:space="0" w:color="auto"/>
      </w:divBdr>
      <w:divsChild>
        <w:div w:id="515392074">
          <w:marLeft w:val="0"/>
          <w:marRight w:val="0"/>
          <w:marTop w:val="0"/>
          <w:marBottom w:val="0"/>
          <w:divBdr>
            <w:top w:val="none" w:sz="0" w:space="0" w:color="auto"/>
            <w:left w:val="none" w:sz="0" w:space="0" w:color="auto"/>
            <w:bottom w:val="none" w:sz="0" w:space="0" w:color="auto"/>
            <w:right w:val="none" w:sz="0" w:space="0" w:color="auto"/>
          </w:divBdr>
          <w:divsChild>
            <w:div w:id="1484815203">
              <w:marLeft w:val="0"/>
              <w:marRight w:val="0"/>
              <w:marTop w:val="0"/>
              <w:marBottom w:val="0"/>
              <w:divBdr>
                <w:top w:val="none" w:sz="0" w:space="0" w:color="auto"/>
                <w:left w:val="none" w:sz="0" w:space="0" w:color="auto"/>
                <w:bottom w:val="none" w:sz="0" w:space="0" w:color="auto"/>
                <w:right w:val="none" w:sz="0" w:space="0" w:color="auto"/>
              </w:divBdr>
              <w:divsChild>
                <w:div w:id="1864126715">
                  <w:marLeft w:val="0"/>
                  <w:marRight w:val="0"/>
                  <w:marTop w:val="0"/>
                  <w:marBottom w:val="0"/>
                  <w:divBdr>
                    <w:top w:val="none" w:sz="0" w:space="0" w:color="auto"/>
                    <w:left w:val="none" w:sz="0" w:space="0" w:color="auto"/>
                    <w:bottom w:val="none" w:sz="0" w:space="0" w:color="auto"/>
                    <w:right w:val="none" w:sz="0" w:space="0" w:color="auto"/>
                  </w:divBdr>
                  <w:divsChild>
                    <w:div w:id="1056120657">
                      <w:marLeft w:val="0"/>
                      <w:marRight w:val="0"/>
                      <w:marTop w:val="0"/>
                      <w:marBottom w:val="0"/>
                      <w:divBdr>
                        <w:top w:val="none" w:sz="0" w:space="0" w:color="auto"/>
                        <w:left w:val="none" w:sz="0" w:space="0" w:color="auto"/>
                        <w:bottom w:val="none" w:sz="0" w:space="0" w:color="auto"/>
                        <w:right w:val="none" w:sz="0" w:space="0" w:color="auto"/>
                      </w:divBdr>
                      <w:divsChild>
                        <w:div w:id="1127745815">
                          <w:marLeft w:val="0"/>
                          <w:marRight w:val="0"/>
                          <w:marTop w:val="0"/>
                          <w:marBottom w:val="0"/>
                          <w:divBdr>
                            <w:top w:val="none" w:sz="0" w:space="0" w:color="auto"/>
                            <w:left w:val="none" w:sz="0" w:space="0" w:color="auto"/>
                            <w:bottom w:val="none" w:sz="0" w:space="0" w:color="auto"/>
                            <w:right w:val="none" w:sz="0" w:space="0" w:color="auto"/>
                          </w:divBdr>
                          <w:divsChild>
                            <w:div w:id="146711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052020">
      <w:bodyDiv w:val="1"/>
      <w:marLeft w:val="0"/>
      <w:marRight w:val="0"/>
      <w:marTop w:val="0"/>
      <w:marBottom w:val="0"/>
      <w:divBdr>
        <w:top w:val="none" w:sz="0" w:space="0" w:color="auto"/>
        <w:left w:val="none" w:sz="0" w:space="0" w:color="auto"/>
        <w:bottom w:val="none" w:sz="0" w:space="0" w:color="auto"/>
        <w:right w:val="none" w:sz="0" w:space="0" w:color="auto"/>
      </w:divBdr>
    </w:div>
    <w:div w:id="1035497858">
      <w:bodyDiv w:val="1"/>
      <w:marLeft w:val="0"/>
      <w:marRight w:val="0"/>
      <w:marTop w:val="0"/>
      <w:marBottom w:val="0"/>
      <w:divBdr>
        <w:top w:val="none" w:sz="0" w:space="0" w:color="auto"/>
        <w:left w:val="none" w:sz="0" w:space="0" w:color="auto"/>
        <w:bottom w:val="none" w:sz="0" w:space="0" w:color="auto"/>
        <w:right w:val="none" w:sz="0" w:space="0" w:color="auto"/>
      </w:divBdr>
    </w:div>
    <w:div w:id="1125587029">
      <w:bodyDiv w:val="1"/>
      <w:marLeft w:val="0"/>
      <w:marRight w:val="0"/>
      <w:marTop w:val="0"/>
      <w:marBottom w:val="0"/>
      <w:divBdr>
        <w:top w:val="none" w:sz="0" w:space="0" w:color="auto"/>
        <w:left w:val="none" w:sz="0" w:space="0" w:color="auto"/>
        <w:bottom w:val="none" w:sz="0" w:space="0" w:color="auto"/>
        <w:right w:val="none" w:sz="0" w:space="0" w:color="auto"/>
      </w:divBdr>
    </w:div>
    <w:div w:id="1155611422">
      <w:bodyDiv w:val="1"/>
      <w:marLeft w:val="0"/>
      <w:marRight w:val="0"/>
      <w:marTop w:val="0"/>
      <w:marBottom w:val="0"/>
      <w:divBdr>
        <w:top w:val="none" w:sz="0" w:space="0" w:color="auto"/>
        <w:left w:val="none" w:sz="0" w:space="0" w:color="auto"/>
        <w:bottom w:val="none" w:sz="0" w:space="0" w:color="auto"/>
        <w:right w:val="none" w:sz="0" w:space="0" w:color="auto"/>
      </w:divBdr>
    </w:div>
    <w:div w:id="1167021110">
      <w:bodyDiv w:val="1"/>
      <w:marLeft w:val="0"/>
      <w:marRight w:val="0"/>
      <w:marTop w:val="0"/>
      <w:marBottom w:val="0"/>
      <w:divBdr>
        <w:top w:val="none" w:sz="0" w:space="0" w:color="auto"/>
        <w:left w:val="none" w:sz="0" w:space="0" w:color="auto"/>
        <w:bottom w:val="none" w:sz="0" w:space="0" w:color="auto"/>
        <w:right w:val="none" w:sz="0" w:space="0" w:color="auto"/>
      </w:divBdr>
    </w:div>
    <w:div w:id="1172912930">
      <w:bodyDiv w:val="1"/>
      <w:marLeft w:val="0"/>
      <w:marRight w:val="0"/>
      <w:marTop w:val="0"/>
      <w:marBottom w:val="0"/>
      <w:divBdr>
        <w:top w:val="none" w:sz="0" w:space="0" w:color="auto"/>
        <w:left w:val="none" w:sz="0" w:space="0" w:color="auto"/>
        <w:bottom w:val="none" w:sz="0" w:space="0" w:color="auto"/>
        <w:right w:val="none" w:sz="0" w:space="0" w:color="auto"/>
      </w:divBdr>
    </w:div>
    <w:div w:id="1191341573">
      <w:bodyDiv w:val="1"/>
      <w:marLeft w:val="0"/>
      <w:marRight w:val="0"/>
      <w:marTop w:val="0"/>
      <w:marBottom w:val="0"/>
      <w:divBdr>
        <w:top w:val="none" w:sz="0" w:space="0" w:color="auto"/>
        <w:left w:val="none" w:sz="0" w:space="0" w:color="auto"/>
        <w:bottom w:val="none" w:sz="0" w:space="0" w:color="auto"/>
        <w:right w:val="none" w:sz="0" w:space="0" w:color="auto"/>
      </w:divBdr>
    </w:div>
    <w:div w:id="1208881158">
      <w:bodyDiv w:val="1"/>
      <w:marLeft w:val="0"/>
      <w:marRight w:val="0"/>
      <w:marTop w:val="0"/>
      <w:marBottom w:val="0"/>
      <w:divBdr>
        <w:top w:val="none" w:sz="0" w:space="0" w:color="auto"/>
        <w:left w:val="none" w:sz="0" w:space="0" w:color="auto"/>
        <w:bottom w:val="none" w:sz="0" w:space="0" w:color="auto"/>
        <w:right w:val="none" w:sz="0" w:space="0" w:color="auto"/>
      </w:divBdr>
    </w:div>
    <w:div w:id="1223053627">
      <w:bodyDiv w:val="1"/>
      <w:marLeft w:val="0"/>
      <w:marRight w:val="0"/>
      <w:marTop w:val="0"/>
      <w:marBottom w:val="0"/>
      <w:divBdr>
        <w:top w:val="none" w:sz="0" w:space="0" w:color="auto"/>
        <w:left w:val="none" w:sz="0" w:space="0" w:color="auto"/>
        <w:bottom w:val="none" w:sz="0" w:space="0" w:color="auto"/>
        <w:right w:val="none" w:sz="0" w:space="0" w:color="auto"/>
      </w:divBdr>
    </w:div>
    <w:div w:id="1332296969">
      <w:bodyDiv w:val="1"/>
      <w:marLeft w:val="0"/>
      <w:marRight w:val="0"/>
      <w:marTop w:val="0"/>
      <w:marBottom w:val="0"/>
      <w:divBdr>
        <w:top w:val="none" w:sz="0" w:space="0" w:color="auto"/>
        <w:left w:val="none" w:sz="0" w:space="0" w:color="auto"/>
        <w:bottom w:val="none" w:sz="0" w:space="0" w:color="auto"/>
        <w:right w:val="none" w:sz="0" w:space="0" w:color="auto"/>
      </w:divBdr>
    </w:div>
    <w:div w:id="1335188238">
      <w:bodyDiv w:val="1"/>
      <w:marLeft w:val="0"/>
      <w:marRight w:val="0"/>
      <w:marTop w:val="0"/>
      <w:marBottom w:val="0"/>
      <w:divBdr>
        <w:top w:val="none" w:sz="0" w:space="0" w:color="auto"/>
        <w:left w:val="none" w:sz="0" w:space="0" w:color="auto"/>
        <w:bottom w:val="none" w:sz="0" w:space="0" w:color="auto"/>
        <w:right w:val="none" w:sz="0" w:space="0" w:color="auto"/>
      </w:divBdr>
    </w:div>
    <w:div w:id="1361933822">
      <w:bodyDiv w:val="1"/>
      <w:marLeft w:val="0"/>
      <w:marRight w:val="0"/>
      <w:marTop w:val="0"/>
      <w:marBottom w:val="0"/>
      <w:divBdr>
        <w:top w:val="none" w:sz="0" w:space="0" w:color="auto"/>
        <w:left w:val="none" w:sz="0" w:space="0" w:color="auto"/>
        <w:bottom w:val="none" w:sz="0" w:space="0" w:color="auto"/>
        <w:right w:val="none" w:sz="0" w:space="0" w:color="auto"/>
      </w:divBdr>
    </w:div>
    <w:div w:id="1382821865">
      <w:bodyDiv w:val="1"/>
      <w:marLeft w:val="0"/>
      <w:marRight w:val="0"/>
      <w:marTop w:val="0"/>
      <w:marBottom w:val="0"/>
      <w:divBdr>
        <w:top w:val="none" w:sz="0" w:space="0" w:color="auto"/>
        <w:left w:val="none" w:sz="0" w:space="0" w:color="auto"/>
        <w:bottom w:val="none" w:sz="0" w:space="0" w:color="auto"/>
        <w:right w:val="none" w:sz="0" w:space="0" w:color="auto"/>
      </w:divBdr>
    </w:div>
    <w:div w:id="1411193879">
      <w:bodyDiv w:val="1"/>
      <w:marLeft w:val="0"/>
      <w:marRight w:val="0"/>
      <w:marTop w:val="0"/>
      <w:marBottom w:val="0"/>
      <w:divBdr>
        <w:top w:val="none" w:sz="0" w:space="0" w:color="auto"/>
        <w:left w:val="none" w:sz="0" w:space="0" w:color="auto"/>
        <w:bottom w:val="none" w:sz="0" w:space="0" w:color="auto"/>
        <w:right w:val="none" w:sz="0" w:space="0" w:color="auto"/>
      </w:divBdr>
    </w:div>
    <w:div w:id="1460605293">
      <w:bodyDiv w:val="1"/>
      <w:marLeft w:val="0"/>
      <w:marRight w:val="0"/>
      <w:marTop w:val="0"/>
      <w:marBottom w:val="0"/>
      <w:divBdr>
        <w:top w:val="none" w:sz="0" w:space="0" w:color="auto"/>
        <w:left w:val="none" w:sz="0" w:space="0" w:color="auto"/>
        <w:bottom w:val="none" w:sz="0" w:space="0" w:color="auto"/>
        <w:right w:val="none" w:sz="0" w:space="0" w:color="auto"/>
      </w:divBdr>
    </w:div>
    <w:div w:id="1538424662">
      <w:bodyDiv w:val="1"/>
      <w:marLeft w:val="0"/>
      <w:marRight w:val="0"/>
      <w:marTop w:val="0"/>
      <w:marBottom w:val="0"/>
      <w:divBdr>
        <w:top w:val="none" w:sz="0" w:space="0" w:color="auto"/>
        <w:left w:val="none" w:sz="0" w:space="0" w:color="auto"/>
        <w:bottom w:val="none" w:sz="0" w:space="0" w:color="auto"/>
        <w:right w:val="none" w:sz="0" w:space="0" w:color="auto"/>
      </w:divBdr>
    </w:div>
    <w:div w:id="1726906316">
      <w:bodyDiv w:val="1"/>
      <w:marLeft w:val="0"/>
      <w:marRight w:val="0"/>
      <w:marTop w:val="0"/>
      <w:marBottom w:val="0"/>
      <w:divBdr>
        <w:top w:val="none" w:sz="0" w:space="0" w:color="auto"/>
        <w:left w:val="none" w:sz="0" w:space="0" w:color="auto"/>
        <w:bottom w:val="none" w:sz="0" w:space="0" w:color="auto"/>
        <w:right w:val="none" w:sz="0" w:space="0" w:color="auto"/>
      </w:divBdr>
    </w:div>
    <w:div w:id="1861044851">
      <w:bodyDiv w:val="1"/>
      <w:marLeft w:val="0"/>
      <w:marRight w:val="0"/>
      <w:marTop w:val="0"/>
      <w:marBottom w:val="0"/>
      <w:divBdr>
        <w:top w:val="none" w:sz="0" w:space="0" w:color="auto"/>
        <w:left w:val="none" w:sz="0" w:space="0" w:color="auto"/>
        <w:bottom w:val="none" w:sz="0" w:space="0" w:color="auto"/>
        <w:right w:val="none" w:sz="0" w:space="0" w:color="auto"/>
      </w:divBdr>
    </w:div>
    <w:div w:id="1936791586">
      <w:bodyDiv w:val="1"/>
      <w:marLeft w:val="0"/>
      <w:marRight w:val="0"/>
      <w:marTop w:val="0"/>
      <w:marBottom w:val="0"/>
      <w:divBdr>
        <w:top w:val="none" w:sz="0" w:space="0" w:color="auto"/>
        <w:left w:val="none" w:sz="0" w:space="0" w:color="auto"/>
        <w:bottom w:val="none" w:sz="0" w:space="0" w:color="auto"/>
        <w:right w:val="none" w:sz="0" w:space="0" w:color="auto"/>
      </w:divBdr>
    </w:div>
    <w:div w:id="1952546580">
      <w:bodyDiv w:val="1"/>
      <w:marLeft w:val="0"/>
      <w:marRight w:val="0"/>
      <w:marTop w:val="0"/>
      <w:marBottom w:val="0"/>
      <w:divBdr>
        <w:top w:val="none" w:sz="0" w:space="0" w:color="auto"/>
        <w:left w:val="none" w:sz="0" w:space="0" w:color="auto"/>
        <w:bottom w:val="none" w:sz="0" w:space="0" w:color="auto"/>
        <w:right w:val="none" w:sz="0" w:space="0" w:color="auto"/>
      </w:divBdr>
    </w:div>
    <w:div w:id="2021620477">
      <w:bodyDiv w:val="1"/>
      <w:marLeft w:val="0"/>
      <w:marRight w:val="0"/>
      <w:marTop w:val="0"/>
      <w:marBottom w:val="0"/>
      <w:divBdr>
        <w:top w:val="none" w:sz="0" w:space="0" w:color="auto"/>
        <w:left w:val="none" w:sz="0" w:space="0" w:color="auto"/>
        <w:bottom w:val="none" w:sz="0" w:space="0" w:color="auto"/>
        <w:right w:val="none" w:sz="0" w:space="0" w:color="auto"/>
      </w:divBdr>
    </w:div>
    <w:div w:id="2050376146">
      <w:bodyDiv w:val="1"/>
      <w:marLeft w:val="0"/>
      <w:marRight w:val="0"/>
      <w:marTop w:val="0"/>
      <w:marBottom w:val="0"/>
      <w:divBdr>
        <w:top w:val="none" w:sz="0" w:space="0" w:color="auto"/>
        <w:left w:val="none" w:sz="0" w:space="0" w:color="auto"/>
        <w:bottom w:val="none" w:sz="0" w:space="0" w:color="auto"/>
        <w:right w:val="none" w:sz="0" w:space="0" w:color="auto"/>
      </w:divBdr>
    </w:div>
    <w:div w:id="211913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A4B8BE-9594-4D4C-9EEC-9DAD23B72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3467</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2024-11-07T23:19:00Z</dcterms:created>
  <dcterms:modified xsi:type="dcterms:W3CDTF">2024-11-08T14:35:00Z</dcterms:modified>
</cp:coreProperties>
</file>