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Student: Sobia Hussain</w:t>
      </w:r>
    </w:p>
    <w:p w:rsidR="00000000" w:rsidDel="00000000" w:rsidP="00000000" w:rsidRDefault="00000000" w:rsidRPr="00000000" w14:paraId="00000002">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Student Number: 2507361</w:t>
      </w:r>
    </w:p>
    <w:p w:rsidR="00000000" w:rsidDel="00000000" w:rsidP="00000000" w:rsidRDefault="00000000" w:rsidRPr="00000000" w14:paraId="00000003">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Lecturer: Mumtaz Goolam</w:t>
      </w:r>
    </w:p>
    <w:p w:rsidR="00000000" w:rsidDel="00000000" w:rsidP="00000000" w:rsidRDefault="00000000" w:rsidRPr="00000000" w14:paraId="00000004">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LCHS4003_BIRM</w:t>
      </w:r>
    </w:p>
    <w:p w:rsidR="00000000" w:rsidDel="00000000" w:rsidP="00000000" w:rsidRDefault="00000000" w:rsidRPr="00000000" w14:paraId="00000005">
      <w:pPr>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6">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Introduction </w:t>
      </w:r>
    </w:p>
    <w:p w:rsidR="00000000" w:rsidDel="00000000" w:rsidP="00000000" w:rsidRDefault="00000000" w:rsidRPr="00000000" w14:paraId="0000000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Effective professional practice in health and social care requires clear communication, accurate administrative processes and strong collaboration between professionals to ensure safe and high-quality patient care. This report focuses on the case of Mr Ahmed, a 68-year-old man who has recently been discharged from hospital after experiencing a stroke and now receives domiciliary care support at home. Following a stroke, many individuals experience communication difficulties which may affect their ability to understand medical information and express their needs effectively (Zingelman et al., 2024). In Mr Ahmed’s case, communication is further influenced by language barriers, as Bengali is his first language, while healthcare professionals primarily communicate in English.</w:t>
      </w:r>
    </w:p>
    <w:p w:rsidR="00000000" w:rsidDel="00000000" w:rsidP="00000000" w:rsidRDefault="00000000" w:rsidRPr="00000000" w14:paraId="0000000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This report examines three key aspects of professional practice within the context of Mr Ahmed’s care. First, it discusses the importance of effective communication, applying the Shannon–Weaver communication model and the principles of the Equality Act 2010. Second, it explores the significance of administrative skills, including accurate record keeping and the application of the Data Protection Act 2018. Finally, the report analyses the role of inter-professional collaboration in supporting coordinated and patient-centred care.</w:t>
      </w:r>
    </w:p>
    <w:p w:rsidR="00000000" w:rsidDel="00000000" w:rsidP="00000000" w:rsidRDefault="00000000" w:rsidRPr="00000000" w14:paraId="00000009">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Importance of Effective Communication in Mr Ahmed’s Care </w:t>
      </w:r>
    </w:p>
    <w:p w:rsidR="00000000" w:rsidDel="00000000" w:rsidP="00000000" w:rsidRDefault="00000000" w:rsidRPr="00000000" w14:paraId="0000000A">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Effective communication is a fundamental component of safe, high-quality, and person-centred healthcare. In the case of Mr Ahmed, who is recovering from a stroke and receiving domiciliary care at home, communication ensures he understands his care plan, receives medication correctly, and participates in decisions regarding his treatment. Stroke frequently causes impairments such as aphasia, slurred speech, or difficulty comprehending verbal information, which can significantly limit a patient’s ability to interact with healthcare professionals. Evidence indicates that up to two-thirds of individuals undergoing stroke rehabilitation require targeted communication support to engage effectively with healthcare services (Zingelman et al., 2023).</w:t>
      </w:r>
    </w:p>
    <w:p w:rsidR="00000000" w:rsidDel="00000000" w:rsidP="00000000" w:rsidRDefault="00000000" w:rsidRPr="00000000" w14:paraId="0000000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Communication in Mr Ahmed’s care is further complicated by language differences. Bengali is his first language, while most healthcare professionals communicate in English. Language barriers can negatively affect patient comprehension, reduce adherence to treatment plans, and potentially increase the risk of adverse outcomes if messages are not clearly understood (Mansuroğlu and Şahinkayası, 2025). Healthcare professionals must therefore adopt strategies that ensure information is delivered in a clear, culturally sensitive, and patient-centred manner. These strategies may include using simplified language, visual aids, repetition of key instructions, and confirming understanding through feedback.</w:t>
      </w:r>
    </w:p>
    <w:p w:rsidR="00000000" w:rsidDel="00000000" w:rsidP="00000000" w:rsidRDefault="00000000" w:rsidRPr="00000000" w14:paraId="0000000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w:t>
      </w:r>
      <w:r w:rsidDel="00000000" w:rsidR="00000000" w:rsidRPr="00000000">
        <w:rPr>
          <w:rFonts w:ascii="Arial" w:cs="Arial" w:eastAsia="Arial" w:hAnsi="Arial"/>
          <w:b w:val="1"/>
          <w:bCs w:val="1"/>
          <w:rtl w:val="0"/>
        </w:rPr>
        <w:t xml:space="preserve">Shannon–Weaver Communication Model</w:t>
      </w:r>
      <w:r w:rsidDel="00000000" w:rsidR="00000000" w:rsidRPr="00000000">
        <w:rPr>
          <w:rFonts w:ascii="Arial" w:cs="Arial" w:eastAsia="Arial" w:hAnsi="Arial"/>
          <w:rtl w:val="0"/>
        </w:rPr>
        <w:t xml:space="preserve"> provides a practical framework to conceptualise communication processes in healthcare. It identifies key components: sender, message, channel, receiver, and feedback, while also highlighting potential “noise” that can disrupt the communication process. In Mr Ahmed’s case, healthcare professionals, including domiciliary care workers, the district nurse, and the GP, act as the senders, conveying messages related to medication schedules, care routines, and therapy instructions. The message represents the information that must be clearly communicated. Channels may include verbal explanations, written care plans, diagrams, or visual cues. Noise, such as language barriers, stroke-related speech difficulties, medical jargon, or environmental distractions, may interfere with message reception. Reducing noise by using interpreters, visual prompts, and verifying understanding through patient feedback can enhance communication effectiveness (Kagan et al., 2024).</w:t>
      </w:r>
    </w:p>
    <w:p w:rsidR="00000000" w:rsidDel="00000000" w:rsidP="00000000" w:rsidRDefault="00000000" w:rsidRPr="00000000" w14:paraId="0000000D">
      <w:pPr>
        <w:spacing w:after="280" w:before="280" w:line="360" w:lineRule="auto"/>
        <w:jc w:val="both"/>
        <w:rPr>
          <w:rFonts w:ascii="Arial" w:cs="Arial" w:eastAsia="Arial" w:hAnsi="Arial"/>
        </w:rPr>
      </w:pPr>
      <w:r w:rsidDel="00000000" w:rsidR="00000000" w:rsidRPr="00000000">
        <w:rPr>
          <w:rFonts w:ascii="Arial" w:cs="Arial" w:eastAsia="Arial" w:hAnsi="Arial"/>
        </w:rPr>
        <w:drawing>
          <wp:inline distB="0" distT="0" distL="0" distR="0">
            <wp:extent cx="5943600" cy="3091408"/>
            <wp:effectExtent b="0" l="0" r="0" t="0"/>
            <wp:docPr descr="Shannon and Weaver Model of Communication" id="5" name="image1.jpg"/>
            <a:graphic>
              <a:graphicData uri="http://schemas.openxmlformats.org/drawingml/2006/picture">
                <pic:pic>
                  <pic:nvPicPr>
                    <pic:cNvPr descr="Shannon and Weaver Model of Communication" id="0" name="image1.jpg"/>
                    <pic:cNvPicPr preferRelativeResize="0"/>
                  </pic:nvPicPr>
                  <pic:blipFill>
                    <a:blip r:embed="rId7"/>
                    <a:srcRect b="0" l="0" r="0" t="0"/>
                    <a:stretch>
                      <a:fillRect/>
                    </a:stretch>
                  </pic:blipFill>
                  <pic:spPr>
                    <a:xfrm>
                      <a:off x="0" y="0"/>
                      <a:ext cx="5943600" cy="3091408"/>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                                                            (Rivaldo, 2024)</w:t>
      </w:r>
    </w:p>
    <w:p w:rsidR="00000000" w:rsidDel="00000000" w:rsidP="00000000" w:rsidRDefault="00000000" w:rsidRPr="00000000" w14:paraId="0000000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Engaging family members is another essential aspect of effective communication. Mr Ahmed’s wife, fluent in English, supports the care team by clarifying information and assisting in decision-making. Including family members ensures greater comprehension, supports treatment adherence, and promotes patient safety, especially when communication challenges exist.</w:t>
      </w:r>
    </w:p>
    <w:p w:rsidR="00000000" w:rsidDel="00000000" w:rsidP="00000000" w:rsidRDefault="00000000" w:rsidRPr="00000000" w14:paraId="00000010">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Communication practices must comply with the Equality Act 2010, which mandates that healthcare providers ensure equal access to services and make reasonable adjustments for individuals experiencing barriers related to disability, language, or cultural differences. In Mr Ahmed’s case, this may include providing professional interpreter services, using simplified and accessible written materials, and allowing extra time during consultations. Implementing these strategies ensures that Mr Ahmed receives respectful, inclusive, and person-centred care while promoting recovery and overall well-being.</w:t>
      </w:r>
    </w:p>
    <w:p w:rsidR="00000000" w:rsidDel="00000000" w:rsidP="00000000" w:rsidRDefault="00000000" w:rsidRPr="00000000" w14:paraId="00000011">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Importance of Good Administrative Skills in Professional Practice in Mr Ahmed’s Care </w:t>
      </w:r>
    </w:p>
    <w:p w:rsidR="00000000" w:rsidDel="00000000" w:rsidP="00000000" w:rsidRDefault="00000000" w:rsidRPr="00000000" w14:paraId="0000001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Good administrative skills are crucial in health and social care, as they support safe, organised, and accountable professional practice. For Mr Ahmed, who receives domiciliary care from multiple professionals including the GP, district nurse, domiciliary care workers, and speech and language therapist, effective administration ensures accurate information sharing, adherence to medication schedules, and proper documentation of any incidents, such as missed visits, which may impact patient safety.</w:t>
      </w:r>
    </w:p>
    <w:p w:rsidR="00000000" w:rsidDel="00000000" w:rsidP="00000000" w:rsidRDefault="00000000" w:rsidRPr="00000000" w14:paraId="00000013">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Accurate record keeping is a core element of administrative competence. Clinical documentation provides a formal record of a patient’s health status, treatment, and care interventions. Comprehensive and timely records improve communication between professionals, support clinical decision-making, and ensure continuity of care (Nkoane, 2023). For Mr Ahmed, documenting medication administration, blood pressure monitoring, and therapy sessions allows all members of the multidisciplinary team to stay informed about his condition and progress.</w:t>
      </w:r>
    </w:p>
    <w:p w:rsidR="00000000" w:rsidDel="00000000" w:rsidP="00000000" w:rsidRDefault="00000000" w:rsidRPr="00000000" w14:paraId="00000014">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Accurate documentation is also essential for patient safety. Incomplete or incorrect records can lead to medication errors, delays in treatment, and miscommunication among professionals. Evidence demonstrates that high-quality nursing documentation enhances record accuracy and reduces the risk of adverse events (Khwaji et al., 2024). The missed domiciliary visit that delayed Mr Ahmed’s medication illustrates how administrative failures can negatively affect care. Properly recorded care schedules, incident reports, and medication logs enable organisations to investigate such events and implement corrective measures to prevent recurrence.</w:t>
      </w:r>
    </w:p>
    <w:p w:rsidR="00000000" w:rsidDel="00000000" w:rsidP="00000000" w:rsidRDefault="00000000" w:rsidRPr="00000000" w14:paraId="0000001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Administrative practice must comply with legal frameworks, particularly the Data Protection Act 2018, which regulates the collection, processing, and storage of personal data. Health records contain sensitive information, and professionals are legally obliged to maintain confidentiality and process data appropriately. Key principles of the Act include lawfulness, fairness, and transparency, ensuring that personal information is collected and used only for legitimate healthcare purposes. In Mr Ahmed’s case, healthcare providers must clearly communicate how his personal data is managed and ensure it is accessed only by professionals directly involved in his care.</w:t>
      </w:r>
    </w:p>
    <w:p w:rsidR="00000000" w:rsidDel="00000000" w:rsidP="00000000" w:rsidRDefault="00000000" w:rsidRPr="00000000" w14:paraId="0000001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Other important principles include data minimisation, which restricts recorded information to what is necessary for care, and accuracy, requiring records to be up to date and correct. Integrity and confidentiality are equally vital, mandating secure storage of records and protection against unauthorised access. Healthcare organisations often implement secure electronic systems and follow professional guidelines to uphold these standards.</w:t>
      </w:r>
    </w:p>
    <w:p w:rsidR="00000000" w:rsidDel="00000000" w:rsidP="00000000" w:rsidRDefault="00000000" w:rsidRPr="00000000" w14:paraId="00000017">
      <w:pPr>
        <w:spacing w:after="280" w:before="280" w:line="360" w:lineRule="auto"/>
        <w:jc w:val="both"/>
        <w:rPr>
          <w:rFonts w:ascii="Arial" w:cs="Arial" w:eastAsia="Arial" w:hAnsi="Arial"/>
        </w:rPr>
      </w:pPr>
      <w:r w:rsidDel="00000000" w:rsidR="00000000" w:rsidRPr="00000000">
        <w:rPr>
          <w:rFonts w:ascii="Arial" w:cs="Arial" w:eastAsia="Arial" w:hAnsi="Arial"/>
        </w:rPr>
        <w:drawing>
          <wp:inline distB="0" distT="0" distL="0" distR="0">
            <wp:extent cx="5943600" cy="2279894"/>
            <wp:effectExtent b="0" l="0" r="0" t="0"/>
            <wp:docPr descr="What Is the Data Protection Act 2018? | Human Focus" id="4" name="image2.jpg"/>
            <a:graphic>
              <a:graphicData uri="http://schemas.openxmlformats.org/drawingml/2006/picture">
                <pic:pic>
                  <pic:nvPicPr>
                    <pic:cNvPr descr="What Is the Data Protection Act 2018? | Human Focus" id="0" name="image2.jpg"/>
                    <pic:cNvPicPr preferRelativeResize="0"/>
                  </pic:nvPicPr>
                  <pic:blipFill>
                    <a:blip r:embed="rId8"/>
                    <a:srcRect b="0" l="0" r="0" t="0"/>
                    <a:stretch>
                      <a:fillRect/>
                    </a:stretch>
                  </pic:blipFill>
                  <pic:spPr>
                    <a:xfrm>
                      <a:off x="0" y="0"/>
                      <a:ext cx="5943600" cy="2279894"/>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                                                       (Human Focus, 2023)</w:t>
      </w:r>
    </w:p>
    <w:p w:rsidR="00000000" w:rsidDel="00000000" w:rsidP="00000000" w:rsidRDefault="00000000" w:rsidRPr="00000000" w14:paraId="00000019">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Mr Ahmed’s care, strong administrative skills ensure safe, coordinated, and high-quality practice. Accurate documentation facilitates effective communication, supports clinical decisions, protects patient information, and enables professionals to respond promptly to incidents. By adhering to legal and professional standards, healthcare providers can maintain patient safety, continuity of care, and overall care quality, reinforcing the importance of effective administrative practice in domiciliary and multidisciplinary settings.</w:t>
      </w:r>
    </w:p>
    <w:p w:rsidR="00000000" w:rsidDel="00000000" w:rsidP="00000000" w:rsidRDefault="00000000" w:rsidRPr="00000000" w14:paraId="0000001A">
      <w:pPr>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Importance of Inter-Professional Collaboration in Mr Ahmed’s Care </w:t>
      </w:r>
    </w:p>
    <w:p w:rsidR="00000000" w:rsidDel="00000000" w:rsidP="00000000" w:rsidRDefault="00000000" w:rsidRPr="00000000" w14:paraId="0000001B">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Inter-professional collaboration is essential for delivering safe, coordinated, and person-centred care. In Mr Ahmed’s case, effective collaboration between the GP, district nurse, domiciliary care workers, and speech and language therapist ensures that his medical, rehabilitation, and daily living needs are addressed in a coordinated manner. Stroke recovery often requires input from multiple professionals, including medical monitoring, rehabilitation therapies, and assistance with everyday activities. Evidence indicates that interdisciplinary teamwork improves patient outcomes and enables healthcare systems to meet the complex needs of stroke patients (Bossy et al., 2024).</w:t>
      </w:r>
    </w:p>
    <w:p w:rsidR="00000000" w:rsidDel="00000000" w:rsidP="00000000" w:rsidRDefault="00000000" w:rsidRPr="00000000" w14:paraId="0000001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Collaboration involves sharing knowledge, coordinating treatment plans, and working towards common patient-centred goals. The GP oversees overall medical management, the district nurse monitors blood pressure and wound care, domiciliary care workers assist with personal care and medication, and the speech and language therapist supports communication and swallowing. Each professional contributes specialised expertise while ensuring care remains consistent and safe. Research shows that effective interprofessional collaboration enhances communication, quality, and safety in healthcare services (Saragih et al., 2024).</w:t>
      </w:r>
    </w:p>
    <w:p w:rsidR="00000000" w:rsidDel="00000000" w:rsidP="00000000" w:rsidRDefault="00000000" w:rsidRPr="00000000" w14:paraId="0000001D">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Several strategies foster effective collaboration. Multidisciplinary team (MDT) meetings allow professionals to review patient progress, share information, clarify responsibilities, and plan future interventions. These meetings support coordinated decision-making and personalised care planning, particularly in rehabilitation settings (Doornebosch, Achterberg and Smaling, 2025).</w:t>
      </w:r>
    </w:p>
    <w:p w:rsidR="00000000" w:rsidDel="00000000" w:rsidP="00000000" w:rsidRDefault="00000000" w:rsidRPr="00000000" w14:paraId="0000001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Challenges to multi-agency working include communication breakdowns, unclear professional roles, and organisational differences. Barriers may arise at organisational, team, and individual levels, including limited understanding of roles and time constraints (Wei et al., 2022). To address these, healthcare organisations should implement clear communication channels, shared care plans, regular meetings, and well-defined professional responsibilities.</w:t>
      </w:r>
    </w:p>
    <w:p w:rsidR="00000000" w:rsidDel="00000000" w:rsidP="00000000" w:rsidRDefault="00000000" w:rsidRPr="00000000" w14:paraId="0000001F">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For Mr Ahmed, effective collaboration ensures timely medication administration, appropriate therapy support, and coordinated monitoring of his health. Overall, inter-professional teamwork enhances patient safety, improves care quality, and promotes positive outcomes for individuals recovering from stroke.</w:t>
      </w:r>
    </w:p>
    <w:p w:rsidR="00000000" w:rsidDel="00000000" w:rsidP="00000000" w:rsidRDefault="00000000" w:rsidRPr="00000000" w14:paraId="00000020">
      <w:pPr>
        <w:tabs>
          <w:tab w:val="left" w:leader="none" w:pos="4120"/>
        </w:tabs>
        <w:spacing w:after="280" w:before="280"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1">
      <w:pPr>
        <w:tabs>
          <w:tab w:val="left" w:leader="none" w:pos="4120"/>
        </w:tabs>
        <w:spacing w:after="280" w:before="28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Conclusion </w:t>
        <w:tab/>
      </w:r>
    </w:p>
    <w:p w:rsidR="00000000" w:rsidDel="00000000" w:rsidP="00000000" w:rsidRDefault="00000000" w:rsidRPr="00000000" w14:paraId="00000022">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In conclusion, effective professional practice in health and social care relies on strong communication, accurate administrative skills and collaborative teamwork among healthcare professionals. In the case of Mr Ahmed, who is recovering from a stroke and receiving domiciliary care support, these elements are essential for ensuring safe and person-centred care. Effective communication enables healthcare professionals to provide clear information about treatment and care plans while also addressing language barriers and communication difficulties following stroke. Applying communication frameworks such as the Shannon–Weaver Communication Model helps professionals identify potential barriers and improve the exchange of information between patients, families and healthcare providers. Strong administrative skills, particularly accurate record keeping and compliance with the Data Protection Act 2018, ensure that patient information is documented securely and shared appropriately. Finally, effective collaboration between professionals such as the GP, district nurse, domiciliary care workers and speech and language therapist supports coordinated care and improves patient outcomes. Together, these practices promote safe, efficient and high-quality healthcare delivery for Mr Ahmed.</w:t>
      </w:r>
    </w:p>
    <w:p w:rsidR="00000000" w:rsidDel="00000000" w:rsidP="00000000" w:rsidRDefault="00000000" w:rsidRPr="00000000" w14:paraId="00000023">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REFERENCES</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Bossy, N.E.M., Khuzaee, B.A.A., Alsolbi, L.A.A., Sindi, K.A., Alrefaee, M.M., Alsbiei, E.F., Aboshaaf, M.Y., Ahmed, A.A., AlQahtani, S.M.S., Almutairi, A.B. and Alharbi, B.O. (2024) The role of interdisciplinary teams in stroke management: combining paramedics, laboratory markers and nursing interventions for faster diagnosis and treatment.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International Crisis and Risk Communication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Doornebosch, A.J., Achterberg, W.P. and Smaling, H.J.A. (2025) Interprofessional collaboration during multidisciplinary team meetings in geriatric rehabilitation: an observational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Geriatrics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25, 213.</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Kagan, A., Simmons-Mackie, N., Villar-Guerrero, E., Chan, M., Turczyn, I. and Bayley, M. (2024) Improving communicative access and patient experience in acute stroke care: An implementation journey.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Communication Disorders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107, 106390. Available at: </w:t>
      </w:r>
      <w:hyperlink r:id="rId9">
        <w:r w:rsidDel="00000000" w:rsidR="00000000" w:rsidRPr="00000000">
          <w:rPr>
            <w:rFonts w:ascii="Arial" w:cs="Arial" w:eastAsia="Arial" w:hAnsi="Arial"/>
            <w:b w:val="0"/>
            <w:bCs w:val="0"/>
            <w:i w:val="0"/>
            <w:iCs w:val="0"/>
            <w:smallCaps w:val="0"/>
            <w:strike w:val="0"/>
            <w:color w:val="0000ff"/>
            <w:sz w:val="22"/>
            <w:szCs w:val="22"/>
            <w:u w:val="single"/>
            <w:shd w:fill="auto" w:val="clear"/>
            <w:vertAlign w:val="baseline"/>
            <w:rtl w:val="0"/>
          </w:rPr>
          <w:t xml:space="preserve">https://pubmed.ncbi.nlm.nih.gov/38103420/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Khwaji, K.I., Khwaji, M.I., AlRasheedi, A.M., AlEnazi, S.M., Alenezi, H.M.S., AlHazmi, S.H.B., AlSheiman, N.K. and AlShammari, D.B.R. (2024) The impact of nursing documentation on medical record accuracy and patient outcomes.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Neurourology Journal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Mansuroğlu, S. and Şahinkayası, Y. (2025) Evaluation of nurse-patient language barrier issues: A qualitative study on the views of psychiatric clinic nurses.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Evaluation in Clinical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10">
        <w:r w:rsidDel="00000000" w:rsidR="00000000" w:rsidRPr="00000000">
          <w:rPr>
            <w:rFonts w:ascii="Arial" w:cs="Arial" w:eastAsia="Arial" w:hAnsi="Arial"/>
            <w:b w:val="0"/>
            <w:bCs w:val="0"/>
            <w:i w:val="0"/>
            <w:iCs w:val="0"/>
            <w:smallCaps w:val="0"/>
            <w:strike w:val="0"/>
            <w:color w:val="0000ff"/>
            <w:sz w:val="22"/>
            <w:szCs w:val="22"/>
            <w:u w:val="single"/>
            <w:shd w:fill="auto" w:val="clear"/>
            <w:vertAlign w:val="baseline"/>
            <w:rtl w:val="0"/>
          </w:rPr>
          <w:t xml:space="preserve">https://pubmed.ncbi.nlm.nih.gov/41398918/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Nkoane, N.L. (2023) Experiences of operational managers regarding record keeping by new professional nurses in public hospitals in the North West province, South Africa.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 SA Gesondheid</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28, 2257. Available at: </w:t>
      </w:r>
      <w:hyperlink r:id="rId11">
        <w:r w:rsidDel="00000000" w:rsidR="00000000" w:rsidRPr="00000000">
          <w:rPr>
            <w:rFonts w:ascii="Arial" w:cs="Arial" w:eastAsia="Arial" w:hAnsi="Arial"/>
            <w:b w:val="0"/>
            <w:bCs w:val="0"/>
            <w:i w:val="0"/>
            <w:iCs w:val="0"/>
            <w:smallCaps w:val="0"/>
            <w:strike w:val="0"/>
            <w:color w:val="0000ff"/>
            <w:sz w:val="22"/>
            <w:szCs w:val="22"/>
            <w:u w:val="single"/>
            <w:shd w:fill="auto" w:val="clear"/>
            <w:vertAlign w:val="baseline"/>
            <w:rtl w:val="0"/>
          </w:rPr>
          <w:t xml:space="preserve">https://pubmed.ncbi.nlm.nih.gov/37670752/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Saragih, I.D., Hsiao, C.T., Fann, W.C., Hsu, C.M., Saragih, I.S. and Lee, B.O. (2024) Impacts of interprofessional education on collaborative practice of healthcare professionals: a systematic review and meta-analysis.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Nurse Education Today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136, 106136.</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Wei, H., Horns, P., Sears, S.F., Huang, K., Smith, C.M. and Wei, T.L. (2022) A systematic meta-review of systematic reviews about interprofessional collaboration: facilitators, barriers and outcomes.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Interprofessional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36(5), pp.735-749.</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Zingelman, T., et al. (2023) Is communication key in stroke rehabilitation and recovery? National linked stroke data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Speech-Language Pathology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12">
        <w:r w:rsidDel="00000000" w:rsidR="00000000" w:rsidRPr="00000000">
          <w:rPr>
            <w:rFonts w:ascii="Arial" w:cs="Arial" w:eastAsia="Arial" w:hAnsi="Arial"/>
            <w:b w:val="0"/>
            <w:bCs w:val="0"/>
            <w:i w:val="0"/>
            <w:iCs w:val="0"/>
            <w:smallCaps w:val="0"/>
            <w:strike w:val="0"/>
            <w:color w:val="0000ff"/>
            <w:sz w:val="22"/>
            <w:szCs w:val="22"/>
            <w:u w:val="single"/>
            <w:shd w:fill="auto" w:val="clear"/>
            <w:vertAlign w:val="baseline"/>
            <w:rtl w:val="0"/>
          </w:rPr>
          <w:t xml:space="preserve">https://pubmed.ncbi.nlm.nih.gov/37965905/</w:t>
        </w:r>
      </w:hyperlink>
      <w:r w:rsidDel="00000000" w:rsidR="00000000" w:rsidRPr="00000000">
        <w:rPr>
          <w:rtl w:val="0"/>
        </w:rPr>
      </w:r>
    </w:p>
    <w:sectPr>
      <w:headerReference r:id="rId13" w:type="default"/>
      <w:foot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8A0BDB"/>
    <w:pPr>
      <w:tabs>
        <w:tab w:val="center" w:pos="4680"/>
        <w:tab w:val="right" w:pos="9360"/>
      </w:tabs>
      <w:spacing w:after="0" w:line="240" w:lineRule="auto"/>
    </w:pPr>
  </w:style>
  <w:style w:type="character" w:styleId="HeaderChar" w:customStyle="1">
    <w:name w:val="Header Char"/>
    <w:basedOn w:val="DefaultParagraphFont"/>
    <w:link w:val="Header"/>
    <w:uiPriority w:val="99"/>
    <w:rsid w:val="008A0BDB"/>
  </w:style>
  <w:style w:type="paragraph" w:styleId="Footer">
    <w:name w:val="footer"/>
    <w:basedOn w:val="Normal"/>
    <w:link w:val="FooterChar"/>
    <w:uiPriority w:val="99"/>
    <w:unhideWhenUsed w:val="1"/>
    <w:rsid w:val="008A0BDB"/>
    <w:pPr>
      <w:tabs>
        <w:tab w:val="center" w:pos="4680"/>
        <w:tab w:val="right" w:pos="9360"/>
      </w:tabs>
      <w:spacing w:after="0" w:line="240" w:lineRule="auto"/>
    </w:pPr>
  </w:style>
  <w:style w:type="character" w:styleId="FooterChar" w:customStyle="1">
    <w:name w:val="Footer Char"/>
    <w:basedOn w:val="DefaultParagraphFont"/>
    <w:link w:val="Footer"/>
    <w:uiPriority w:val="99"/>
    <w:rsid w:val="008A0BDB"/>
  </w:style>
  <w:style w:type="table" w:styleId="TableGrid1" w:customStyle="1">
    <w:name w:val="Table Grid1"/>
    <w:basedOn w:val="TableNormal"/>
    <w:next w:val="TableGrid"/>
    <w:uiPriority w:val="39"/>
    <w:rsid w:val="00B2597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TableGrid">
    <w:name w:val="Table Grid"/>
    <w:basedOn w:val="TableNormal"/>
    <w:uiPriority w:val="39"/>
    <w:rsid w:val="00B2597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NormalWeb">
    <w:name w:val="Normal (Web)"/>
    <w:basedOn w:val="Normal"/>
    <w:uiPriority w:val="99"/>
    <w:semiHidden w:val="1"/>
    <w:unhideWhenUsed w:val="1"/>
    <w:rsid w:val="0057692A"/>
    <w:pPr>
      <w:spacing w:after="100" w:afterAutospacing="1" w:before="100" w:beforeAutospacing="1" w:line="240" w:lineRule="auto"/>
    </w:pPr>
    <w:rPr>
      <w:rFonts w:ascii="Times New Roman" w:cs="Times New Roman" w:eastAsia="Times New Roman" w:hAnsi="Times New Roman"/>
      <w:sz w:val="24"/>
      <w:szCs w:val="24"/>
    </w:rPr>
  </w:style>
  <w:style w:type="character" w:styleId="Emphasis">
    <w:name w:val="Emphasis"/>
    <w:basedOn w:val="DefaultParagraphFont"/>
    <w:uiPriority w:val="20"/>
    <w:qFormat w:val="1"/>
    <w:rsid w:val="0057692A"/>
    <w:rPr>
      <w:i w:val="1"/>
      <w:iCs w:val="1"/>
    </w:rPr>
  </w:style>
  <w:style w:type="character" w:styleId="Hyperlink">
    <w:name w:val="Hyperlink"/>
    <w:basedOn w:val="DefaultParagraphFont"/>
    <w:uiPriority w:val="99"/>
    <w:semiHidden w:val="1"/>
    <w:unhideWhenUsed w:val="1"/>
    <w:rsid w:val="0057692A"/>
    <w:rPr>
      <w:color w:val="0000ff"/>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pubmed.ncbi.nlm.nih.gov/37670752/?utm_source=chatgpt.com" TargetMode="External"/><Relationship Id="rId10" Type="http://schemas.openxmlformats.org/officeDocument/2006/relationships/hyperlink" Target="https://pubmed.ncbi.nlm.nih.gov/41398918/" TargetMode="External"/><Relationship Id="rId13" Type="http://schemas.openxmlformats.org/officeDocument/2006/relationships/header" Target="header1.xml"/><Relationship Id="rId12" Type="http://schemas.openxmlformats.org/officeDocument/2006/relationships/hyperlink" Target="https://pubmed.ncbi.nlm.nih.gov/37965905/?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med.ncbi.nlm.nih.gov/38103420/"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6apTe8N1i2pyxsYR2cFD/OY9rRw==">CgMxLjA4AHIhMVNDdktNZjU5M1MtLU1zUlVuNjJ2N0JlTy16dFBMMHkt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2026-03-07T17:30:00Z</dcterms:created>
  <dc:creator>Zuhra Asghar</dc:creator>
</cp:coreProperties>
</file>