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B11E19B" w:rsidP="6B11E19B" w:rsidRDefault="6B11E19B" w14:paraId="302C09A3" w14:textId="6A94D0BF">
      <w:pPr>
        <w:spacing w:line="360" w:lineRule="auto"/>
      </w:pPr>
      <w:r>
        <w:br/>
      </w:r>
    </w:p>
    <w:p w:rsidR="6B11E19B" w:rsidP="6B11E19B" w:rsidRDefault="6B11E19B" w14:paraId="066B62A4" w14:textId="4032FEFC">
      <w:pPr>
        <w:spacing w:line="360" w:lineRule="auto"/>
        <w:jc w:val="center"/>
        <w:rPr>
          <w:rFonts w:ascii="Arial" w:hAnsi="Arial" w:eastAsia="Arial" w:cs="Arial"/>
          <w:noProof w:val="0"/>
          <w:sz w:val="32"/>
          <w:szCs w:val="32"/>
          <w:lang w:val="en-GB"/>
        </w:rPr>
      </w:pPr>
      <w:r w:rsidRPr="6B11E19B" w:rsidR="6B11E19B">
        <w:rPr>
          <w:rFonts w:ascii="Arial" w:hAnsi="Arial" w:eastAsia="Arial" w:cs="Arial"/>
          <w:noProof w:val="0"/>
          <w:sz w:val="32"/>
          <w:szCs w:val="32"/>
          <w:lang w:val="en-GB"/>
        </w:rPr>
        <w:t>Student number: 1905461</w:t>
      </w:r>
    </w:p>
    <w:p w:rsidR="6B11E19B" w:rsidP="6B11E19B" w:rsidRDefault="6B11E19B" w14:paraId="0A8D7830" w14:textId="536A7279">
      <w:pPr>
        <w:spacing w:line="360" w:lineRule="auto"/>
        <w:jc w:val="center"/>
        <w:rPr>
          <w:rFonts w:ascii="Arial" w:hAnsi="Arial" w:eastAsia="Arial" w:cs="Arial"/>
          <w:noProof w:val="0"/>
          <w:sz w:val="32"/>
          <w:szCs w:val="32"/>
          <w:lang w:val="en-GB"/>
        </w:rPr>
      </w:pPr>
      <w:r w:rsidRPr="6B11E19B" w:rsidR="6B11E19B">
        <w:rPr>
          <w:rFonts w:ascii="Arial" w:hAnsi="Arial" w:eastAsia="Arial" w:cs="Arial"/>
          <w:noProof w:val="0"/>
          <w:sz w:val="32"/>
          <w:szCs w:val="32"/>
          <w:lang w:val="en-GB"/>
        </w:rPr>
        <w:t>Module Code: EAEE4004</w:t>
      </w:r>
    </w:p>
    <w:p w:rsidR="6B11E19B" w:rsidP="6B11E19B" w:rsidRDefault="6B11E19B" w14:paraId="2697491E" w14:textId="7A187FE6">
      <w:pPr>
        <w:spacing w:line="360" w:lineRule="auto"/>
      </w:pPr>
      <w:r>
        <w:br/>
      </w:r>
    </w:p>
    <w:p w:rsidR="6B11E19B" w:rsidP="6B11E19B" w:rsidRDefault="6B11E19B" w14:paraId="54276544" w14:textId="7411985F">
      <w:pPr>
        <w:spacing w:line="360" w:lineRule="auto"/>
        <w:jc w:val="center"/>
      </w:pPr>
      <w:r w:rsidRPr="6B11E19B" w:rsidR="6B11E19B">
        <w:rPr>
          <w:rFonts w:ascii="Arial" w:hAnsi="Arial" w:eastAsia="Arial" w:cs="Arial"/>
          <w:noProof w:val="0"/>
          <w:sz w:val="96"/>
          <w:szCs w:val="96"/>
          <w:lang w:val="en-GB"/>
        </w:rPr>
        <w:t xml:space="preserve">Children’s Play, Principles and Practice. </w:t>
      </w:r>
    </w:p>
    <w:p w:rsidR="6B11E19B" w:rsidP="6B11E19B" w:rsidRDefault="6B11E19B" w14:paraId="63F1A0C0" w14:textId="4CDAE7BB">
      <w:pPr>
        <w:spacing w:line="360" w:lineRule="auto"/>
      </w:pPr>
      <w:r>
        <w:br/>
      </w:r>
      <w:r>
        <w:br/>
      </w:r>
      <w:r>
        <w:br/>
      </w:r>
      <w:r>
        <w:br/>
      </w:r>
    </w:p>
    <w:p w:rsidR="6B11E19B" w:rsidP="6B11E19B" w:rsidRDefault="6B11E19B" w14:paraId="35FC448E" w14:textId="06FE698F">
      <w:pPr>
        <w:pStyle w:val="Normal"/>
        <w:spacing w:line="360" w:lineRule="auto"/>
      </w:pPr>
    </w:p>
    <w:p w:rsidR="6B11E19B" w:rsidP="6B11E19B" w:rsidRDefault="6B11E19B" w14:paraId="52FCC347" w14:textId="1B0F2D2E">
      <w:pPr>
        <w:pStyle w:val="Normal"/>
        <w:spacing w:line="360" w:lineRule="auto"/>
      </w:pPr>
    </w:p>
    <w:p w:rsidR="6B11E19B" w:rsidP="6B11E19B" w:rsidRDefault="6B11E19B" w14:paraId="4A7BB755" w14:textId="28E5493D">
      <w:pPr>
        <w:pStyle w:val="Normal"/>
        <w:spacing w:line="360" w:lineRule="auto"/>
      </w:pPr>
    </w:p>
    <w:p w:rsidR="6B11E19B" w:rsidP="6B11E19B" w:rsidRDefault="6B11E19B" w14:paraId="4DBA3527" w14:textId="1BF7207E">
      <w:pPr>
        <w:pStyle w:val="Normal"/>
        <w:spacing w:line="360" w:lineRule="auto"/>
      </w:pPr>
    </w:p>
    <w:p w:rsidR="6B11E19B" w:rsidP="6B11E19B" w:rsidRDefault="6B11E19B" w14:paraId="5085516E" w14:textId="275701F8">
      <w:pPr>
        <w:pStyle w:val="Normal"/>
        <w:spacing w:line="360" w:lineRule="auto"/>
      </w:pPr>
    </w:p>
    <w:p w:rsidR="6B11E19B" w:rsidP="6B11E19B" w:rsidRDefault="6B11E19B" w14:paraId="17EF3996" w14:textId="1C778E91">
      <w:pPr>
        <w:pStyle w:val="Normal"/>
        <w:spacing w:line="360" w:lineRule="auto"/>
      </w:pPr>
    </w:p>
    <w:p w:rsidR="6B11E19B" w:rsidP="6B11E19B" w:rsidRDefault="6B11E19B" w14:paraId="4412FBF8" w14:textId="1B14D0D3">
      <w:pPr>
        <w:spacing w:line="360" w:lineRule="auto"/>
        <w:rPr>
          <w:rFonts w:ascii="Arial" w:hAnsi="Arial" w:eastAsia="Arial" w:cs="Arial"/>
          <w:noProof w:val="0"/>
          <w:sz w:val="28"/>
          <w:szCs w:val="28"/>
          <w:lang w:val="en-GB"/>
        </w:rPr>
      </w:pPr>
    </w:p>
    <w:p w:rsidR="6B11E19B" w:rsidP="6B11E19B" w:rsidRDefault="6B11E19B" w14:paraId="55A99C0A" w14:textId="4E0D8C6C">
      <w:pPr>
        <w:spacing w:line="360" w:lineRule="auto"/>
      </w:pPr>
      <w:r w:rsidRPr="6B11E19B" w:rsidR="6B11E19B">
        <w:rPr>
          <w:rFonts w:ascii="Arial" w:hAnsi="Arial" w:eastAsia="Arial" w:cs="Arial"/>
          <w:noProof w:val="0"/>
          <w:sz w:val="28"/>
          <w:szCs w:val="28"/>
          <w:lang w:val="en-GB"/>
        </w:rPr>
        <w:t xml:space="preserve">Section 1: </w:t>
      </w:r>
    </w:p>
    <w:p w:rsidR="6B11E19B" w:rsidP="6B11E19B" w:rsidRDefault="6B11E19B" w14:paraId="749CE9FF" w14:textId="12D292A2">
      <w:pPr>
        <w:spacing w:line="360" w:lineRule="auto"/>
      </w:pPr>
      <w:r w:rsidRPr="6B11E19B" w:rsidR="6B11E19B">
        <w:rPr>
          <w:rFonts w:ascii="Arial" w:hAnsi="Arial" w:eastAsia="Arial" w:cs="Arial"/>
          <w:noProof w:val="0"/>
          <w:sz w:val="60"/>
          <w:szCs w:val="60"/>
          <w:lang w:val="en-GB"/>
        </w:rPr>
        <w:t>Types of play</w:t>
      </w:r>
    </w:p>
    <w:p w:rsidR="6B11E19B" w:rsidP="6B11E19B" w:rsidRDefault="6B11E19B" w14:paraId="22DA73FF" w14:textId="4AC4AB23">
      <w:pPr>
        <w:spacing w:line="360" w:lineRule="auto"/>
      </w:pPr>
      <w:r w:rsidRPr="6B11E19B" w:rsidR="6B11E19B">
        <w:rPr>
          <w:rFonts w:ascii="Arial" w:hAnsi="Arial" w:eastAsia="Arial" w:cs="Arial"/>
          <w:noProof w:val="0"/>
          <w:sz w:val="24"/>
          <w:szCs w:val="24"/>
          <w:lang w:val="en-GB"/>
        </w:rPr>
        <w:t xml:space="preserve">Stuart Brown states that play “doesn’t have a particular purpose and that’s what’s great about play. If its purpose is more important than the act of doing it, it’s probably not play.” (Brown, 2008) </w:t>
      </w:r>
    </w:p>
    <w:p w:rsidR="6B11E19B" w:rsidP="6B11E19B" w:rsidRDefault="6B11E19B" w14:paraId="3326BE16" w14:textId="6B94D8E3">
      <w:pPr>
        <w:spacing w:line="360" w:lineRule="auto"/>
      </w:pPr>
      <w:r w:rsidRPr="6B11E19B" w:rsidR="6B11E19B">
        <w:rPr>
          <w:rFonts w:ascii="Arial" w:hAnsi="Arial" w:eastAsia="Arial" w:cs="Arial"/>
          <w:noProof w:val="0"/>
          <w:sz w:val="36"/>
          <w:szCs w:val="36"/>
          <w:lang w:val="en-GB"/>
        </w:rPr>
        <w:t>The right to play</w:t>
      </w:r>
    </w:p>
    <w:p w:rsidR="6B11E19B" w:rsidP="6B11E19B" w:rsidRDefault="6B11E19B" w14:paraId="7769EDCF" w14:textId="205FC23B">
      <w:pPr>
        <w:spacing w:line="360" w:lineRule="auto"/>
      </w:pPr>
      <w:r w:rsidRPr="6B11E19B" w:rsidR="6B11E19B">
        <w:rPr>
          <w:rFonts w:ascii="Arial" w:hAnsi="Arial" w:eastAsia="Arial" w:cs="Arial"/>
          <w:noProof w:val="0"/>
          <w:sz w:val="24"/>
          <w:szCs w:val="24"/>
          <w:lang w:val="en-GB"/>
        </w:rPr>
        <w:t xml:space="preserve">Article 31 of the United Nations Convention on the Rights of the Child states that children have the right to play (UNICEF, no date). Wales recognises the rights of the child and the importance of play including the benefits it has on children’s lives and overall development. The Welsh Government have therefore implemented legislation on children’s play to promote the UNCRC making Wales the first nation in the world to do so (Welsh Government, 2014). The rights of the child underpin the ethos of Foundation Phase which is </w:t>
      </w:r>
      <w:proofErr w:type="spellStart"/>
      <w:r w:rsidRPr="6B11E19B" w:rsidR="6B11E19B">
        <w:rPr>
          <w:rFonts w:ascii="Arial" w:hAnsi="Arial" w:eastAsia="Arial" w:cs="Arial"/>
          <w:noProof w:val="0"/>
          <w:sz w:val="24"/>
          <w:szCs w:val="24"/>
          <w:lang w:val="en-GB"/>
        </w:rPr>
        <w:t>centered</w:t>
      </w:r>
      <w:proofErr w:type="spellEnd"/>
      <w:r w:rsidRPr="6B11E19B" w:rsidR="6B11E19B">
        <w:rPr>
          <w:rFonts w:ascii="Arial" w:hAnsi="Arial" w:eastAsia="Arial" w:cs="Arial"/>
          <w:noProof w:val="0"/>
          <w:sz w:val="24"/>
          <w:szCs w:val="24"/>
          <w:lang w:val="en-GB"/>
        </w:rPr>
        <w:t xml:space="preserve"> around play and the child’s holistic development (Welsh Government, 2015). </w:t>
      </w:r>
    </w:p>
    <w:p w:rsidR="6B11E19B" w:rsidP="6B11E19B" w:rsidRDefault="6B11E19B" w14:paraId="47319E6A" w14:textId="4052EE3D">
      <w:pPr>
        <w:spacing w:line="360" w:lineRule="auto"/>
      </w:pPr>
      <w:r w:rsidRPr="6B11E19B" w:rsidR="6B11E19B">
        <w:rPr>
          <w:rFonts w:ascii="Arial" w:hAnsi="Arial" w:eastAsia="Arial" w:cs="Arial"/>
          <w:noProof w:val="0"/>
          <w:sz w:val="36"/>
          <w:szCs w:val="36"/>
          <w:lang w:val="en-GB"/>
        </w:rPr>
        <w:t>Types of play</w:t>
      </w:r>
    </w:p>
    <w:p w:rsidR="6B11E19B" w:rsidP="6B11E19B" w:rsidRDefault="6B11E19B" w14:paraId="221C57BE" w14:textId="48E57724">
      <w:pPr>
        <w:spacing w:line="360" w:lineRule="auto"/>
      </w:pPr>
      <w:r w:rsidRPr="6B11E19B" w:rsidR="6B11E19B">
        <w:rPr>
          <w:rFonts w:ascii="Arial" w:hAnsi="Arial" w:eastAsia="Arial" w:cs="Arial"/>
          <w:noProof w:val="0"/>
          <w:sz w:val="24"/>
          <w:szCs w:val="24"/>
          <w:lang w:val="en-GB"/>
        </w:rPr>
        <w:t xml:space="preserve">When interviewed about his research on play, Michael Sutton-Smith, professor and play theorist, claimed to have found 308 play types (Brown and </w:t>
      </w:r>
      <w:proofErr w:type="spellStart"/>
      <w:r w:rsidRPr="6B11E19B" w:rsidR="6B11E19B">
        <w:rPr>
          <w:rFonts w:ascii="Arial" w:hAnsi="Arial" w:eastAsia="Arial" w:cs="Arial"/>
          <w:noProof w:val="0"/>
          <w:sz w:val="24"/>
          <w:szCs w:val="24"/>
          <w:lang w:val="en-GB"/>
        </w:rPr>
        <w:t>Patte</w:t>
      </w:r>
      <w:proofErr w:type="spellEnd"/>
      <w:r w:rsidRPr="6B11E19B" w:rsidR="6B11E19B">
        <w:rPr>
          <w:rFonts w:ascii="Arial" w:hAnsi="Arial" w:eastAsia="Arial" w:cs="Arial"/>
          <w:noProof w:val="0"/>
          <w:sz w:val="24"/>
          <w:szCs w:val="24"/>
          <w:lang w:val="en-GB"/>
        </w:rPr>
        <w:t>, 2013, p. 16). Play Wales (2017) acknowledge that 308 types of play have been identified, however, play work in the UK typically recognise and use 16 main types of play. One of these 16 types of play, which demonstrates self-directed play, is exploratory play.</w:t>
      </w:r>
    </w:p>
    <w:p w:rsidR="6B11E19B" w:rsidP="6B11E19B" w:rsidRDefault="6B11E19B" w14:paraId="53AC7CFC" w14:textId="753F3EFF">
      <w:pPr>
        <w:spacing w:line="360" w:lineRule="auto"/>
      </w:pPr>
      <w:r w:rsidRPr="6B11E19B" w:rsidR="6B11E19B">
        <w:rPr>
          <w:rFonts w:ascii="Arial" w:hAnsi="Arial" w:eastAsia="Arial" w:cs="Arial"/>
          <w:noProof w:val="0"/>
          <w:sz w:val="36"/>
          <w:szCs w:val="36"/>
          <w:lang w:val="en-GB"/>
        </w:rPr>
        <w:t>Exploratory play</w:t>
      </w:r>
    </w:p>
    <w:p w:rsidR="6B11E19B" w:rsidP="6B11E19B" w:rsidRDefault="6B11E19B" w14:paraId="293E4D77" w14:textId="013C7360">
      <w:pPr>
        <w:spacing w:line="360" w:lineRule="auto"/>
      </w:pPr>
      <w:r w:rsidRPr="6B11E19B" w:rsidR="6B11E19B">
        <w:rPr>
          <w:rFonts w:ascii="Arial" w:hAnsi="Arial" w:eastAsia="Arial" w:cs="Arial"/>
          <w:noProof w:val="0"/>
          <w:sz w:val="24"/>
          <w:szCs w:val="24"/>
          <w:lang w:val="en-GB"/>
        </w:rPr>
        <w:t xml:space="preserve">One of the first forms of play a child encounters is explorative play. It is described as learning about the world through play (NHS Greater Glasgow and Clyde, no date). According to Play Wales (2017) exploratory play teaches children about the effects they have on the environment. Exploratory play is described as “playfully moving through a space to assess its properties, possibilities and content” (Play England, 2015, p. 13). This includes looking inside objects, climbing and searching.  </w:t>
      </w:r>
    </w:p>
    <w:p w:rsidR="6B11E19B" w:rsidP="6B11E19B" w:rsidRDefault="6B11E19B" w14:paraId="500C66CF" w14:textId="2F52A43A">
      <w:pPr>
        <w:spacing w:line="360" w:lineRule="auto"/>
        <w:ind w:firstLine="720"/>
      </w:pPr>
      <w:r w:rsidRPr="6B11E19B" w:rsidR="6B11E19B">
        <w:rPr>
          <w:rFonts w:ascii="Arial" w:hAnsi="Arial" w:eastAsia="Arial" w:cs="Arial"/>
          <w:noProof w:val="0"/>
          <w:sz w:val="24"/>
          <w:szCs w:val="24"/>
          <w:lang w:val="en-GB"/>
        </w:rPr>
        <w:t xml:space="preserve">From four months old, according to Trevarthen (cited by Moyles, 2010, p. 70), babies begin exploratory play and develop their motor skills through exploring items in their environment. Through exploratory play infants can determine how to use an object. Infants then observe others using it in their own way and begin to understand other ways they can use it which indicates that they learn from observing (Moyles, 2010, p. 70). Furthermore, Play Wales (2017) explains that this type of play includes using objects in different ways to learn about cause and effect. Children's natural curiosity can be encouraged through construction toys or small natural objects. This suggests that the role of the adult is to provide resources and opportunities to explore and discover. </w:t>
      </w:r>
    </w:p>
    <w:p w:rsidR="6B11E19B" w:rsidP="6B11E19B" w:rsidRDefault="6B11E19B" w14:paraId="31180FAD" w14:textId="6215C8CA">
      <w:pPr>
        <w:spacing w:line="360" w:lineRule="auto"/>
        <w:ind w:firstLine="720"/>
      </w:pPr>
      <w:r w:rsidRPr="6B11E19B" w:rsidR="6B11E19B">
        <w:rPr>
          <w:rFonts w:ascii="Arial" w:hAnsi="Arial" w:eastAsia="Arial" w:cs="Arial"/>
          <w:noProof w:val="0"/>
          <w:sz w:val="24"/>
          <w:szCs w:val="24"/>
          <w:lang w:val="en-GB"/>
        </w:rPr>
        <w:t xml:space="preserve">As children grow the way they play will become more complex. They will use a range of outdoor facilities. These include natural resources, for example trees, hedges and bushes and manmade structures such as benches or tunnels for exploring (Play Wales, 2017). This would be supported by Moyles (2013) who states playing outdoors is beneficial to children’s physical health and well-being. </w:t>
      </w:r>
    </w:p>
    <w:p w:rsidR="6B11E19B" w:rsidP="6B11E19B" w:rsidRDefault="6B11E19B" w14:paraId="6DB53DF9" w14:textId="0F314067">
      <w:pPr>
        <w:spacing w:line="360" w:lineRule="auto"/>
        <w:ind w:firstLine="720"/>
      </w:pPr>
      <w:r w:rsidRPr="6B11E19B" w:rsidR="6B11E19B">
        <w:rPr>
          <w:rFonts w:ascii="Arial" w:hAnsi="Arial" w:eastAsia="Arial" w:cs="Arial"/>
          <w:noProof w:val="0"/>
          <w:sz w:val="24"/>
          <w:szCs w:val="24"/>
          <w:lang w:val="en-GB"/>
        </w:rPr>
        <w:t>According to Bodrova and Leong (2015, p. 4) Vygotsky did not define play as including physical activities and exploration. Stuart Brown (2008), however, views exploration and physical activities that support the development of gross motor skills such as jumping, rough and tumble and diving as part of play. Locomotor play consists of similar activities including running, climbing, hopping, jumping, cycling and ball games (Play Wales, 2017). The outdoor environment can also provide the physical elements to support the play frame of the play cycle which sees children act out the narrative of the self-directed play (Play England, p. 19). Vygotsky (cited in Moyles, 2010) believed that play helps children to develop their understanding of the world.</w:t>
      </w:r>
    </w:p>
    <w:p w:rsidR="6B11E19B" w:rsidP="6B11E19B" w:rsidRDefault="6B11E19B" w14:paraId="1B58074D" w14:textId="338C9922">
      <w:pPr>
        <w:spacing w:line="360" w:lineRule="auto"/>
      </w:pPr>
      <w:r w:rsidRPr="6B11E19B" w:rsidR="6B11E19B">
        <w:rPr>
          <w:rFonts w:ascii="Arial" w:hAnsi="Arial" w:eastAsia="Arial" w:cs="Arial"/>
          <w:noProof w:val="0"/>
          <w:sz w:val="36"/>
          <w:szCs w:val="36"/>
          <w:lang w:val="en-GB"/>
        </w:rPr>
        <w:t>Forest School and holistic development</w:t>
      </w:r>
    </w:p>
    <w:p w:rsidR="6B11E19B" w:rsidP="6B11E19B" w:rsidRDefault="6B11E19B" w14:paraId="7D850790" w14:textId="3646AAEC">
      <w:pPr>
        <w:spacing w:line="360" w:lineRule="auto"/>
      </w:pPr>
      <w:r w:rsidRPr="6B11E19B" w:rsidR="6B11E19B">
        <w:rPr>
          <w:rFonts w:ascii="Arial" w:hAnsi="Arial" w:eastAsia="Arial" w:cs="Arial"/>
          <w:noProof w:val="0"/>
          <w:sz w:val="24"/>
          <w:szCs w:val="24"/>
          <w:lang w:val="en-GB"/>
        </w:rPr>
        <w:t>Exploratory play can be promoted through Forest School; a programme that uses the outdoor environment inspired by Scandinavian approaches. By exploring the natural environment and the resources it offers children carry out a range of activities that support their holistic development (Stroud School, no date). Play Scotland (no date) states that play is vital to children's holistic development. Play promotes well-being, health, physical, social, emotional and cognitive development as well as quality of life. Sussex Forest School (no date) also list these areas as part of a child’s holistic development but also consider a child in a cultural, spiritual and moral sense. This links to the four core principles of the new Curriculum for Wales, two of which are “ethical, informed citizens of Wales and the world” and “healthy, confident individuals, ready to lead fulfilling lives as valued members of society” (Welsh Government, 2019).</w:t>
      </w:r>
    </w:p>
    <w:p w:rsidR="6B11E19B" w:rsidP="6B11E19B" w:rsidRDefault="6B11E19B" w14:paraId="7BEEF6D8" w14:textId="35672887">
      <w:pPr>
        <w:spacing w:line="360" w:lineRule="auto"/>
      </w:pPr>
      <w:r w:rsidRPr="6B11E19B" w:rsidR="6B11E19B">
        <w:rPr>
          <w:rFonts w:ascii="Arial" w:hAnsi="Arial" w:eastAsia="Arial" w:cs="Arial"/>
          <w:noProof w:val="0"/>
          <w:sz w:val="36"/>
          <w:szCs w:val="36"/>
          <w:lang w:val="en-GB"/>
        </w:rPr>
        <w:t>Play and well-being</w:t>
      </w:r>
    </w:p>
    <w:p w:rsidR="6B11E19B" w:rsidP="6B11E19B" w:rsidRDefault="6B11E19B" w14:paraId="7364D889" w14:textId="1251581C">
      <w:pPr>
        <w:spacing w:line="360" w:lineRule="auto"/>
      </w:pPr>
      <w:r w:rsidRPr="6B11E19B" w:rsidR="6B11E19B">
        <w:rPr>
          <w:rFonts w:ascii="Arial" w:hAnsi="Arial" w:eastAsia="Arial" w:cs="Arial"/>
          <w:noProof w:val="0"/>
          <w:sz w:val="24"/>
          <w:szCs w:val="24"/>
          <w:lang w:val="en-GB"/>
        </w:rPr>
        <w:t xml:space="preserve">In the Netherlands, where there are fewer pressures on children, children are considered some of the happiest in the world. Dutch children are likely to play outdoors without supervision and are encouraged to explore their environment allowing for self-directed play. As part of the Dutch culture it is commonplace for children to cycle to school (Acosta and Hutchison, 2017). The process of learning to cycle and cycling itself could be perceived as locomotor, deep and exploratory play. </w:t>
      </w:r>
    </w:p>
    <w:p w:rsidR="6B11E19B" w:rsidP="6B11E19B" w:rsidRDefault="6B11E19B" w14:paraId="18967FBB" w14:textId="6C97FCE8">
      <w:pPr>
        <w:spacing w:line="360" w:lineRule="auto"/>
        <w:ind w:firstLine="720"/>
      </w:pPr>
      <w:r w:rsidRPr="6B11E19B" w:rsidR="6B11E19B">
        <w:rPr>
          <w:rFonts w:ascii="Arial" w:hAnsi="Arial" w:eastAsia="Arial" w:cs="Arial"/>
          <w:noProof w:val="0"/>
          <w:sz w:val="24"/>
          <w:szCs w:val="24"/>
          <w:lang w:val="en-GB"/>
        </w:rPr>
        <w:t xml:space="preserve">Brown (cited in Wayman, 2013) states that the strain placed on children and teenagers to succeed academically and or at activities they do not enjoy contributes to many negative effects. Moyles (2010, p. 28) argues that due to the demands the educational system places on results children are restricted </w:t>
      </w:r>
      <w:r w:rsidRPr="6B11E19B" w:rsidR="6B11E19B">
        <w:rPr>
          <w:rFonts w:ascii="Arial" w:hAnsi="Arial" w:eastAsia="Arial" w:cs="Arial"/>
          <w:noProof w:val="0"/>
          <w:sz w:val="24"/>
          <w:szCs w:val="24"/>
          <w:lang w:val="en-GB"/>
        </w:rPr>
        <w:t>regarding</w:t>
      </w:r>
      <w:r w:rsidRPr="6B11E19B" w:rsidR="6B11E19B">
        <w:rPr>
          <w:rFonts w:ascii="Arial" w:hAnsi="Arial" w:eastAsia="Arial" w:cs="Arial"/>
          <w:noProof w:val="0"/>
          <w:sz w:val="24"/>
          <w:szCs w:val="24"/>
          <w:lang w:val="en-GB"/>
        </w:rPr>
        <w:t xml:space="preserve"> play opportunities. </w:t>
      </w:r>
    </w:p>
    <w:p w:rsidR="6B11E19B" w:rsidP="6B11E19B" w:rsidRDefault="6B11E19B" w14:paraId="41F480AE" w14:textId="6B2F9BF0">
      <w:pPr>
        <w:spacing w:line="360" w:lineRule="auto"/>
        <w:ind w:firstLine="720"/>
      </w:pPr>
      <w:r w:rsidRPr="6B11E19B" w:rsidR="6B11E19B">
        <w:rPr>
          <w:rFonts w:ascii="Arial" w:hAnsi="Arial" w:eastAsia="Arial" w:cs="Arial"/>
          <w:noProof w:val="0"/>
          <w:sz w:val="24"/>
          <w:szCs w:val="24"/>
          <w:lang w:val="en-GB"/>
        </w:rPr>
        <w:t>Children learn effectively when they enjoy and become engrossed in an activity. These activities are self-directed (Lego Foundation, 2017, p. 23). The benefits of self-directed play include social and physical development and helps concentration (Elkind and Pellegrini, cited in Play England, 2012, p.20). Similarly, Vygotsky believed that “learning is a social process” (cited in Moyles, 2010, p. 219). Pellegrini argues that children's physical development benefits more through play than through planned physical education classes.</w:t>
      </w:r>
    </w:p>
    <w:p w:rsidR="6B11E19B" w:rsidP="6B11E19B" w:rsidRDefault="6B11E19B" w14:paraId="337218D5" w14:textId="533EF7CA">
      <w:pPr>
        <w:spacing w:line="360" w:lineRule="auto"/>
        <w:ind w:firstLine="720"/>
      </w:pPr>
      <w:r w:rsidRPr="6B11E19B" w:rsidR="6B11E19B">
        <w:rPr>
          <w:rFonts w:ascii="Arial" w:hAnsi="Arial" w:eastAsia="Arial" w:cs="Arial"/>
          <w:noProof w:val="0"/>
          <w:sz w:val="24"/>
          <w:szCs w:val="24"/>
          <w:lang w:val="en-GB"/>
        </w:rPr>
        <w:t>Studies show that play in the workplace increases productivity (Brown, cited in Wayman, 2013). Similarly, Stuart Brown (2008) places significant importance on play as studies show the absence of play can have devastating effects on adults. This demonstrates the importance and the impact play has in adulthood as well as through childhood and teenage years. “While the drive to play in adulthood is diminished, it does not disappear” Stuart Brown (cited in Wayman, 2013). The lack of play has profound effects including stress, irritability, depression, and lacking the ability to handle stress.</w:t>
      </w:r>
    </w:p>
    <w:p w:rsidR="6B11E19B" w:rsidP="6B11E19B" w:rsidRDefault="6B11E19B" w14:paraId="4B7D648C" w14:textId="6961AC35">
      <w:pPr>
        <w:spacing w:line="360" w:lineRule="auto"/>
      </w:pPr>
      <w:r w:rsidRPr="6B11E19B" w:rsidR="6B11E19B">
        <w:rPr>
          <w:rFonts w:ascii="Arial" w:hAnsi="Arial" w:eastAsia="Arial" w:cs="Arial"/>
          <w:noProof w:val="0"/>
          <w:sz w:val="36"/>
          <w:szCs w:val="36"/>
          <w:lang w:val="en-GB"/>
        </w:rPr>
        <w:t>The role of the adult</w:t>
      </w:r>
    </w:p>
    <w:p w:rsidR="6B11E19B" w:rsidP="6B11E19B" w:rsidRDefault="6B11E19B" w14:paraId="217BE307" w14:textId="4A7E3F3C">
      <w:pPr>
        <w:spacing w:line="360" w:lineRule="auto"/>
      </w:pPr>
      <w:r w:rsidRPr="6B11E19B" w:rsidR="6B11E19B">
        <w:rPr>
          <w:rFonts w:ascii="Arial" w:hAnsi="Arial" w:eastAsia="Arial" w:cs="Arial"/>
          <w:noProof w:val="0"/>
          <w:sz w:val="24"/>
          <w:szCs w:val="24"/>
          <w:lang w:val="en-GB"/>
        </w:rPr>
        <w:t>When working with children it is vital that adults fully understand play. Adults must endeavour to support play and develop a suitable environment for providing play opportunities where children can play independent of adults. These should present an element of risk and is the role of the adult to assess when it to step in (Play Wales, no date, a). Howard and McInnes (2012) mirror this by stating that, through their understanding of play, practitioners provide opportunities for children to progress in a suitable environment. Practitioners should provide a range of materials to facilitate play including natural materials and loose parts to promote creativity, problem solving and imagination, just to name a few. This supports development in ways that vast amounts of toys do not. Adults should also assess risk (Play Wales, 2013).</w:t>
      </w:r>
      <w:r>
        <w:br/>
      </w:r>
      <w:r>
        <w:br/>
      </w:r>
      <w:r>
        <w:br/>
      </w:r>
      <w:r>
        <w:br/>
      </w:r>
      <w:r>
        <w:br/>
      </w:r>
    </w:p>
    <w:p w:rsidR="6B11E19B" w:rsidP="6B11E19B" w:rsidRDefault="6B11E19B" w14:paraId="7B6E0C8E" w14:textId="13B04765">
      <w:pPr>
        <w:spacing w:line="360" w:lineRule="auto"/>
        <w:rPr>
          <w:rFonts w:ascii="Arial" w:hAnsi="Arial" w:eastAsia="Arial" w:cs="Arial"/>
          <w:noProof w:val="0"/>
          <w:sz w:val="28"/>
          <w:szCs w:val="28"/>
          <w:lang w:val="en-GB"/>
        </w:rPr>
      </w:pPr>
    </w:p>
    <w:p w:rsidR="6B11E19B" w:rsidP="6B11E19B" w:rsidRDefault="6B11E19B" w14:paraId="7C8B0042" w14:textId="6B21797B">
      <w:pPr>
        <w:pStyle w:val="Normal"/>
        <w:spacing w:line="360" w:lineRule="auto"/>
        <w:rPr>
          <w:rFonts w:ascii="Arial" w:hAnsi="Arial" w:eastAsia="Arial" w:cs="Arial"/>
          <w:noProof w:val="0"/>
          <w:sz w:val="28"/>
          <w:szCs w:val="28"/>
          <w:lang w:val="en-GB"/>
        </w:rPr>
      </w:pPr>
    </w:p>
    <w:p w:rsidR="6B11E19B" w:rsidP="6B11E19B" w:rsidRDefault="6B11E19B" w14:paraId="2159D30D" w14:textId="0FDC8A18">
      <w:pPr>
        <w:pStyle w:val="Normal"/>
        <w:spacing w:line="360" w:lineRule="auto"/>
        <w:rPr>
          <w:rFonts w:ascii="Arial" w:hAnsi="Arial" w:eastAsia="Arial" w:cs="Arial"/>
          <w:noProof w:val="0"/>
          <w:sz w:val="28"/>
          <w:szCs w:val="28"/>
          <w:lang w:val="en-GB"/>
        </w:rPr>
      </w:pPr>
    </w:p>
    <w:p w:rsidR="6B11E19B" w:rsidP="6B11E19B" w:rsidRDefault="6B11E19B" w14:paraId="4659A2A9" w14:textId="003D7E5E">
      <w:pPr>
        <w:pStyle w:val="Normal"/>
        <w:spacing w:line="360" w:lineRule="auto"/>
        <w:rPr>
          <w:rFonts w:ascii="Arial" w:hAnsi="Arial" w:eastAsia="Arial" w:cs="Arial"/>
          <w:noProof w:val="0"/>
          <w:sz w:val="28"/>
          <w:szCs w:val="28"/>
          <w:lang w:val="en-GB"/>
        </w:rPr>
      </w:pPr>
    </w:p>
    <w:p w:rsidR="6B11E19B" w:rsidP="6B11E19B" w:rsidRDefault="6B11E19B" w14:paraId="2ED9B65F" w14:textId="1B1C2DAF">
      <w:pPr>
        <w:pStyle w:val="Normal"/>
        <w:spacing w:line="360" w:lineRule="auto"/>
        <w:rPr>
          <w:rFonts w:ascii="Arial" w:hAnsi="Arial" w:eastAsia="Arial" w:cs="Arial"/>
          <w:noProof w:val="0"/>
          <w:sz w:val="28"/>
          <w:szCs w:val="28"/>
          <w:lang w:val="en-GB"/>
        </w:rPr>
      </w:pPr>
    </w:p>
    <w:p w:rsidR="6B11E19B" w:rsidP="6B11E19B" w:rsidRDefault="6B11E19B" w14:paraId="7E33D4E5" w14:textId="06831025">
      <w:pPr>
        <w:pStyle w:val="Normal"/>
        <w:spacing w:line="360" w:lineRule="auto"/>
        <w:rPr>
          <w:rFonts w:ascii="Arial" w:hAnsi="Arial" w:eastAsia="Arial" w:cs="Arial"/>
          <w:noProof w:val="0"/>
          <w:sz w:val="28"/>
          <w:szCs w:val="28"/>
          <w:lang w:val="en-GB"/>
        </w:rPr>
      </w:pPr>
    </w:p>
    <w:p w:rsidR="6B11E19B" w:rsidP="6B11E19B" w:rsidRDefault="6B11E19B" w14:paraId="46D976F6" w14:textId="0F9D5347">
      <w:pPr>
        <w:pStyle w:val="Normal"/>
        <w:spacing w:line="360" w:lineRule="auto"/>
        <w:rPr>
          <w:rFonts w:ascii="Arial" w:hAnsi="Arial" w:eastAsia="Arial" w:cs="Arial"/>
          <w:noProof w:val="0"/>
          <w:sz w:val="28"/>
          <w:szCs w:val="28"/>
          <w:lang w:val="en-GB"/>
        </w:rPr>
      </w:pPr>
    </w:p>
    <w:p w:rsidR="6B11E19B" w:rsidP="6B11E19B" w:rsidRDefault="6B11E19B" w14:paraId="14575F48" w14:textId="434E84A9">
      <w:pPr>
        <w:pStyle w:val="Normal"/>
        <w:spacing w:line="360" w:lineRule="auto"/>
        <w:rPr>
          <w:rFonts w:ascii="Arial" w:hAnsi="Arial" w:eastAsia="Arial" w:cs="Arial"/>
          <w:noProof w:val="0"/>
          <w:sz w:val="28"/>
          <w:szCs w:val="28"/>
          <w:lang w:val="en-GB"/>
        </w:rPr>
      </w:pPr>
    </w:p>
    <w:p w:rsidR="6B11E19B" w:rsidP="6B11E19B" w:rsidRDefault="6B11E19B" w14:paraId="227ECF6E" w14:textId="3663D448">
      <w:pPr>
        <w:spacing w:line="360" w:lineRule="auto"/>
      </w:pPr>
      <w:r w:rsidRPr="6B11E19B" w:rsidR="6B11E19B">
        <w:rPr>
          <w:rFonts w:ascii="Arial" w:hAnsi="Arial" w:eastAsia="Arial" w:cs="Arial"/>
          <w:noProof w:val="0"/>
          <w:sz w:val="28"/>
          <w:szCs w:val="28"/>
          <w:lang w:val="en-GB"/>
        </w:rPr>
        <w:t>Section 2:</w:t>
      </w:r>
    </w:p>
    <w:p w:rsidR="6B11E19B" w:rsidP="6B11E19B" w:rsidRDefault="6B11E19B" w14:paraId="3FBB5095" w14:textId="080BF713">
      <w:pPr>
        <w:spacing w:line="360" w:lineRule="auto"/>
      </w:pPr>
      <w:r w:rsidRPr="6B11E19B" w:rsidR="6B11E19B">
        <w:rPr>
          <w:rFonts w:ascii="Arial" w:hAnsi="Arial" w:eastAsia="Arial" w:cs="Arial"/>
          <w:noProof w:val="0"/>
          <w:sz w:val="60"/>
          <w:szCs w:val="60"/>
          <w:lang w:val="en-GB"/>
        </w:rPr>
        <w:t>Risk</w:t>
      </w:r>
    </w:p>
    <w:p w:rsidR="6B11E19B" w:rsidP="6B11E19B" w:rsidRDefault="6B11E19B" w14:paraId="471E9BB5" w14:textId="50CBAD7D">
      <w:pPr>
        <w:spacing w:line="360" w:lineRule="auto"/>
      </w:pPr>
      <w:r w:rsidRPr="6B11E19B" w:rsidR="6B11E19B">
        <w:rPr>
          <w:rFonts w:ascii="Arial" w:hAnsi="Arial" w:eastAsia="Arial" w:cs="Arial"/>
          <w:noProof w:val="0"/>
          <w:sz w:val="36"/>
          <w:szCs w:val="36"/>
          <w:lang w:val="en-GB"/>
        </w:rPr>
        <w:t>Benefits of risk</w:t>
      </w:r>
    </w:p>
    <w:p w:rsidR="6B11E19B" w:rsidP="6B11E19B" w:rsidRDefault="6B11E19B" w14:paraId="57812114" w14:textId="2668028B">
      <w:pPr>
        <w:spacing w:line="360" w:lineRule="auto"/>
      </w:pPr>
      <w:r w:rsidRPr="6B11E19B" w:rsidR="6B11E19B">
        <w:rPr>
          <w:rFonts w:ascii="Arial" w:hAnsi="Arial" w:eastAsia="Arial" w:cs="Arial"/>
          <w:noProof w:val="0"/>
          <w:sz w:val="24"/>
          <w:szCs w:val="24"/>
          <w:lang w:val="en-GB"/>
        </w:rPr>
        <w:t xml:space="preserve">For children to learn physical acts such as walking, running, climbing, and catching children need to take risks. Children need to be able to use their curiosity to take on challenges where the results are not known for them to progress (Casey, 2010). With risk comes fear and children may become reluctant to participate if they have acquired the same fears as their parents (Play Wales, 2016). </w:t>
      </w:r>
    </w:p>
    <w:p w:rsidR="6B11E19B" w:rsidP="6B11E19B" w:rsidRDefault="6B11E19B" w14:paraId="62845DEA" w14:textId="518875D2">
      <w:pPr>
        <w:spacing w:line="360" w:lineRule="auto"/>
        <w:ind w:firstLine="720"/>
      </w:pPr>
      <w:proofErr w:type="spellStart"/>
      <w:r w:rsidRPr="6B11E19B" w:rsidR="6B11E19B">
        <w:rPr>
          <w:rFonts w:ascii="Arial" w:hAnsi="Arial" w:eastAsia="Arial" w:cs="Arial"/>
          <w:noProof w:val="0"/>
          <w:sz w:val="24"/>
          <w:szCs w:val="24"/>
          <w:lang w:val="en-GB"/>
        </w:rPr>
        <w:t>Bazely</w:t>
      </w:r>
      <w:proofErr w:type="spellEnd"/>
      <w:r w:rsidRPr="6B11E19B" w:rsidR="6B11E19B">
        <w:rPr>
          <w:rFonts w:ascii="Arial" w:hAnsi="Arial" w:eastAsia="Arial" w:cs="Arial"/>
          <w:noProof w:val="0"/>
          <w:sz w:val="24"/>
          <w:szCs w:val="24"/>
          <w:lang w:val="en-GB"/>
        </w:rPr>
        <w:t xml:space="preserve"> (2018) stresses that children who experience low level risk are less likely to seek excitement through accomplishing something that carries a higher risk. Also, children not only learn about consequences but gain a range of skills and develop physically and emotionally (Play Wales, no date). However, results from a study about risky play and injury showed that children refrained from participating in activities that previously resulted in them suffering an injury such as a fracture (Gyllencreutz, L. et al., 2018). It is imperative that people can identify hazards and respond appropriately. Therefore, it would be damaging to remove every hazard although it is still important to make sensible judgements regarding potential hazards (Play Safety Forum, 2012).  </w:t>
      </w:r>
    </w:p>
    <w:p w:rsidR="6B11E19B" w:rsidP="6B11E19B" w:rsidRDefault="6B11E19B" w14:paraId="4E4F9DB9" w14:textId="2093B320">
      <w:pPr>
        <w:spacing w:line="360" w:lineRule="auto"/>
      </w:pPr>
      <w:r w:rsidRPr="6B11E19B" w:rsidR="6B11E19B">
        <w:rPr>
          <w:rFonts w:ascii="Arial" w:hAnsi="Arial" w:eastAsia="Arial" w:cs="Arial"/>
          <w:noProof w:val="0"/>
          <w:sz w:val="36"/>
          <w:szCs w:val="36"/>
          <w:lang w:val="en-GB"/>
        </w:rPr>
        <w:t>Risky play</w:t>
      </w:r>
    </w:p>
    <w:p w:rsidR="6B11E19B" w:rsidP="6B11E19B" w:rsidRDefault="6B11E19B" w14:paraId="0E7C284A" w14:textId="6D89B29C">
      <w:pPr>
        <w:spacing w:line="360" w:lineRule="auto"/>
      </w:pPr>
      <w:r w:rsidRPr="6B11E19B" w:rsidR="6B11E19B">
        <w:rPr>
          <w:rFonts w:ascii="Arial" w:hAnsi="Arial" w:eastAsia="Arial" w:cs="Arial"/>
          <w:noProof w:val="0"/>
          <w:sz w:val="24"/>
          <w:szCs w:val="24"/>
          <w:lang w:val="en-GB"/>
        </w:rPr>
        <w:t xml:space="preserve">Risky play could be considered as learning about risk through, for example, climbing trees, jumping over or off something and balancing, known as deep play (Play Wales, 2017). In a video featuring Pedagogue Johan </w:t>
      </w:r>
      <w:proofErr w:type="spellStart"/>
      <w:r w:rsidRPr="6B11E19B" w:rsidR="6B11E19B">
        <w:rPr>
          <w:rFonts w:ascii="Arial" w:hAnsi="Arial" w:eastAsia="Arial" w:cs="Arial"/>
          <w:noProof w:val="0"/>
          <w:sz w:val="24"/>
          <w:szCs w:val="24"/>
          <w:lang w:val="en-GB"/>
        </w:rPr>
        <w:t>Laigaard’s</w:t>
      </w:r>
      <w:proofErr w:type="spellEnd"/>
      <w:r w:rsidRPr="6B11E19B" w:rsidR="6B11E19B">
        <w:rPr>
          <w:rFonts w:ascii="Arial" w:hAnsi="Arial" w:eastAsia="Arial" w:cs="Arial"/>
          <w:noProof w:val="0"/>
          <w:sz w:val="24"/>
          <w:szCs w:val="24"/>
          <w:lang w:val="en-GB"/>
        </w:rPr>
        <w:t xml:space="preserve"> forest kindergarten in Denmark children climb trees of significant height. Outdoor education specialist Jane Williams-Siegfredsen, who works at the kindergarten, explains that climbing trees helps children develop their balance skills. When using knives for whittling Williams-Siegfredson stated that because the young children were taught how to use knives safely there is little risk. Pedagogue Johan Laigaard states that children “learn to be careful” and that children learn through minor accidents. Williams-Siegfredsen describes the benefits of forest kindergarten as developing physical skills that would not be developed as well indoors. Also, concentration and motor skills increase, and levels of stress lessen suggesting effective holistic development (Roberts and De Jong, 2016). Moyles (2010) describes forest school as being </w:t>
      </w:r>
      <w:proofErr w:type="gramStart"/>
      <w:r w:rsidRPr="6B11E19B" w:rsidR="6B11E19B">
        <w:rPr>
          <w:rFonts w:ascii="Arial" w:hAnsi="Arial" w:eastAsia="Arial" w:cs="Arial"/>
          <w:noProof w:val="0"/>
          <w:sz w:val="24"/>
          <w:szCs w:val="24"/>
          <w:lang w:val="en-GB"/>
        </w:rPr>
        <w:t>similar to</w:t>
      </w:r>
      <w:proofErr w:type="gramEnd"/>
      <w:r w:rsidRPr="6B11E19B" w:rsidR="6B11E19B">
        <w:rPr>
          <w:rFonts w:ascii="Arial" w:hAnsi="Arial" w:eastAsia="Arial" w:cs="Arial"/>
          <w:noProof w:val="0"/>
          <w:sz w:val="24"/>
          <w:szCs w:val="24"/>
          <w:lang w:val="en-GB"/>
        </w:rPr>
        <w:t xml:space="preserve"> the Reggio Emilia approach because it is led by the interests of the child. </w:t>
      </w:r>
    </w:p>
    <w:p w:rsidR="6B11E19B" w:rsidP="6B11E19B" w:rsidRDefault="6B11E19B" w14:paraId="784EE2DF" w14:textId="20570307">
      <w:pPr>
        <w:spacing w:line="360" w:lineRule="auto"/>
      </w:pPr>
      <w:r w:rsidRPr="6B11E19B" w:rsidR="6B11E19B">
        <w:rPr>
          <w:rFonts w:ascii="Arial" w:hAnsi="Arial" w:eastAsia="Arial" w:cs="Arial"/>
          <w:noProof w:val="0"/>
          <w:sz w:val="36"/>
          <w:szCs w:val="36"/>
          <w:lang w:val="en-GB"/>
        </w:rPr>
        <w:t>The role of the adult</w:t>
      </w:r>
    </w:p>
    <w:p w:rsidR="6B11E19B" w:rsidP="6B11E19B" w:rsidRDefault="6B11E19B" w14:paraId="7051C92A" w14:textId="700557F5">
      <w:pPr>
        <w:spacing w:line="360" w:lineRule="auto"/>
      </w:pPr>
      <w:r w:rsidRPr="6B11E19B" w:rsidR="6B11E19B">
        <w:rPr>
          <w:rFonts w:ascii="Arial" w:hAnsi="Arial" w:eastAsia="Arial" w:cs="Arial"/>
          <w:noProof w:val="0"/>
          <w:sz w:val="24"/>
          <w:szCs w:val="24"/>
          <w:lang w:val="en-GB"/>
        </w:rPr>
        <w:t xml:space="preserve">In modern society there is an unhealthy attitude towards risk therefore those working with children are wary of being accountable for incidents that may occur. The importance placed on play has therefore decreased and is now viewed as being a treat rather than a necessity (Brown and </w:t>
      </w:r>
      <w:proofErr w:type="spellStart"/>
      <w:r w:rsidRPr="6B11E19B" w:rsidR="6B11E19B">
        <w:rPr>
          <w:rFonts w:ascii="Arial" w:hAnsi="Arial" w:eastAsia="Arial" w:cs="Arial"/>
          <w:noProof w:val="0"/>
          <w:sz w:val="24"/>
          <w:szCs w:val="24"/>
          <w:lang w:val="en-GB"/>
        </w:rPr>
        <w:t>Patte</w:t>
      </w:r>
      <w:proofErr w:type="spellEnd"/>
      <w:r w:rsidRPr="6B11E19B" w:rsidR="6B11E19B">
        <w:rPr>
          <w:rFonts w:ascii="Arial" w:hAnsi="Arial" w:eastAsia="Arial" w:cs="Arial"/>
          <w:noProof w:val="0"/>
          <w:sz w:val="24"/>
          <w:szCs w:val="24"/>
          <w:lang w:val="en-GB"/>
        </w:rPr>
        <w:t>, 2012, p. 10).</w:t>
      </w:r>
    </w:p>
    <w:p w:rsidR="6B11E19B" w:rsidP="6B11E19B" w:rsidRDefault="6B11E19B" w14:paraId="497BC7A3" w14:textId="32F3FEAC">
      <w:pPr>
        <w:spacing w:line="360" w:lineRule="auto"/>
        <w:ind w:firstLine="720"/>
      </w:pPr>
      <w:r w:rsidRPr="6B11E19B" w:rsidR="6B11E19B">
        <w:rPr>
          <w:rFonts w:ascii="Arial" w:hAnsi="Arial" w:eastAsia="Arial" w:cs="Arial"/>
          <w:noProof w:val="0"/>
          <w:sz w:val="24"/>
          <w:szCs w:val="24"/>
          <w:lang w:val="en-GB"/>
        </w:rPr>
        <w:t xml:space="preserve">Despite this, adults should provide children with adventurous and stimulating play opportunities whilst keeping them protected against serious harm (Ball, Gill and </w:t>
      </w:r>
      <w:proofErr w:type="spellStart"/>
      <w:r w:rsidRPr="6B11E19B" w:rsidR="6B11E19B">
        <w:rPr>
          <w:rFonts w:ascii="Arial" w:hAnsi="Arial" w:eastAsia="Arial" w:cs="Arial"/>
          <w:noProof w:val="0"/>
          <w:sz w:val="24"/>
          <w:szCs w:val="24"/>
          <w:lang w:val="en-GB"/>
        </w:rPr>
        <w:t>Spiegal</w:t>
      </w:r>
      <w:proofErr w:type="spellEnd"/>
      <w:r w:rsidRPr="6B11E19B" w:rsidR="6B11E19B">
        <w:rPr>
          <w:rFonts w:ascii="Arial" w:hAnsi="Arial" w:eastAsia="Arial" w:cs="Arial"/>
          <w:noProof w:val="0"/>
          <w:sz w:val="24"/>
          <w:szCs w:val="24"/>
          <w:lang w:val="en-GB"/>
        </w:rPr>
        <w:t>, no date, p.16).  Whilst providing opportunities to experience elements of risk taking the adult acts as a support to manage possible dangers allowing children to take risks at a level and pace that they are comfortable with (Play Wales, no date).</w:t>
      </w:r>
    </w:p>
    <w:p w:rsidR="6B11E19B" w:rsidP="6B11E19B" w:rsidRDefault="6B11E19B" w14:paraId="243BBBAF" w14:textId="4886A699">
      <w:pPr>
        <w:spacing w:line="360" w:lineRule="auto"/>
      </w:pPr>
      <w:r w:rsidRPr="6B11E19B" w:rsidR="6B11E19B">
        <w:rPr>
          <w:rFonts w:ascii="Arial" w:hAnsi="Arial" w:eastAsia="Arial" w:cs="Arial"/>
          <w:noProof w:val="0"/>
          <w:sz w:val="36"/>
          <w:szCs w:val="36"/>
          <w:lang w:val="en-GB"/>
        </w:rPr>
        <w:t>Risk assessments</w:t>
      </w:r>
    </w:p>
    <w:p w:rsidR="6B11E19B" w:rsidP="6B11E19B" w:rsidRDefault="6B11E19B" w14:paraId="09E3A6D3" w14:textId="0872F3B8">
      <w:pPr>
        <w:spacing w:line="360" w:lineRule="auto"/>
      </w:pPr>
      <w:r w:rsidRPr="6B11E19B" w:rsidR="6B11E19B">
        <w:rPr>
          <w:rFonts w:ascii="Arial" w:hAnsi="Arial" w:eastAsia="Arial" w:cs="Arial"/>
          <w:noProof w:val="0"/>
          <w:sz w:val="24"/>
          <w:szCs w:val="24"/>
          <w:lang w:val="en-GB"/>
        </w:rPr>
        <w:t>Play Wales (2016) describes the</w:t>
      </w:r>
      <w:r w:rsidRPr="6B11E19B" w:rsidR="6B11E19B">
        <w:rPr>
          <w:rFonts w:ascii="Arial" w:hAnsi="Arial" w:eastAsia="Arial" w:cs="Arial"/>
          <w:noProof w:val="0"/>
          <w:color w:val="FF0000"/>
          <w:sz w:val="24"/>
          <w:szCs w:val="24"/>
          <w:lang w:val="en-GB"/>
        </w:rPr>
        <w:t xml:space="preserve"> </w:t>
      </w:r>
      <w:r w:rsidRPr="6B11E19B" w:rsidR="6B11E19B">
        <w:rPr>
          <w:rFonts w:ascii="Arial" w:hAnsi="Arial" w:eastAsia="Arial" w:cs="Arial"/>
          <w:noProof w:val="0"/>
          <w:sz w:val="24"/>
          <w:szCs w:val="24"/>
          <w:lang w:val="en-GB"/>
        </w:rPr>
        <w:t>ABC model to risk assessing as considering the following:</w:t>
      </w:r>
    </w:p>
    <w:p w:rsidR="6B11E19B" w:rsidP="6B11E19B" w:rsidRDefault="6B11E19B" w14:paraId="4F5CF7F2" w14:textId="5A7C0253">
      <w:pPr>
        <w:spacing w:line="360" w:lineRule="auto"/>
      </w:pPr>
      <w:r w:rsidRPr="6B11E19B" w:rsidR="6B11E19B">
        <w:rPr>
          <w:rFonts w:ascii="Arial" w:hAnsi="Arial" w:eastAsia="Arial" w:cs="Arial"/>
          <w:noProof w:val="0"/>
          <w:sz w:val="24"/>
          <w:szCs w:val="24"/>
          <w:lang w:val="en-GB"/>
        </w:rPr>
        <w:t>Actions that carry the risk of resulting in personal injury.</w:t>
      </w:r>
    </w:p>
    <w:p w:rsidR="6B11E19B" w:rsidP="6B11E19B" w:rsidRDefault="6B11E19B" w14:paraId="19B0C174" w14:textId="2945683B">
      <w:pPr>
        <w:spacing w:line="360" w:lineRule="auto"/>
      </w:pPr>
      <w:r w:rsidRPr="6B11E19B" w:rsidR="6B11E19B">
        <w:rPr>
          <w:rFonts w:ascii="Arial" w:hAnsi="Arial" w:eastAsia="Arial" w:cs="Arial"/>
          <w:noProof w:val="0"/>
          <w:sz w:val="24"/>
          <w:szCs w:val="24"/>
          <w:lang w:val="en-GB"/>
        </w:rPr>
        <w:t>Behaviour that children display to express their emotions which may pose risk.</w:t>
      </w:r>
    </w:p>
    <w:p w:rsidR="6B11E19B" w:rsidP="6B11E19B" w:rsidRDefault="6B11E19B" w14:paraId="7EEA2821" w14:textId="2B2E554B">
      <w:pPr>
        <w:spacing w:line="360" w:lineRule="auto"/>
      </w:pPr>
      <w:r w:rsidRPr="6B11E19B" w:rsidR="6B11E19B">
        <w:rPr>
          <w:rFonts w:ascii="Arial" w:hAnsi="Arial" w:eastAsia="Arial" w:cs="Arial"/>
          <w:noProof w:val="0"/>
          <w:sz w:val="24"/>
          <w:szCs w:val="24"/>
          <w:lang w:val="en-GB"/>
        </w:rPr>
        <w:t>Context - the influences that affect the level of risk for example, the number of children, the environment and weather conditions. This model of risk assessment requires the professional judgement of staff who consider the benefits of risk.</w:t>
      </w:r>
    </w:p>
    <w:p w:rsidR="6B11E19B" w:rsidP="6B11E19B" w:rsidRDefault="6B11E19B" w14:paraId="1C2721E2" w14:textId="2A92D66E">
      <w:pPr>
        <w:spacing w:line="360" w:lineRule="auto"/>
        <w:ind w:firstLine="720"/>
      </w:pPr>
      <w:r w:rsidRPr="6B11E19B" w:rsidR="6B11E19B">
        <w:rPr>
          <w:rFonts w:ascii="Arial" w:hAnsi="Arial" w:eastAsia="Arial" w:cs="Arial"/>
          <w:noProof w:val="0"/>
          <w:sz w:val="24"/>
          <w:szCs w:val="24"/>
          <w:lang w:val="en-GB"/>
        </w:rPr>
        <w:t xml:space="preserve">Educational settings may use EVOLVE to make risk assessments. This is an online system that </w:t>
      </w:r>
      <w:proofErr w:type="gramStart"/>
      <w:r w:rsidRPr="6B11E19B" w:rsidR="6B11E19B">
        <w:rPr>
          <w:rFonts w:ascii="Arial" w:hAnsi="Arial" w:eastAsia="Arial" w:cs="Arial"/>
          <w:noProof w:val="0"/>
          <w:sz w:val="24"/>
          <w:szCs w:val="24"/>
          <w:lang w:val="en-GB"/>
        </w:rPr>
        <w:t>is described as being</w:t>
      </w:r>
      <w:proofErr w:type="gramEnd"/>
      <w:r w:rsidRPr="6B11E19B" w:rsidR="6B11E19B">
        <w:rPr>
          <w:rFonts w:ascii="Arial" w:hAnsi="Arial" w:eastAsia="Arial" w:cs="Arial"/>
          <w:noProof w:val="0"/>
          <w:sz w:val="24"/>
          <w:szCs w:val="24"/>
          <w:lang w:val="en-GB"/>
        </w:rPr>
        <w:t xml:space="preserve"> a simple way that involves less paperwork and helps staff comply with National Guidelines and the guidelines of their workplace (</w:t>
      </w:r>
      <w:proofErr w:type="spellStart"/>
      <w:r w:rsidRPr="6B11E19B" w:rsidR="6B11E19B">
        <w:rPr>
          <w:rFonts w:ascii="Arial" w:hAnsi="Arial" w:eastAsia="Arial" w:cs="Arial"/>
          <w:noProof w:val="0"/>
          <w:sz w:val="24"/>
          <w:szCs w:val="24"/>
          <w:lang w:val="en-GB"/>
        </w:rPr>
        <w:t>eduFocus</w:t>
      </w:r>
      <w:proofErr w:type="spellEnd"/>
      <w:r w:rsidRPr="6B11E19B" w:rsidR="6B11E19B">
        <w:rPr>
          <w:rFonts w:ascii="Arial" w:hAnsi="Arial" w:eastAsia="Arial" w:cs="Arial"/>
          <w:noProof w:val="0"/>
          <w:sz w:val="24"/>
          <w:szCs w:val="24"/>
          <w:lang w:val="en-GB"/>
        </w:rPr>
        <w:t>, no date).</w:t>
      </w:r>
    </w:p>
    <w:p w:rsidR="6B11E19B" w:rsidP="6B11E19B" w:rsidRDefault="6B11E19B" w14:paraId="0F655F6C" w14:textId="36A0E8E3">
      <w:pPr>
        <w:spacing w:line="360" w:lineRule="auto"/>
      </w:pPr>
      <w:r w:rsidRPr="6B11E19B" w:rsidR="6B11E19B">
        <w:rPr>
          <w:rFonts w:ascii="Arial" w:hAnsi="Arial" w:eastAsia="Arial" w:cs="Arial"/>
          <w:noProof w:val="0"/>
          <w:sz w:val="36"/>
          <w:szCs w:val="36"/>
          <w:lang w:val="en-GB"/>
        </w:rPr>
        <w:t>Additional Learning Needs</w:t>
      </w:r>
    </w:p>
    <w:p w:rsidR="6B11E19B" w:rsidP="6B11E19B" w:rsidRDefault="6B11E19B" w14:paraId="32F35A92" w14:textId="77CD134A">
      <w:pPr>
        <w:spacing w:line="360" w:lineRule="auto"/>
      </w:pPr>
      <w:r w:rsidRPr="6B11E19B" w:rsidR="6B11E19B">
        <w:rPr>
          <w:rFonts w:ascii="Arial" w:hAnsi="Arial" w:eastAsia="Arial" w:cs="Arial"/>
          <w:noProof w:val="0"/>
          <w:sz w:val="24"/>
          <w:szCs w:val="24"/>
          <w:lang w:val="en-GB"/>
        </w:rPr>
        <w:t xml:space="preserve">Taking risks can be different for </w:t>
      </w:r>
      <w:proofErr w:type="gramStart"/>
      <w:r w:rsidRPr="6B11E19B" w:rsidR="6B11E19B">
        <w:rPr>
          <w:rFonts w:ascii="Arial" w:hAnsi="Arial" w:eastAsia="Arial" w:cs="Arial"/>
          <w:noProof w:val="0"/>
          <w:sz w:val="24"/>
          <w:szCs w:val="24"/>
          <w:lang w:val="en-GB"/>
        </w:rPr>
        <w:t>each individual</w:t>
      </w:r>
      <w:proofErr w:type="gramEnd"/>
      <w:r w:rsidRPr="6B11E19B" w:rsidR="6B11E19B">
        <w:rPr>
          <w:rFonts w:ascii="Arial" w:hAnsi="Arial" w:eastAsia="Arial" w:cs="Arial"/>
          <w:noProof w:val="0"/>
          <w:sz w:val="24"/>
          <w:szCs w:val="24"/>
          <w:lang w:val="en-GB"/>
        </w:rPr>
        <w:t>. Those with disabilities may not be able to take the same risks as their peers. However, in order to maintain inclusivity, they should be given opportunities to take risks in a way that is suitable for their individual needs suggesting that the supervising adult could alter an activity to better suit the individual (Play Wales, no date). This is mirrored in the Additional Learning Needs Additional Learning Needs and Education Tribunal (Wales) Act which aims to provide learners with an inclusive education that supports them realising their full potential (Welsh Government, 2017, a). Article 2 of the UNCRC states that children should not be discriminated against whilst article 23 states that “a child with a disability has the right to live a full and decent life with dignity” (</w:t>
      </w:r>
      <w:proofErr w:type="spellStart"/>
      <w:r w:rsidRPr="6B11E19B" w:rsidR="6B11E19B">
        <w:rPr>
          <w:rFonts w:ascii="Arial" w:hAnsi="Arial" w:eastAsia="Arial" w:cs="Arial"/>
          <w:noProof w:val="0"/>
          <w:sz w:val="24"/>
          <w:szCs w:val="24"/>
          <w:lang w:val="en-GB"/>
        </w:rPr>
        <w:t>Unicef</w:t>
      </w:r>
      <w:proofErr w:type="spellEnd"/>
      <w:r w:rsidRPr="6B11E19B" w:rsidR="6B11E19B">
        <w:rPr>
          <w:rFonts w:ascii="Arial" w:hAnsi="Arial" w:eastAsia="Arial" w:cs="Arial"/>
          <w:noProof w:val="0"/>
          <w:sz w:val="24"/>
          <w:szCs w:val="24"/>
          <w:lang w:val="en-GB"/>
        </w:rPr>
        <w:t>, no date). This suggests that children with disabilities should be included in opportunities to experience risk taking to reap the benefits.</w:t>
      </w:r>
    </w:p>
    <w:p w:rsidR="6B11E19B" w:rsidP="6B11E19B" w:rsidRDefault="6B11E19B" w14:paraId="42E8CD12" w14:textId="4A859990">
      <w:pPr>
        <w:spacing w:line="360" w:lineRule="auto"/>
      </w:pPr>
      <w:r>
        <w:br/>
      </w:r>
      <w:r>
        <w:br/>
      </w:r>
      <w:r>
        <w:br/>
      </w:r>
      <w:r>
        <w:br/>
      </w:r>
      <w:r>
        <w:br/>
      </w:r>
      <w:r>
        <w:br/>
      </w:r>
      <w:r>
        <w:br/>
      </w:r>
      <w:r>
        <w:br/>
      </w:r>
      <w:r>
        <w:br/>
      </w:r>
      <w:r>
        <w:br/>
      </w:r>
      <w:r>
        <w:br/>
      </w:r>
      <w:r>
        <w:br/>
      </w:r>
    </w:p>
    <w:p w:rsidR="6B11E19B" w:rsidP="6B11E19B" w:rsidRDefault="6B11E19B" w14:paraId="34A0FC32" w14:textId="343AB31B">
      <w:pPr>
        <w:spacing w:line="360" w:lineRule="auto"/>
      </w:pPr>
    </w:p>
    <w:p w:rsidR="6B11E19B" w:rsidP="6B11E19B" w:rsidRDefault="6B11E19B" w14:paraId="1DF32F87" w14:textId="4C66ABF6">
      <w:pPr>
        <w:spacing w:line="360" w:lineRule="auto"/>
      </w:pPr>
    </w:p>
    <w:p w:rsidR="6B11E19B" w:rsidP="6B11E19B" w:rsidRDefault="6B11E19B" w14:paraId="31ADC121" w14:textId="47075840">
      <w:pPr>
        <w:pStyle w:val="Normal"/>
        <w:spacing w:line="360" w:lineRule="auto"/>
      </w:pPr>
    </w:p>
    <w:p w:rsidR="6B11E19B" w:rsidP="6B11E19B" w:rsidRDefault="6B11E19B" w14:paraId="47C9B8F2" w14:textId="4A46BBF5">
      <w:pPr>
        <w:pStyle w:val="Normal"/>
        <w:spacing w:line="360" w:lineRule="auto"/>
      </w:pPr>
    </w:p>
    <w:p w:rsidR="6B11E19B" w:rsidP="6B11E19B" w:rsidRDefault="6B11E19B" w14:paraId="058E3D9D" w14:textId="4077C90A">
      <w:pPr>
        <w:spacing w:line="360" w:lineRule="auto"/>
      </w:pPr>
      <w:r>
        <w:br/>
      </w:r>
      <w:r w:rsidRPr="6B11E19B" w:rsidR="6B11E19B">
        <w:rPr>
          <w:rFonts w:ascii="Arial" w:hAnsi="Arial" w:eastAsia="Arial" w:cs="Arial"/>
          <w:noProof w:val="0"/>
          <w:sz w:val="28"/>
          <w:szCs w:val="28"/>
          <w:lang w:val="en-GB"/>
        </w:rPr>
        <w:t>Section 3:</w:t>
      </w:r>
    </w:p>
    <w:p w:rsidR="6B11E19B" w:rsidP="6B11E19B" w:rsidRDefault="6B11E19B" w14:paraId="0BF96572" w14:textId="043C6D9A">
      <w:pPr>
        <w:spacing w:line="360" w:lineRule="auto"/>
      </w:pPr>
      <w:r w:rsidRPr="6B11E19B" w:rsidR="6B11E19B">
        <w:rPr>
          <w:rFonts w:ascii="Arial" w:hAnsi="Arial" w:eastAsia="Arial" w:cs="Arial"/>
          <w:noProof w:val="0"/>
          <w:sz w:val="60"/>
          <w:szCs w:val="60"/>
          <w:lang w:val="en-GB"/>
        </w:rPr>
        <w:t>Observation</w:t>
      </w:r>
    </w:p>
    <w:p w:rsidR="6B11E19B" w:rsidP="6B11E19B" w:rsidRDefault="6B11E19B" w14:paraId="69B6DA1D" w14:textId="7836D33E">
      <w:pPr>
        <w:spacing w:line="360" w:lineRule="auto"/>
      </w:pPr>
      <w:r w:rsidRPr="6B11E19B" w:rsidR="6B11E19B">
        <w:rPr>
          <w:rFonts w:ascii="Arial" w:hAnsi="Arial" w:eastAsia="Arial" w:cs="Arial"/>
          <w:noProof w:val="0"/>
          <w:sz w:val="36"/>
          <w:szCs w:val="36"/>
          <w:lang w:val="en-GB"/>
        </w:rPr>
        <w:t>An introduction to observations</w:t>
      </w:r>
    </w:p>
    <w:p w:rsidR="6B11E19B" w:rsidP="6B11E19B" w:rsidRDefault="6B11E19B" w14:paraId="0C8AE999" w14:textId="3489B103">
      <w:pPr>
        <w:spacing w:line="360" w:lineRule="auto"/>
      </w:pPr>
      <w:r w:rsidRPr="6B11E19B" w:rsidR="6B11E19B">
        <w:rPr>
          <w:rFonts w:ascii="Arial" w:hAnsi="Arial" w:eastAsia="Arial" w:cs="Arial"/>
          <w:noProof w:val="0"/>
          <w:sz w:val="24"/>
          <w:szCs w:val="24"/>
          <w:lang w:val="en-GB"/>
        </w:rPr>
        <w:t xml:space="preserve">According to Drummond (cited in Smidt, 2015) an effective way to gain an understanding of a child is to undertake careful observations. By watching, listening and engaging when necessary the practitioner will be able to identify the child's interests and their strengths, weaknesses and gaps in learning. These findings will assist with planning effectively to work on the child’s next steps. Observations allow the practitioner to reflect on the provision they have provided and its relevance to the children using it. The adult can then think about how the provision can be improved to suit the child’s interests, abilities and to help them build on what they already know in order to promote development. </w:t>
      </w:r>
    </w:p>
    <w:p w:rsidR="6B11E19B" w:rsidP="6B11E19B" w:rsidRDefault="6B11E19B" w14:paraId="01DDE160" w14:textId="733185F0">
      <w:pPr>
        <w:spacing w:line="360" w:lineRule="auto"/>
      </w:pPr>
      <w:r w:rsidRPr="6B11E19B" w:rsidR="6B11E19B">
        <w:rPr>
          <w:rFonts w:ascii="Arial" w:hAnsi="Arial" w:eastAsia="Arial" w:cs="Arial"/>
          <w:noProof w:val="0"/>
          <w:sz w:val="36"/>
          <w:szCs w:val="36"/>
          <w:lang w:val="en-GB"/>
        </w:rPr>
        <w:t>Foundation Phase Profiles</w:t>
      </w:r>
    </w:p>
    <w:p w:rsidR="6B11E19B" w:rsidP="6B11E19B" w:rsidRDefault="6B11E19B" w14:paraId="11256D7E" w14:textId="11C05FCE">
      <w:pPr>
        <w:spacing w:line="360" w:lineRule="auto"/>
      </w:pPr>
      <w:r w:rsidRPr="6B11E19B" w:rsidR="6B11E19B">
        <w:rPr>
          <w:rFonts w:ascii="Arial" w:hAnsi="Arial" w:eastAsia="Arial" w:cs="Arial"/>
          <w:noProof w:val="0"/>
          <w:sz w:val="24"/>
          <w:szCs w:val="24"/>
          <w:lang w:val="en-GB"/>
        </w:rPr>
        <w:t xml:space="preserve">To aid the assessment of development and learning progress of a child in the early </w:t>
      </w:r>
      <w:proofErr w:type="gramStart"/>
      <w:r w:rsidRPr="6B11E19B" w:rsidR="6B11E19B">
        <w:rPr>
          <w:rFonts w:ascii="Arial" w:hAnsi="Arial" w:eastAsia="Arial" w:cs="Arial"/>
          <w:noProof w:val="0"/>
          <w:sz w:val="24"/>
          <w:szCs w:val="24"/>
          <w:lang w:val="en-GB"/>
        </w:rPr>
        <w:t>years</w:t>
      </w:r>
      <w:proofErr w:type="gramEnd"/>
      <w:r w:rsidRPr="6B11E19B" w:rsidR="6B11E19B">
        <w:rPr>
          <w:rFonts w:ascii="Arial" w:hAnsi="Arial" w:eastAsia="Arial" w:cs="Arial"/>
          <w:noProof w:val="0"/>
          <w:sz w:val="24"/>
          <w:szCs w:val="24"/>
          <w:lang w:val="en-GB"/>
        </w:rPr>
        <w:t xml:space="preserve"> practitioners may use Foundation Phase Profiles. These are carried out through both observations and assessments of a more formal nature (Welsh Government, 2017).  According to the Foundation Phase Profile Handbook by the Welsh Government (2017) the purpose of observations is to help practitioners identify whether a child is working at, above or below expected outcomes to measure their progress. It also highlights gaps in learning. This way practitioners can support children's progress in the most appropriate and effective way. As well as observing it is important to engage in conversation with children to get the best possible understanding of the child’s capabilities. </w:t>
      </w:r>
    </w:p>
    <w:p w:rsidR="6B11E19B" w:rsidP="6B11E19B" w:rsidRDefault="6B11E19B" w14:paraId="7B98939B" w14:textId="2CB5388F">
      <w:pPr>
        <w:spacing w:line="360" w:lineRule="auto"/>
        <w:ind w:firstLine="720"/>
      </w:pPr>
      <w:r w:rsidRPr="6B11E19B" w:rsidR="6B11E19B">
        <w:rPr>
          <w:rFonts w:ascii="Arial" w:hAnsi="Arial" w:eastAsia="Arial" w:cs="Arial"/>
          <w:noProof w:val="0"/>
          <w:sz w:val="24"/>
          <w:szCs w:val="24"/>
          <w:lang w:val="en-GB"/>
        </w:rPr>
        <w:t xml:space="preserve">Foundation Phase Profiles are used to track a child throughout the Foundation Phase and are made up of various parts. The Foundation Phase Profiles Handbook is a guide for staff using the profiles and explains each skill. A Record Form is used to help keep a paper record of a child’s development; </w:t>
      </w:r>
      <w:r w:rsidRPr="6B11E19B" w:rsidR="6B11E19B">
        <w:rPr>
          <w:rFonts w:ascii="Arial" w:hAnsi="Arial" w:eastAsia="Arial" w:cs="Arial"/>
          <w:noProof w:val="0"/>
          <w:sz w:val="24"/>
          <w:szCs w:val="24"/>
          <w:lang w:val="en-GB"/>
        </w:rPr>
        <w:t>however,</w:t>
      </w:r>
      <w:r w:rsidRPr="6B11E19B" w:rsidR="6B11E19B">
        <w:rPr>
          <w:rFonts w:ascii="Arial" w:hAnsi="Arial" w:eastAsia="Arial" w:cs="Arial"/>
          <w:noProof w:val="0"/>
          <w:sz w:val="24"/>
          <w:szCs w:val="24"/>
          <w:lang w:val="en-GB"/>
        </w:rPr>
        <w:t xml:space="preserve"> this is not essential. Usually completed within the first six weeks of starting reception is the Compact Profile Form and is used as a baseline which is a statutory requirement (Welsh Government, 2017). The baseline assessment gives an overview of a child’s progress and shows the outcomes for every Area of Learning (NDNA, no date). The final part of the Foundation Phase Profiles is the Full Profile Form. This form uses the skills ladders of the Foundation Phase Profile to give a more detailed and in-depth overview of a child’s progress than the Compact Profile Form. This helps produce the outcomes for the end of year two, which in Wales is the end of the Foundation Phase (Welsh Government, 2017, p. 4-6). </w:t>
      </w:r>
    </w:p>
    <w:p w:rsidR="6B11E19B" w:rsidP="6B11E19B" w:rsidRDefault="6B11E19B" w14:paraId="48B2A0D2" w14:textId="2D568F00">
      <w:pPr>
        <w:spacing w:line="360" w:lineRule="auto"/>
        <w:ind w:firstLine="720"/>
      </w:pPr>
      <w:r w:rsidRPr="6B11E19B" w:rsidR="6B11E19B">
        <w:rPr>
          <w:rFonts w:ascii="Arial" w:hAnsi="Arial" w:eastAsia="Arial" w:cs="Arial"/>
          <w:noProof w:val="0"/>
          <w:sz w:val="24"/>
          <w:szCs w:val="24"/>
          <w:lang w:val="en-GB"/>
        </w:rPr>
        <w:t>It is advised that observations take place both indoors and outdoors to gain a full picture of the child. The indoor and the outdoor environment offer different opportunities and child’s behaviour differs in each environment and with different activities (Welsh Government, 2017, p.10).</w:t>
      </w:r>
    </w:p>
    <w:p w:rsidR="6B11E19B" w:rsidP="6B11E19B" w:rsidRDefault="6B11E19B" w14:paraId="5D37750B" w14:textId="7125C35C">
      <w:pPr>
        <w:spacing w:line="360" w:lineRule="auto"/>
        <w:ind w:firstLine="720"/>
      </w:pPr>
      <w:r w:rsidRPr="6B11E19B" w:rsidR="6B11E19B">
        <w:rPr>
          <w:rFonts w:ascii="Arial" w:hAnsi="Arial" w:eastAsia="Arial" w:cs="Arial"/>
          <w:noProof w:val="0"/>
          <w:sz w:val="24"/>
          <w:szCs w:val="24"/>
          <w:lang w:val="en-GB"/>
        </w:rPr>
        <w:t xml:space="preserve">The Welsh Governments (2017) Foundation Phase Profile Handbook clearly outlines the skills ladders and outlines the children’s next steps on their learning path. According to Smidt (2015) Piaget’s theory concentrates on what the child is not yet able to </w:t>
      </w:r>
      <w:proofErr w:type="gramStart"/>
      <w:r w:rsidRPr="6B11E19B" w:rsidR="6B11E19B">
        <w:rPr>
          <w:rFonts w:ascii="Arial" w:hAnsi="Arial" w:eastAsia="Arial" w:cs="Arial"/>
          <w:noProof w:val="0"/>
          <w:sz w:val="24"/>
          <w:szCs w:val="24"/>
          <w:lang w:val="en-GB"/>
        </w:rPr>
        <w:t>do</w:t>
      </w:r>
      <w:proofErr w:type="gramEnd"/>
      <w:r w:rsidRPr="6B11E19B" w:rsidR="6B11E19B">
        <w:rPr>
          <w:rFonts w:ascii="Arial" w:hAnsi="Arial" w:eastAsia="Arial" w:cs="Arial"/>
          <w:noProof w:val="0"/>
          <w:sz w:val="24"/>
          <w:szCs w:val="24"/>
          <w:lang w:val="en-GB"/>
        </w:rPr>
        <w:t xml:space="preserve"> and he believed that children should only be moved on with their learning when they are ready to do so. As the Welsh Governments (2017) Foundation Phase Profile is used to highlight what a child can do it also helps identify what the next steps should be in development. </w:t>
      </w:r>
    </w:p>
    <w:p w:rsidR="6B11E19B" w:rsidP="6B11E19B" w:rsidRDefault="6B11E19B" w14:paraId="400B2EA6" w14:textId="34C9F932">
      <w:pPr>
        <w:spacing w:line="360" w:lineRule="auto"/>
        <w:ind w:firstLine="720"/>
      </w:pPr>
      <w:r w:rsidRPr="6B11E19B" w:rsidR="6B11E19B">
        <w:rPr>
          <w:rFonts w:ascii="Arial" w:hAnsi="Arial" w:eastAsia="Arial" w:cs="Arial"/>
          <w:noProof w:val="0"/>
          <w:sz w:val="24"/>
          <w:szCs w:val="24"/>
          <w:lang w:val="en-GB"/>
        </w:rPr>
        <w:t xml:space="preserve">Vygotsky (1978, cited in Roger, 2012) claims the two levels of child development consist of what a child can do independently and what a child </w:t>
      </w:r>
      <w:proofErr w:type="gramStart"/>
      <w:r w:rsidRPr="6B11E19B" w:rsidR="6B11E19B">
        <w:rPr>
          <w:rFonts w:ascii="Arial" w:hAnsi="Arial" w:eastAsia="Arial" w:cs="Arial"/>
          <w:noProof w:val="0"/>
          <w:sz w:val="24"/>
          <w:szCs w:val="24"/>
          <w:lang w:val="en-GB"/>
        </w:rPr>
        <w:t>is capable of doing</w:t>
      </w:r>
      <w:proofErr w:type="gramEnd"/>
      <w:r w:rsidRPr="6B11E19B" w:rsidR="6B11E19B">
        <w:rPr>
          <w:rFonts w:ascii="Arial" w:hAnsi="Arial" w:eastAsia="Arial" w:cs="Arial"/>
          <w:noProof w:val="0"/>
          <w:sz w:val="24"/>
          <w:szCs w:val="24"/>
          <w:lang w:val="en-GB"/>
        </w:rPr>
        <w:t xml:space="preserve"> with an adult's support. By identifying these two levels the practitioner can determine the ‘zone of proximal development’ which refers to the gap in learning. This emphasises the importance of observation and understanding an individual. According to Drummond (cited in Smidt 2015) the adult's role is to scaffold the learning appropriately by using the observations that were carried out. </w:t>
      </w:r>
    </w:p>
    <w:p w:rsidR="6B11E19B" w:rsidP="6B11E19B" w:rsidRDefault="6B11E19B" w14:paraId="298A4DD8" w14:textId="52E3D215">
      <w:pPr>
        <w:spacing w:line="360" w:lineRule="auto"/>
        <w:ind w:firstLine="720"/>
      </w:pPr>
      <w:r w:rsidRPr="6B11E19B" w:rsidR="6B11E19B">
        <w:rPr>
          <w:rFonts w:ascii="Arial" w:hAnsi="Arial" w:eastAsia="Arial" w:cs="Arial"/>
          <w:noProof w:val="0"/>
          <w:sz w:val="24"/>
          <w:szCs w:val="24"/>
          <w:lang w:val="en-GB"/>
        </w:rPr>
        <w:t xml:space="preserve">In order to assist with identifying delays or additional needs the Foundation Phase Profiles were purposely created to be </w:t>
      </w:r>
      <w:proofErr w:type="gramStart"/>
      <w:r w:rsidRPr="6B11E19B" w:rsidR="6B11E19B">
        <w:rPr>
          <w:rFonts w:ascii="Arial" w:hAnsi="Arial" w:eastAsia="Arial" w:cs="Arial"/>
          <w:noProof w:val="0"/>
          <w:sz w:val="24"/>
          <w:szCs w:val="24"/>
          <w:lang w:val="en-GB"/>
        </w:rPr>
        <w:t>similar to</w:t>
      </w:r>
      <w:proofErr w:type="gramEnd"/>
      <w:r w:rsidRPr="6B11E19B" w:rsidR="6B11E19B">
        <w:rPr>
          <w:rFonts w:ascii="Arial" w:hAnsi="Arial" w:eastAsia="Arial" w:cs="Arial"/>
          <w:noProof w:val="0"/>
          <w:sz w:val="24"/>
          <w:szCs w:val="24"/>
          <w:lang w:val="en-GB"/>
        </w:rPr>
        <w:t xml:space="preserve"> the assessments used by health professionals (NDNA, no date). However, the Foundation Phase Profile Handbook stresses that other assessments may be required depending on the needs of the child which can be sought from the additional learning needs coordinator (ALNCo) or relevant health professionals (Welsh Government, 2017, p. 9).</w:t>
      </w:r>
    </w:p>
    <w:p w:rsidR="6B11E19B" w:rsidP="6B11E19B" w:rsidRDefault="6B11E19B" w14:paraId="04E63937" w14:textId="2A7AD8E3">
      <w:pPr>
        <w:spacing w:line="360" w:lineRule="auto"/>
      </w:pPr>
      <w:r w:rsidRPr="6B11E19B" w:rsidR="6B11E19B">
        <w:rPr>
          <w:rFonts w:ascii="Arial" w:hAnsi="Arial" w:eastAsia="Arial" w:cs="Arial"/>
          <w:noProof w:val="0"/>
          <w:sz w:val="36"/>
          <w:szCs w:val="36"/>
          <w:lang w:val="en-GB"/>
        </w:rPr>
        <w:t>Barriers to effective observations</w:t>
      </w:r>
    </w:p>
    <w:p w:rsidR="6B11E19B" w:rsidP="6B11E19B" w:rsidRDefault="6B11E19B" w14:paraId="79531B00" w14:textId="29A357ED">
      <w:pPr>
        <w:spacing w:line="360" w:lineRule="auto"/>
      </w:pPr>
      <w:r w:rsidRPr="6B11E19B" w:rsidR="6B11E19B">
        <w:rPr>
          <w:rFonts w:ascii="Arial" w:hAnsi="Arial" w:eastAsia="Arial" w:cs="Arial"/>
          <w:noProof w:val="0"/>
          <w:sz w:val="24"/>
          <w:szCs w:val="24"/>
          <w:lang w:val="en-GB"/>
        </w:rPr>
        <w:t>According to Bruce, Louis and McCall (2015) time, staff ratios, working space, training and the desire to support children are all factors that affect the quality of observations and the records practitioners keep. Practitioners need to be able to use their knowledge and understanding of the areas of child development in order to understand what they are looking for whilst undertaking observations. This will enable them to take detailed, in-depth notes that reflect this knowledge and understanding. Those who lack training may make copious amounts of short notes which is less beneficial. Simple factors such as time to undertake detailed observations and the space to facilitate observations and maintain records may have a negative impact on the quality of the observations.</w:t>
      </w:r>
    </w:p>
    <w:p w:rsidR="6B11E19B" w:rsidP="6B11E19B" w:rsidRDefault="6B11E19B" w14:paraId="518827BF" w14:textId="7BC1184E">
      <w:pPr>
        <w:spacing w:line="360" w:lineRule="auto"/>
      </w:pPr>
      <w:r>
        <w:br/>
      </w:r>
      <w:r>
        <w:br/>
      </w:r>
      <w:r>
        <w:br/>
      </w:r>
      <w:r>
        <w:br/>
      </w:r>
      <w:r>
        <w:br/>
      </w:r>
      <w:r>
        <w:br/>
      </w:r>
      <w:r>
        <w:br/>
      </w:r>
      <w:r>
        <w:br/>
      </w:r>
      <w:r>
        <w:br/>
      </w:r>
      <w:r>
        <w:br/>
      </w:r>
      <w:r>
        <w:br/>
      </w:r>
      <w:r>
        <w:br/>
      </w:r>
      <w:r>
        <w:br/>
      </w:r>
      <w:r>
        <w:br/>
      </w:r>
    </w:p>
    <w:p w:rsidR="6B11E19B" w:rsidP="6B11E19B" w:rsidRDefault="6B11E19B" w14:paraId="59A37D26" w14:textId="6F7F4F77">
      <w:pPr>
        <w:pStyle w:val="Normal"/>
        <w:spacing w:line="360" w:lineRule="auto"/>
      </w:pPr>
      <w:r>
        <w:br/>
      </w:r>
    </w:p>
    <w:p w:rsidR="6B11E19B" w:rsidP="6B11E19B" w:rsidRDefault="6B11E19B" w14:paraId="5BE2123C" w14:textId="0B1BC39D">
      <w:pPr>
        <w:pStyle w:val="Normal"/>
        <w:spacing w:line="360" w:lineRule="auto"/>
      </w:pPr>
    </w:p>
    <w:p w:rsidR="6B11E19B" w:rsidP="6B11E19B" w:rsidRDefault="6B11E19B" w14:paraId="0ED87684" w14:textId="43CCC456">
      <w:pPr>
        <w:pStyle w:val="Normal"/>
        <w:spacing w:line="360" w:lineRule="auto"/>
      </w:pPr>
    </w:p>
    <w:p w:rsidR="6B11E19B" w:rsidP="6B11E19B" w:rsidRDefault="6B11E19B" w14:paraId="0E7D0244" w14:textId="247E1708">
      <w:pPr>
        <w:pStyle w:val="Normal"/>
        <w:spacing w:line="360" w:lineRule="auto"/>
      </w:pPr>
    </w:p>
    <w:p w:rsidR="6B11E19B" w:rsidP="6B11E19B" w:rsidRDefault="6B11E19B" w14:paraId="5CC8246B" w14:textId="6E95D6AC">
      <w:pPr>
        <w:spacing w:line="360" w:lineRule="auto"/>
      </w:pPr>
      <w:r w:rsidRPr="6B11E19B" w:rsidR="6B11E19B">
        <w:rPr>
          <w:rFonts w:ascii="Arial" w:hAnsi="Arial" w:eastAsia="Arial" w:cs="Arial"/>
          <w:noProof w:val="0"/>
          <w:sz w:val="28"/>
          <w:szCs w:val="28"/>
          <w:lang w:val="en-GB"/>
        </w:rPr>
        <w:t>Section 4:</w:t>
      </w:r>
    </w:p>
    <w:p w:rsidR="6B11E19B" w:rsidP="6B11E19B" w:rsidRDefault="6B11E19B" w14:paraId="767D7F6C" w14:textId="1CC713FC">
      <w:pPr>
        <w:spacing w:line="360" w:lineRule="auto"/>
      </w:pPr>
      <w:r w:rsidRPr="6B11E19B" w:rsidR="6B11E19B">
        <w:rPr>
          <w:rFonts w:ascii="Arial" w:hAnsi="Arial" w:eastAsia="Arial" w:cs="Arial"/>
          <w:noProof w:val="0"/>
          <w:sz w:val="60"/>
          <w:szCs w:val="60"/>
          <w:lang w:val="en-GB"/>
        </w:rPr>
        <w:t>The Role of Play Whilst Undertaking Observations</w:t>
      </w:r>
    </w:p>
    <w:p w:rsidR="6B11E19B" w:rsidP="6B11E19B" w:rsidRDefault="6B11E19B" w14:paraId="0463E09C" w14:textId="15E28381">
      <w:pPr>
        <w:spacing w:line="360" w:lineRule="auto"/>
      </w:pPr>
      <w:r w:rsidRPr="6B11E19B" w:rsidR="6B11E19B">
        <w:rPr>
          <w:rFonts w:ascii="Arial" w:hAnsi="Arial" w:eastAsia="Arial" w:cs="Arial"/>
          <w:noProof w:val="0"/>
          <w:sz w:val="24"/>
          <w:szCs w:val="24"/>
          <w:lang w:val="en-GB"/>
        </w:rPr>
        <w:t xml:space="preserve">Bruce, Louis and McCall (2015, p. 1) state that observations as part of the assessment of a child’s development is followed by an evaluation. Evaluation is described as the adult using the findings to reflect on what they previously and currently provide for the children and how to plan how to support their future progress. Observations are therefore a key part of the role of the practitioner which are undertaken wherever and whenever play takes place (Smidt, 2015). The quality of the play setting is vital in promoting child development and supporting maximum progress (Brown, 2014). </w:t>
      </w:r>
    </w:p>
    <w:p w:rsidR="6B11E19B" w:rsidP="6B11E19B" w:rsidRDefault="6B11E19B" w14:paraId="13671315" w14:textId="0C5BC19E">
      <w:pPr>
        <w:spacing w:line="360" w:lineRule="auto"/>
        <w:ind w:firstLine="720"/>
      </w:pPr>
      <w:r w:rsidRPr="6B11E19B" w:rsidR="6B11E19B">
        <w:rPr>
          <w:rFonts w:ascii="Arial" w:hAnsi="Arial" w:eastAsia="Arial" w:cs="Arial"/>
          <w:noProof w:val="0"/>
          <w:sz w:val="24"/>
          <w:szCs w:val="24"/>
          <w:lang w:val="en-GB"/>
        </w:rPr>
        <w:t xml:space="preserve">Spontaneous play provides practitioners with the opportunity to make observations to assist with the assessing of children. This will also enable practitioners to plan effectively (Bruce, Louis, McCall, 2015). </w:t>
      </w:r>
    </w:p>
    <w:p w:rsidR="6B11E19B" w:rsidP="6B11E19B" w:rsidRDefault="6B11E19B" w14:paraId="36C8FD57" w14:textId="1103FC63">
      <w:pPr>
        <w:spacing w:line="360" w:lineRule="auto"/>
        <w:ind w:firstLine="720"/>
      </w:pPr>
      <w:r w:rsidRPr="6B11E19B" w:rsidR="6B11E19B">
        <w:rPr>
          <w:rFonts w:ascii="Arial" w:hAnsi="Arial" w:eastAsia="Arial" w:cs="Arial"/>
          <w:noProof w:val="0"/>
          <w:sz w:val="24"/>
          <w:szCs w:val="24"/>
          <w:lang w:val="en-GB"/>
        </w:rPr>
        <w:t xml:space="preserve">According to Smidt (2015, p. 3) the use of play as a method of learning was an interest of both Piaget and Vygotsky. Vygotsky uses the term “standing a head taller than himself” (Smidt, 2015, p. 3) to describe the way in which play enables the adult to view a child during observations. Smidt also states that Malaguzzi’s view was that children </w:t>
      </w:r>
      <w:proofErr w:type="gramStart"/>
      <w:r w:rsidRPr="6B11E19B" w:rsidR="6B11E19B">
        <w:rPr>
          <w:rFonts w:ascii="Arial" w:hAnsi="Arial" w:eastAsia="Arial" w:cs="Arial"/>
          <w:noProof w:val="0"/>
          <w:sz w:val="24"/>
          <w:szCs w:val="24"/>
          <w:lang w:val="en-GB"/>
        </w:rPr>
        <w:t>are able to</w:t>
      </w:r>
      <w:proofErr w:type="gramEnd"/>
      <w:r w:rsidRPr="6B11E19B" w:rsidR="6B11E19B">
        <w:rPr>
          <w:rFonts w:ascii="Arial" w:hAnsi="Arial" w:eastAsia="Arial" w:cs="Arial"/>
          <w:noProof w:val="0"/>
          <w:sz w:val="24"/>
          <w:szCs w:val="24"/>
          <w:lang w:val="en-GB"/>
        </w:rPr>
        <w:t xml:space="preserve"> indicate what they are thinking by using both spoken and indirect questions. Questions can be used to help the learning progress (Smidt, 2015, p. 4).</w:t>
      </w:r>
    </w:p>
    <w:p w:rsidR="6B11E19B" w:rsidP="6B11E19B" w:rsidRDefault="6B11E19B" w14:paraId="2D4B490B" w14:textId="55EC11BC">
      <w:pPr>
        <w:spacing w:line="360" w:lineRule="auto"/>
        <w:ind w:firstLine="720"/>
      </w:pPr>
      <w:r w:rsidRPr="6B11E19B" w:rsidR="6B11E19B">
        <w:rPr>
          <w:rFonts w:ascii="Arial" w:hAnsi="Arial" w:eastAsia="Arial" w:cs="Arial"/>
          <w:noProof w:val="0"/>
          <w:sz w:val="24"/>
          <w:szCs w:val="24"/>
          <w:lang w:val="en-GB"/>
        </w:rPr>
        <w:t>It is a common misconception that practitioners must conduct observational assessments in a formal manner through activities directed by themselves. However, this does not rule out activities that are led by adults. By observing children in play and in a variety of activities and situations at different times of the day the practitioner will help “build up a full picture of the whole child” (Bruce, Louis, McCall, 2015).</w:t>
      </w:r>
    </w:p>
    <w:p w:rsidR="6B11E19B" w:rsidP="6B11E19B" w:rsidRDefault="6B11E19B" w14:paraId="4F43AD9E" w14:textId="0B31E9F9">
      <w:pPr>
        <w:spacing w:line="360" w:lineRule="auto"/>
        <w:ind w:firstLine="720"/>
      </w:pPr>
      <w:r w:rsidRPr="6B11E19B" w:rsidR="6B11E19B">
        <w:rPr>
          <w:rFonts w:ascii="Arial" w:hAnsi="Arial" w:eastAsia="Arial" w:cs="Arial"/>
          <w:noProof w:val="0"/>
          <w:sz w:val="24"/>
          <w:szCs w:val="24"/>
          <w:lang w:val="en-GB"/>
        </w:rPr>
        <w:t>Practitioners may observe from a distance or participate in the play which would help them listen to the child (Bruce, Louis, McCall, 2015, pp. 1-2). Susan Isaacs, a figurehead in early education, is noted by Smidt (2015, p. 12) to have observed and listened to children in play and made comprehensive notes to determine their cognitive and social development.</w:t>
      </w:r>
    </w:p>
    <w:p w:rsidR="6B11E19B" w:rsidP="6B11E19B" w:rsidRDefault="6B11E19B" w14:paraId="5686DABB" w14:textId="16718DA5">
      <w:pPr>
        <w:spacing w:line="360" w:lineRule="auto"/>
        <w:ind w:firstLine="720"/>
      </w:pPr>
      <w:r w:rsidRPr="6B11E19B" w:rsidR="6B11E19B">
        <w:rPr>
          <w:rFonts w:ascii="Arial" w:hAnsi="Arial" w:eastAsia="Arial" w:cs="Arial"/>
          <w:noProof w:val="0"/>
          <w:sz w:val="24"/>
          <w:szCs w:val="24"/>
          <w:lang w:val="en-GB"/>
        </w:rPr>
        <w:t>Children become immersed and engrossed in the activities that they have been allowed to freely choose (Isaacs, 2013). This suggests that the observer will notice what the child's interests and capabilities are by the activities they are concentrating on. With this in mind, Smidt (2015) asserts that children's concentration is at its best when they are taking part in play that is of interest to them suggesting that if a child is not concentrating or is not engrossed in what they are doing it is of little interest to them, perhaps because it is beyond their current capabilities. Smidt continues by arguing that children learn through play and what they enjoy because “a child who is able to raise a question that matters to her will be very interested in finding out an answer” (Smidt, 2015, p. 8).</w:t>
      </w:r>
    </w:p>
    <w:p w:rsidR="6B11E19B" w:rsidP="6B11E19B" w:rsidRDefault="6B11E19B" w14:paraId="0FCF97EA" w14:textId="7525494F">
      <w:pPr>
        <w:spacing w:line="360" w:lineRule="auto"/>
        <w:ind w:firstLine="720"/>
      </w:pPr>
      <w:r w:rsidRPr="6B11E19B" w:rsidR="6B11E19B">
        <w:rPr>
          <w:rFonts w:ascii="Arial" w:hAnsi="Arial" w:eastAsia="Arial" w:cs="Arial"/>
          <w:noProof w:val="0"/>
          <w:sz w:val="24"/>
          <w:szCs w:val="24"/>
          <w:lang w:val="en-GB"/>
        </w:rPr>
        <w:t xml:space="preserve">An advantage of observing children at play is that their actions could be perceived as unusual and hopeless. In fact, practitioners may recognise this as attempting to understanding something (Smidt, 2015, p. 8). </w:t>
      </w:r>
    </w:p>
    <w:p w:rsidR="6B11E19B" w:rsidP="6B11E19B" w:rsidRDefault="6B11E19B" w14:paraId="6B6C7E3A" w14:textId="1009B2F9">
      <w:pPr>
        <w:spacing w:line="360" w:lineRule="auto"/>
        <w:ind w:firstLine="720"/>
      </w:pPr>
      <w:r w:rsidRPr="6B11E19B" w:rsidR="6B11E19B">
        <w:rPr>
          <w:rFonts w:ascii="Arial" w:hAnsi="Arial" w:eastAsia="Arial" w:cs="Arial"/>
          <w:noProof w:val="0"/>
          <w:sz w:val="24"/>
          <w:szCs w:val="24"/>
          <w:lang w:val="en-GB"/>
        </w:rPr>
        <w:t xml:space="preserve">As Play Wales (2017) states, adults observing children may obstruct certain types of play, such as fantasy play. This suggests practitioners need to be aware of when to observe closely and when to observe from a distance. </w:t>
      </w:r>
    </w:p>
    <w:p w:rsidR="6B11E19B" w:rsidP="6B11E19B" w:rsidRDefault="6B11E19B" w14:paraId="28FB4E18" w14:textId="1C11990D">
      <w:pPr>
        <w:spacing w:line="360" w:lineRule="auto"/>
        <w:ind w:firstLine="720"/>
      </w:pPr>
      <w:r w:rsidRPr="6B11E19B" w:rsidR="6B11E19B">
        <w:rPr>
          <w:rFonts w:ascii="Arial" w:hAnsi="Arial" w:eastAsia="Arial" w:cs="Arial"/>
          <w:noProof w:val="0"/>
          <w:sz w:val="24"/>
          <w:szCs w:val="24"/>
          <w:lang w:val="en-GB"/>
        </w:rPr>
        <w:t xml:space="preserve">According to Burleson and Thoron (2017) if a child’s basic needs are not met, such as being hungry, then a child cannot </w:t>
      </w:r>
      <w:r w:rsidRPr="6B11E19B" w:rsidR="6B11E19B">
        <w:rPr>
          <w:rFonts w:ascii="Arial" w:hAnsi="Arial" w:eastAsia="Arial" w:cs="Arial"/>
          <w:noProof w:val="0"/>
          <w:sz w:val="24"/>
          <w:szCs w:val="24"/>
          <w:lang w:val="en-GB"/>
        </w:rPr>
        <w:t>focus,</w:t>
      </w:r>
      <w:r w:rsidRPr="6B11E19B" w:rsidR="6B11E19B">
        <w:rPr>
          <w:rFonts w:ascii="Arial" w:hAnsi="Arial" w:eastAsia="Arial" w:cs="Arial"/>
          <w:noProof w:val="0"/>
          <w:sz w:val="24"/>
          <w:szCs w:val="24"/>
          <w:lang w:val="en-GB"/>
        </w:rPr>
        <w:t xml:space="preserve"> and it is likely that they will be unsettled. This could be perceived as a factor in hampering observations. </w:t>
      </w:r>
    </w:p>
    <w:p w:rsidR="6B11E19B" w:rsidP="6B11E19B" w:rsidRDefault="6B11E19B" w14:paraId="56190C10" w14:textId="1C1E14D3">
      <w:pPr>
        <w:spacing w:line="360" w:lineRule="auto"/>
      </w:pPr>
      <w:r>
        <w:br/>
      </w:r>
      <w:r>
        <w:br/>
      </w:r>
      <w:r>
        <w:br/>
      </w:r>
    </w:p>
    <w:p w:rsidR="6B11E19B" w:rsidP="6B11E19B" w:rsidRDefault="6B11E19B" w14:paraId="577755A5" w14:textId="234E6D6D">
      <w:pPr>
        <w:spacing w:line="360" w:lineRule="auto"/>
      </w:pPr>
      <w:r>
        <w:br/>
      </w:r>
    </w:p>
    <w:p w:rsidR="6B11E19B" w:rsidP="6B11E19B" w:rsidRDefault="6B11E19B" w14:paraId="2FD7203A" w14:textId="0FB91667">
      <w:pPr>
        <w:pStyle w:val="Normal"/>
        <w:spacing w:line="360" w:lineRule="auto"/>
      </w:pPr>
      <w:r w:rsidRPr="6B11E19B" w:rsidR="6B11E19B">
        <w:rPr>
          <w:rFonts w:ascii="Arial" w:hAnsi="Arial" w:eastAsia="Arial" w:cs="Arial"/>
          <w:noProof w:val="0"/>
          <w:sz w:val="48"/>
          <w:szCs w:val="48"/>
          <w:lang w:val="en-GB"/>
        </w:rPr>
        <w:t>References</w:t>
      </w:r>
    </w:p>
    <w:p w:rsidR="6B11E19B" w:rsidP="6B11E19B" w:rsidRDefault="6B11E19B" w14:paraId="45E8D982" w14:textId="394149D2">
      <w:pPr>
        <w:spacing w:line="360" w:lineRule="auto"/>
      </w:pPr>
      <w:r w:rsidRPr="6B11E19B" w:rsidR="6B11E19B">
        <w:rPr>
          <w:rFonts w:ascii="Arial" w:hAnsi="Arial" w:eastAsia="Arial" w:cs="Arial"/>
          <w:noProof w:val="0"/>
          <w:sz w:val="24"/>
          <w:szCs w:val="24"/>
          <w:lang w:val="en-GB"/>
        </w:rPr>
        <w:t xml:space="preserve">Acosta, R.M. and Hutchison, M. (2017) </w:t>
      </w:r>
      <w:r w:rsidRPr="6B11E19B" w:rsidR="6B11E19B">
        <w:rPr>
          <w:rFonts w:ascii="Arial" w:hAnsi="Arial" w:eastAsia="Arial" w:cs="Arial"/>
          <w:i w:val="1"/>
          <w:iCs w:val="1"/>
          <w:noProof w:val="0"/>
          <w:sz w:val="24"/>
          <w:szCs w:val="24"/>
          <w:lang w:val="en-GB"/>
        </w:rPr>
        <w:t>They raise the world's happiest children - so is it time you went Dutch?</w:t>
      </w:r>
      <w:r w:rsidRPr="6B11E19B" w:rsidR="6B11E19B">
        <w:rPr>
          <w:rFonts w:ascii="Arial" w:hAnsi="Arial" w:eastAsia="Arial" w:cs="Arial"/>
          <w:noProof w:val="0"/>
          <w:sz w:val="24"/>
          <w:szCs w:val="24"/>
          <w:lang w:val="en-GB"/>
        </w:rPr>
        <w:t xml:space="preserve"> Available at:</w:t>
      </w:r>
    </w:p>
    <w:p w:rsidR="6B11E19B" w:rsidP="6B11E19B" w:rsidRDefault="6B11E19B" w14:paraId="5152C4C9" w14:textId="1EBAA549">
      <w:pPr>
        <w:spacing w:line="360" w:lineRule="auto"/>
      </w:pPr>
      <w:hyperlink r:id="Rcd4e493491ef4695">
        <w:r w:rsidRPr="6B11E19B" w:rsidR="6B11E19B">
          <w:rPr>
            <w:rStyle w:val="Hyperlink"/>
            <w:rFonts w:ascii="Arial" w:hAnsi="Arial" w:eastAsia="Arial" w:cs="Arial"/>
            <w:noProof w:val="0"/>
            <w:color w:val="1155CC"/>
            <w:sz w:val="24"/>
            <w:szCs w:val="24"/>
            <w:lang w:val="en-GB"/>
          </w:rPr>
          <w:t>https://www.telegraph.co.uk/family/parenting/raise-worlds-happiest-children-time-went-dutch/</w:t>
        </w:r>
      </w:hyperlink>
      <w:r w:rsidRPr="6B11E19B" w:rsidR="6B11E19B">
        <w:rPr>
          <w:rFonts w:ascii="Arial" w:hAnsi="Arial" w:eastAsia="Arial" w:cs="Arial"/>
          <w:noProof w:val="0"/>
          <w:color w:val="1155CC"/>
          <w:sz w:val="24"/>
          <w:szCs w:val="24"/>
          <w:lang w:val="en-GB"/>
        </w:rPr>
        <w:t xml:space="preserve"> (Accessed: 30 December 2019)</w:t>
      </w:r>
    </w:p>
    <w:p w:rsidR="6B11E19B" w:rsidP="6B11E19B" w:rsidRDefault="6B11E19B" w14:paraId="4A28C03E" w14:textId="42CDE436">
      <w:pPr>
        <w:spacing w:line="360" w:lineRule="auto"/>
      </w:pPr>
    </w:p>
    <w:p w:rsidR="6B11E19B" w:rsidP="6B11E19B" w:rsidRDefault="6B11E19B" w14:paraId="4FF229D9" w14:textId="201A2FEC">
      <w:pPr>
        <w:spacing w:line="360" w:lineRule="auto"/>
      </w:pPr>
      <w:r w:rsidRPr="6B11E19B" w:rsidR="6B11E19B">
        <w:rPr>
          <w:rFonts w:ascii="Arial" w:hAnsi="Arial" w:eastAsia="Arial" w:cs="Arial"/>
          <w:noProof w:val="0"/>
          <w:sz w:val="24"/>
          <w:szCs w:val="24"/>
          <w:lang w:val="en-GB"/>
        </w:rPr>
        <w:t xml:space="preserve">Ball, D., Gill, T. and Spiegal, B. (2012) </w:t>
      </w:r>
      <w:r w:rsidRPr="6B11E19B" w:rsidR="6B11E19B">
        <w:rPr>
          <w:rFonts w:ascii="Arial" w:hAnsi="Arial" w:eastAsia="Arial" w:cs="Arial"/>
          <w:i w:val="1"/>
          <w:iCs w:val="1"/>
          <w:noProof w:val="0"/>
          <w:sz w:val="24"/>
          <w:szCs w:val="24"/>
          <w:lang w:val="en-GB"/>
        </w:rPr>
        <w:t xml:space="preserve">Managing Risk in Play Provision: Implementation guide. </w:t>
      </w:r>
      <w:r w:rsidRPr="6B11E19B" w:rsidR="6B11E19B">
        <w:rPr>
          <w:rFonts w:ascii="Arial" w:hAnsi="Arial" w:eastAsia="Arial" w:cs="Arial"/>
          <w:noProof w:val="0"/>
          <w:sz w:val="24"/>
          <w:szCs w:val="24"/>
          <w:lang w:val="en-GB"/>
        </w:rPr>
        <w:t xml:space="preserve">Available at: </w:t>
      </w:r>
      <w:hyperlink r:id="R3215926adf654fd9">
        <w:r w:rsidRPr="6B11E19B" w:rsidR="6B11E19B">
          <w:rPr>
            <w:rStyle w:val="Hyperlink"/>
            <w:rFonts w:ascii="Arial" w:hAnsi="Arial" w:eastAsia="Arial" w:cs="Arial"/>
            <w:noProof w:val="0"/>
            <w:color w:val="1155CC"/>
            <w:sz w:val="24"/>
            <w:szCs w:val="24"/>
            <w:lang w:val="en-GB"/>
          </w:rPr>
          <w:t>https://playsafetyforum.files.wordpress.com/2015/03/managing-risk-in-play-provision.pdf</w:t>
        </w:r>
      </w:hyperlink>
      <w:r w:rsidRPr="6B11E19B" w:rsidR="6B11E19B">
        <w:rPr>
          <w:rFonts w:ascii="Arial" w:hAnsi="Arial" w:eastAsia="Arial" w:cs="Arial"/>
          <w:noProof w:val="0"/>
          <w:color w:val="1155CC"/>
          <w:sz w:val="24"/>
          <w:szCs w:val="24"/>
          <w:lang w:val="en-GB"/>
        </w:rPr>
        <w:t>. (Accessed: 22 December 2019)</w:t>
      </w:r>
    </w:p>
    <w:p w:rsidR="6B11E19B" w:rsidP="6B11E19B" w:rsidRDefault="6B11E19B" w14:paraId="30AE5502" w14:textId="53CA025A">
      <w:pPr>
        <w:spacing w:line="360" w:lineRule="auto"/>
      </w:pPr>
    </w:p>
    <w:p w:rsidR="6B11E19B" w:rsidP="6B11E19B" w:rsidRDefault="6B11E19B" w14:paraId="453EEE6C" w14:textId="4060FC83">
      <w:pPr>
        <w:spacing w:line="360" w:lineRule="auto"/>
      </w:pPr>
      <w:proofErr w:type="spellStart"/>
      <w:r w:rsidRPr="6B11E19B" w:rsidR="6B11E19B">
        <w:rPr>
          <w:rFonts w:ascii="Arial" w:hAnsi="Arial" w:eastAsia="Arial" w:cs="Arial"/>
          <w:noProof w:val="0"/>
          <w:sz w:val="24"/>
          <w:szCs w:val="24"/>
          <w:lang w:val="en-GB"/>
        </w:rPr>
        <w:t>Bazely</w:t>
      </w:r>
      <w:proofErr w:type="spellEnd"/>
      <w:r w:rsidRPr="6B11E19B" w:rsidR="6B11E19B">
        <w:rPr>
          <w:rFonts w:ascii="Arial" w:hAnsi="Arial" w:eastAsia="Arial" w:cs="Arial"/>
          <w:noProof w:val="0"/>
          <w:sz w:val="24"/>
          <w:szCs w:val="24"/>
          <w:lang w:val="en-GB"/>
        </w:rPr>
        <w:t xml:space="preserve">, S. (2018) </w:t>
      </w:r>
      <w:r w:rsidRPr="6B11E19B" w:rsidR="6B11E19B">
        <w:rPr>
          <w:rFonts w:ascii="Arial" w:hAnsi="Arial" w:eastAsia="Arial" w:cs="Arial"/>
          <w:i w:val="1"/>
          <w:iCs w:val="1"/>
          <w:noProof w:val="0"/>
          <w:sz w:val="24"/>
          <w:szCs w:val="24"/>
          <w:lang w:val="en-GB"/>
        </w:rPr>
        <w:t xml:space="preserve">A play workers guide to risk. </w:t>
      </w:r>
      <w:r w:rsidRPr="6B11E19B" w:rsidR="6B11E19B">
        <w:rPr>
          <w:rFonts w:ascii="Arial" w:hAnsi="Arial" w:eastAsia="Arial" w:cs="Arial"/>
          <w:noProof w:val="0"/>
          <w:sz w:val="24"/>
          <w:szCs w:val="24"/>
          <w:lang w:val="en-GB"/>
        </w:rPr>
        <w:t xml:space="preserve">Available at: </w:t>
      </w:r>
      <w:hyperlink r:id="R2f29f73d54394af6">
        <w:r w:rsidRPr="6B11E19B" w:rsidR="6B11E19B">
          <w:rPr>
            <w:rStyle w:val="Hyperlink"/>
            <w:rFonts w:ascii="Arial" w:hAnsi="Arial" w:eastAsia="Arial" w:cs="Arial"/>
            <w:noProof w:val="0"/>
            <w:color w:val="1155CC"/>
            <w:sz w:val="24"/>
            <w:szCs w:val="24"/>
            <w:lang w:val="en-GB"/>
          </w:rPr>
          <w:t>https://www.playwales.org.uk/login/uploaded/documents/INFORMATION%20SHEETS/A%20playworkers%20guide%20to%20risk.pdf</w:t>
        </w:r>
      </w:hyperlink>
      <w:r w:rsidRPr="6B11E19B" w:rsidR="6B11E19B">
        <w:rPr>
          <w:rFonts w:ascii="Arial" w:hAnsi="Arial" w:eastAsia="Arial" w:cs="Arial"/>
          <w:noProof w:val="0"/>
          <w:color w:val="1155CC"/>
          <w:sz w:val="24"/>
          <w:szCs w:val="24"/>
          <w:lang w:val="en-GB"/>
        </w:rPr>
        <w:t xml:space="preserve"> (Accessed: 7 January 2020)</w:t>
      </w:r>
    </w:p>
    <w:p w:rsidR="6B11E19B" w:rsidP="6B11E19B" w:rsidRDefault="6B11E19B" w14:paraId="738FD6A8" w14:textId="6F01E1B4">
      <w:pPr>
        <w:spacing w:line="360" w:lineRule="auto"/>
      </w:pPr>
    </w:p>
    <w:p w:rsidR="6B11E19B" w:rsidP="6B11E19B" w:rsidRDefault="6B11E19B" w14:paraId="5542B591" w14:textId="12A19910">
      <w:pPr>
        <w:spacing w:line="360" w:lineRule="auto"/>
      </w:pPr>
      <w:r w:rsidRPr="6B11E19B" w:rsidR="6B11E19B">
        <w:rPr>
          <w:rFonts w:ascii="Arial" w:hAnsi="Arial" w:eastAsia="Arial" w:cs="Arial"/>
          <w:noProof w:val="0"/>
          <w:sz w:val="24"/>
          <w:szCs w:val="24"/>
          <w:lang w:val="en-GB"/>
        </w:rPr>
        <w:t xml:space="preserve">Bodrova, E. and Leong, D. (2015) </w:t>
      </w:r>
      <w:r w:rsidRPr="6B11E19B" w:rsidR="6B11E19B">
        <w:rPr>
          <w:rFonts w:ascii="Arial" w:hAnsi="Arial" w:eastAsia="Arial" w:cs="Arial"/>
          <w:i w:val="1"/>
          <w:iCs w:val="1"/>
          <w:noProof w:val="0"/>
          <w:sz w:val="24"/>
          <w:szCs w:val="24"/>
          <w:lang w:val="en-GB"/>
        </w:rPr>
        <w:t>Vygotskian and Post-Vygotskian</w:t>
      </w:r>
    </w:p>
    <w:p w:rsidR="6B11E19B" w:rsidP="6B11E19B" w:rsidRDefault="6B11E19B" w14:paraId="2224B20A" w14:textId="07B9021F">
      <w:pPr>
        <w:spacing w:line="360" w:lineRule="auto"/>
      </w:pPr>
      <w:r w:rsidRPr="6B11E19B" w:rsidR="6B11E19B">
        <w:rPr>
          <w:rFonts w:ascii="Arial" w:hAnsi="Arial" w:eastAsia="Arial" w:cs="Arial"/>
          <w:i w:val="1"/>
          <w:iCs w:val="1"/>
          <w:noProof w:val="0"/>
          <w:sz w:val="24"/>
          <w:szCs w:val="24"/>
          <w:lang w:val="en-GB"/>
        </w:rPr>
        <w:t xml:space="preserve">Views on Children’s Play. </w:t>
      </w:r>
      <w:r w:rsidRPr="6B11E19B" w:rsidR="6B11E19B">
        <w:rPr>
          <w:rFonts w:ascii="Arial" w:hAnsi="Arial" w:eastAsia="Arial" w:cs="Arial"/>
          <w:noProof w:val="0"/>
          <w:sz w:val="24"/>
          <w:szCs w:val="24"/>
          <w:lang w:val="en-GB"/>
        </w:rPr>
        <w:t xml:space="preserve">p. 4 Available at: </w:t>
      </w:r>
      <w:hyperlink r:id="R23d0cdfed17f4523">
        <w:r w:rsidRPr="6B11E19B" w:rsidR="6B11E19B">
          <w:rPr>
            <w:rStyle w:val="Hyperlink"/>
            <w:rFonts w:ascii="Arial" w:hAnsi="Arial" w:eastAsia="Arial" w:cs="Arial"/>
            <w:noProof w:val="0"/>
            <w:color w:val="1155CC"/>
            <w:sz w:val="24"/>
            <w:szCs w:val="24"/>
            <w:lang w:val="en-GB"/>
          </w:rPr>
          <w:t>https://www.journalofplay.org/sites/www.journalofplay.org/files/pdf-articles/7-3-article-vygotskian-and-post-vygotskian-views.pdf</w:t>
        </w:r>
      </w:hyperlink>
      <w:r w:rsidRPr="6B11E19B" w:rsidR="6B11E19B">
        <w:rPr>
          <w:rFonts w:ascii="Arial" w:hAnsi="Arial" w:eastAsia="Arial" w:cs="Arial"/>
          <w:noProof w:val="0"/>
          <w:color w:val="1155CC"/>
          <w:sz w:val="24"/>
          <w:szCs w:val="24"/>
          <w:lang w:val="en-GB"/>
        </w:rPr>
        <w:t xml:space="preserve"> (Accessed: 6 January 2020)</w:t>
      </w:r>
      <w:r>
        <w:br/>
      </w:r>
    </w:p>
    <w:p w:rsidR="6B11E19B" w:rsidP="6B11E19B" w:rsidRDefault="6B11E19B" w14:paraId="4CEC6C53" w14:textId="0A30A558">
      <w:pPr>
        <w:spacing w:line="360" w:lineRule="auto"/>
      </w:pPr>
      <w:r w:rsidRPr="6B11E19B" w:rsidR="6B11E19B">
        <w:rPr>
          <w:rFonts w:ascii="Arial" w:hAnsi="Arial" w:eastAsia="Arial" w:cs="Arial"/>
          <w:noProof w:val="0"/>
          <w:sz w:val="24"/>
          <w:szCs w:val="24"/>
          <w:lang w:val="en-GB"/>
        </w:rPr>
        <w:t xml:space="preserve">Brown, F. (2014) </w:t>
      </w:r>
      <w:r w:rsidRPr="6B11E19B" w:rsidR="6B11E19B">
        <w:rPr>
          <w:rFonts w:ascii="Arial" w:hAnsi="Arial" w:eastAsia="Arial" w:cs="Arial"/>
          <w:i w:val="1"/>
          <w:iCs w:val="1"/>
          <w:noProof w:val="0"/>
          <w:sz w:val="24"/>
          <w:szCs w:val="24"/>
          <w:lang w:val="en-GB"/>
        </w:rPr>
        <w:t xml:space="preserve">Play and </w:t>
      </w:r>
      <w:proofErr w:type="spellStart"/>
      <w:r w:rsidRPr="6B11E19B" w:rsidR="6B11E19B">
        <w:rPr>
          <w:rFonts w:ascii="Arial" w:hAnsi="Arial" w:eastAsia="Arial" w:cs="Arial"/>
          <w:i w:val="1"/>
          <w:iCs w:val="1"/>
          <w:noProof w:val="0"/>
          <w:sz w:val="24"/>
          <w:szCs w:val="24"/>
          <w:lang w:val="en-GB"/>
        </w:rPr>
        <w:t>playwork</w:t>
      </w:r>
      <w:proofErr w:type="spellEnd"/>
      <w:r w:rsidRPr="6B11E19B" w:rsidR="6B11E19B">
        <w:rPr>
          <w:rFonts w:ascii="Arial" w:hAnsi="Arial" w:eastAsia="Arial" w:cs="Arial"/>
          <w:i w:val="1"/>
          <w:iCs w:val="1"/>
          <w:noProof w:val="0"/>
          <w:sz w:val="24"/>
          <w:szCs w:val="24"/>
          <w:lang w:val="en-GB"/>
        </w:rPr>
        <w:t xml:space="preserve"> 101 stories of children playing. </w:t>
      </w:r>
      <w:r w:rsidRPr="6B11E19B" w:rsidR="6B11E19B">
        <w:rPr>
          <w:rFonts w:ascii="Arial" w:hAnsi="Arial" w:eastAsia="Arial" w:cs="Arial"/>
          <w:noProof w:val="0"/>
          <w:sz w:val="24"/>
          <w:szCs w:val="24"/>
          <w:lang w:val="en-GB"/>
        </w:rPr>
        <w:t>Maidenhead: McGraw-Hill Education.</w:t>
      </w:r>
    </w:p>
    <w:p w:rsidR="6B11E19B" w:rsidP="6B11E19B" w:rsidRDefault="6B11E19B" w14:paraId="15BC1967" w14:textId="0ED0B122">
      <w:pPr>
        <w:spacing w:line="360" w:lineRule="auto"/>
      </w:pPr>
    </w:p>
    <w:p w:rsidR="6B11E19B" w:rsidP="6B11E19B" w:rsidRDefault="6B11E19B" w14:paraId="17894B6E" w14:textId="43A019F9">
      <w:pPr>
        <w:spacing w:line="360" w:lineRule="auto"/>
      </w:pPr>
      <w:r w:rsidRPr="6B11E19B" w:rsidR="6B11E19B">
        <w:rPr>
          <w:rFonts w:ascii="Arial" w:hAnsi="Arial" w:eastAsia="Arial" w:cs="Arial"/>
          <w:noProof w:val="0"/>
          <w:sz w:val="24"/>
          <w:szCs w:val="24"/>
          <w:lang w:val="en-GB"/>
        </w:rPr>
        <w:t xml:space="preserve">Brown, F. and </w:t>
      </w:r>
      <w:proofErr w:type="spellStart"/>
      <w:r w:rsidRPr="6B11E19B" w:rsidR="6B11E19B">
        <w:rPr>
          <w:rFonts w:ascii="Arial" w:hAnsi="Arial" w:eastAsia="Arial" w:cs="Arial"/>
          <w:noProof w:val="0"/>
          <w:sz w:val="24"/>
          <w:szCs w:val="24"/>
          <w:lang w:val="en-GB"/>
        </w:rPr>
        <w:t>Patte</w:t>
      </w:r>
      <w:proofErr w:type="spellEnd"/>
      <w:r w:rsidRPr="6B11E19B" w:rsidR="6B11E19B">
        <w:rPr>
          <w:rFonts w:ascii="Arial" w:hAnsi="Arial" w:eastAsia="Arial" w:cs="Arial"/>
          <w:noProof w:val="0"/>
          <w:sz w:val="24"/>
          <w:szCs w:val="24"/>
          <w:lang w:val="en-GB"/>
        </w:rPr>
        <w:t xml:space="preserve">, M. (2012) </w:t>
      </w:r>
      <w:r w:rsidRPr="6B11E19B" w:rsidR="6B11E19B">
        <w:rPr>
          <w:rFonts w:ascii="Arial" w:hAnsi="Arial" w:eastAsia="Arial" w:cs="Arial"/>
          <w:i w:val="1"/>
          <w:iCs w:val="1"/>
          <w:noProof w:val="0"/>
          <w:sz w:val="24"/>
          <w:szCs w:val="24"/>
          <w:lang w:val="en-GB"/>
        </w:rPr>
        <w:t xml:space="preserve">Rethinking Children’s Play. </w:t>
      </w:r>
      <w:r w:rsidRPr="6B11E19B" w:rsidR="6B11E19B">
        <w:rPr>
          <w:rFonts w:ascii="Arial" w:hAnsi="Arial" w:eastAsia="Arial" w:cs="Arial"/>
          <w:noProof w:val="0"/>
          <w:sz w:val="24"/>
          <w:szCs w:val="24"/>
          <w:lang w:val="en-GB"/>
        </w:rPr>
        <w:t xml:space="preserve">London: Bloomsbury UK. </w:t>
      </w:r>
      <w:r>
        <w:br/>
      </w:r>
    </w:p>
    <w:p w:rsidR="6B11E19B" w:rsidP="6B11E19B" w:rsidRDefault="6B11E19B" w14:paraId="7FC18F05" w14:textId="66C7631C">
      <w:pPr>
        <w:spacing w:line="360" w:lineRule="auto"/>
      </w:pPr>
      <w:r w:rsidRPr="6B11E19B" w:rsidR="6B11E19B">
        <w:rPr>
          <w:rFonts w:ascii="Arial" w:hAnsi="Arial" w:eastAsia="Arial" w:cs="Arial"/>
          <w:noProof w:val="0"/>
          <w:sz w:val="24"/>
          <w:szCs w:val="24"/>
          <w:lang w:val="en-GB"/>
        </w:rPr>
        <w:t xml:space="preserve">Brown, S. (2008) </w:t>
      </w:r>
      <w:r w:rsidRPr="6B11E19B" w:rsidR="6B11E19B">
        <w:rPr>
          <w:rFonts w:ascii="Arial" w:hAnsi="Arial" w:eastAsia="Arial" w:cs="Arial"/>
          <w:i w:val="1"/>
          <w:iCs w:val="1"/>
          <w:noProof w:val="0"/>
          <w:sz w:val="24"/>
          <w:szCs w:val="24"/>
          <w:lang w:val="en-GB"/>
        </w:rPr>
        <w:t xml:space="preserve">Play is more than just fun. </w:t>
      </w:r>
      <w:r w:rsidRPr="6B11E19B" w:rsidR="6B11E19B">
        <w:rPr>
          <w:rFonts w:ascii="Arial" w:hAnsi="Arial" w:eastAsia="Arial" w:cs="Arial"/>
          <w:noProof w:val="0"/>
          <w:sz w:val="24"/>
          <w:szCs w:val="24"/>
          <w:lang w:val="en-GB"/>
        </w:rPr>
        <w:t xml:space="preserve">Available at: </w:t>
      </w:r>
      <w:hyperlink w:anchor="t-350069" r:id="Rfaeb830800fa4ec0">
        <w:r w:rsidRPr="6B11E19B" w:rsidR="6B11E19B">
          <w:rPr>
            <w:rStyle w:val="Hyperlink"/>
            <w:rFonts w:ascii="Arial" w:hAnsi="Arial" w:eastAsia="Arial" w:cs="Arial"/>
            <w:noProof w:val="0"/>
            <w:color w:val="1155CC"/>
            <w:sz w:val="24"/>
            <w:szCs w:val="24"/>
            <w:lang w:val="en-GB"/>
          </w:rPr>
          <w:t>https://www.ted.com/talks/stuart_brown_play_is_more_than_just_fun#t-350069</w:t>
        </w:r>
      </w:hyperlink>
      <w:r w:rsidRPr="6B11E19B" w:rsidR="6B11E19B">
        <w:rPr>
          <w:rFonts w:ascii="Arial" w:hAnsi="Arial" w:eastAsia="Arial" w:cs="Arial"/>
          <w:noProof w:val="0"/>
          <w:color w:val="1155CC"/>
          <w:sz w:val="24"/>
          <w:szCs w:val="24"/>
          <w:lang w:val="en-GB"/>
        </w:rPr>
        <w:t xml:space="preserve"> (Accessed: 22 December 2019) </w:t>
      </w:r>
    </w:p>
    <w:p w:rsidR="6B11E19B" w:rsidP="6B11E19B" w:rsidRDefault="6B11E19B" w14:paraId="245E8020" w14:textId="52393D02">
      <w:pPr>
        <w:spacing w:line="360" w:lineRule="auto"/>
      </w:pPr>
    </w:p>
    <w:p w:rsidR="6B11E19B" w:rsidP="6B11E19B" w:rsidRDefault="6B11E19B" w14:paraId="3C973420" w14:textId="478789CE">
      <w:pPr>
        <w:spacing w:line="360" w:lineRule="auto"/>
      </w:pPr>
      <w:r w:rsidRPr="6B11E19B" w:rsidR="6B11E19B">
        <w:rPr>
          <w:rFonts w:ascii="Arial" w:hAnsi="Arial" w:eastAsia="Arial" w:cs="Arial"/>
          <w:noProof w:val="0"/>
          <w:sz w:val="24"/>
          <w:szCs w:val="24"/>
          <w:lang w:val="en-GB"/>
        </w:rPr>
        <w:t xml:space="preserve">Bruce, T., Louis, S. and McCall, G. (2015) </w:t>
      </w:r>
      <w:r w:rsidRPr="6B11E19B" w:rsidR="6B11E19B">
        <w:rPr>
          <w:rFonts w:ascii="Arial" w:hAnsi="Arial" w:eastAsia="Arial" w:cs="Arial"/>
          <w:i w:val="1"/>
          <w:iCs w:val="1"/>
          <w:noProof w:val="0"/>
          <w:sz w:val="24"/>
          <w:szCs w:val="24"/>
          <w:lang w:val="en-GB"/>
        </w:rPr>
        <w:t xml:space="preserve">Observing Young Children. </w:t>
      </w:r>
      <w:r w:rsidRPr="6B11E19B" w:rsidR="6B11E19B">
        <w:rPr>
          <w:rFonts w:ascii="Arial" w:hAnsi="Arial" w:eastAsia="Arial" w:cs="Arial"/>
          <w:noProof w:val="0"/>
          <w:sz w:val="24"/>
          <w:szCs w:val="24"/>
          <w:lang w:val="en-GB"/>
        </w:rPr>
        <w:t>London: Sage.</w:t>
      </w:r>
    </w:p>
    <w:p w:rsidR="6B11E19B" w:rsidP="6B11E19B" w:rsidRDefault="6B11E19B" w14:paraId="0B7567A9" w14:textId="6228CBA3">
      <w:pPr>
        <w:spacing w:line="360" w:lineRule="auto"/>
      </w:pPr>
    </w:p>
    <w:p w:rsidR="6B11E19B" w:rsidP="6B11E19B" w:rsidRDefault="6B11E19B" w14:paraId="6E1B4262" w14:textId="6E95913E">
      <w:pPr>
        <w:spacing w:line="360" w:lineRule="auto"/>
      </w:pPr>
      <w:r w:rsidRPr="6B11E19B" w:rsidR="6B11E19B">
        <w:rPr>
          <w:rFonts w:ascii="Arial" w:hAnsi="Arial" w:eastAsia="Arial" w:cs="Arial"/>
          <w:noProof w:val="0"/>
          <w:sz w:val="24"/>
          <w:szCs w:val="24"/>
          <w:lang w:val="en-GB"/>
        </w:rPr>
        <w:t xml:space="preserve">Burleson, S. and Thoron, A. (2017) </w:t>
      </w:r>
      <w:r w:rsidRPr="6B11E19B" w:rsidR="6B11E19B">
        <w:rPr>
          <w:rFonts w:ascii="Arial" w:hAnsi="Arial" w:eastAsia="Arial" w:cs="Arial"/>
          <w:i w:val="1"/>
          <w:iCs w:val="1"/>
          <w:noProof w:val="0"/>
          <w:sz w:val="24"/>
          <w:szCs w:val="24"/>
          <w:lang w:val="en-GB"/>
        </w:rPr>
        <w:t xml:space="preserve">Maslow’s Hierarchy of Needs and Its Relation to Learning and Achievement. </w:t>
      </w:r>
      <w:r w:rsidRPr="6B11E19B" w:rsidR="6B11E19B">
        <w:rPr>
          <w:rFonts w:ascii="Arial" w:hAnsi="Arial" w:eastAsia="Arial" w:cs="Arial"/>
          <w:noProof w:val="0"/>
          <w:sz w:val="24"/>
          <w:szCs w:val="24"/>
          <w:lang w:val="en-GB"/>
        </w:rPr>
        <w:t xml:space="preserve">Available at: </w:t>
      </w:r>
      <w:r w:rsidRPr="6B11E19B" w:rsidR="6B11E19B">
        <w:rPr>
          <w:rFonts w:ascii="Arial" w:hAnsi="Arial" w:eastAsia="Arial" w:cs="Arial"/>
          <w:i w:val="1"/>
          <w:iCs w:val="1"/>
          <w:noProof w:val="0"/>
          <w:sz w:val="24"/>
          <w:szCs w:val="24"/>
          <w:lang w:val="en-GB"/>
        </w:rPr>
        <w:t xml:space="preserve"> </w:t>
      </w:r>
      <w:hyperlink r:id="R1e6260971401407a">
        <w:r w:rsidRPr="6B11E19B" w:rsidR="6B11E19B">
          <w:rPr>
            <w:rStyle w:val="Hyperlink"/>
            <w:rFonts w:ascii="Arial" w:hAnsi="Arial" w:eastAsia="Arial" w:cs="Arial"/>
            <w:noProof w:val="0"/>
            <w:color w:val="1155CC"/>
            <w:sz w:val="24"/>
            <w:szCs w:val="24"/>
            <w:lang w:val="en-GB"/>
          </w:rPr>
          <w:t>https://edis.ifas.ufl.edu/pdffiles/WC/WC15900.pdf</w:t>
        </w:r>
      </w:hyperlink>
      <w:r w:rsidRPr="6B11E19B" w:rsidR="6B11E19B">
        <w:rPr>
          <w:rFonts w:ascii="Arial" w:hAnsi="Arial" w:eastAsia="Arial" w:cs="Arial"/>
          <w:noProof w:val="0"/>
          <w:color w:val="1155CC"/>
          <w:sz w:val="24"/>
          <w:szCs w:val="24"/>
          <w:lang w:val="en-GB"/>
        </w:rPr>
        <w:t xml:space="preserve"> (Accessed: 6 January 2020)</w:t>
      </w:r>
    </w:p>
    <w:p w:rsidR="6B11E19B" w:rsidP="6B11E19B" w:rsidRDefault="6B11E19B" w14:paraId="6B9B9A30" w14:textId="3560C3CA">
      <w:pPr>
        <w:spacing w:line="360" w:lineRule="auto"/>
      </w:pPr>
    </w:p>
    <w:p w:rsidR="6B11E19B" w:rsidP="6B11E19B" w:rsidRDefault="6B11E19B" w14:paraId="6208B144" w14:textId="22D2A27B">
      <w:pPr>
        <w:spacing w:line="360" w:lineRule="auto"/>
      </w:pPr>
      <w:r w:rsidRPr="6B11E19B" w:rsidR="6B11E19B">
        <w:rPr>
          <w:rFonts w:ascii="Arial" w:hAnsi="Arial" w:eastAsia="Arial" w:cs="Arial"/>
          <w:noProof w:val="0"/>
          <w:sz w:val="24"/>
          <w:szCs w:val="24"/>
          <w:lang w:val="en-GB"/>
        </w:rPr>
        <w:t xml:space="preserve">Casey, T. (2010) </w:t>
      </w:r>
      <w:r w:rsidRPr="6B11E19B" w:rsidR="6B11E19B">
        <w:rPr>
          <w:rFonts w:ascii="Arial" w:hAnsi="Arial" w:eastAsia="Arial" w:cs="Arial"/>
          <w:i w:val="1"/>
          <w:iCs w:val="1"/>
          <w:noProof w:val="0"/>
          <w:sz w:val="24"/>
          <w:szCs w:val="24"/>
          <w:lang w:val="en-GB"/>
        </w:rPr>
        <w:t>Inclusive Play.</w:t>
      </w:r>
      <w:r w:rsidRPr="6B11E19B" w:rsidR="6B11E19B">
        <w:rPr>
          <w:rFonts w:ascii="Arial" w:hAnsi="Arial" w:eastAsia="Arial" w:cs="Arial"/>
          <w:noProof w:val="0"/>
          <w:sz w:val="24"/>
          <w:szCs w:val="24"/>
          <w:lang w:val="en-GB"/>
        </w:rPr>
        <w:t xml:space="preserve"> 2nd ed. Sage: London</w:t>
      </w:r>
    </w:p>
    <w:p w:rsidR="6B11E19B" w:rsidP="6B11E19B" w:rsidRDefault="6B11E19B" w14:paraId="286FC26A" w14:textId="45FBFABB">
      <w:pPr>
        <w:spacing w:line="360" w:lineRule="auto"/>
      </w:pPr>
    </w:p>
    <w:p w:rsidR="6B11E19B" w:rsidP="6B11E19B" w:rsidRDefault="6B11E19B" w14:paraId="24EAD05B" w14:textId="57C2A565">
      <w:pPr>
        <w:spacing w:line="360" w:lineRule="auto"/>
      </w:pPr>
      <w:proofErr w:type="spellStart"/>
      <w:r w:rsidRPr="6B11E19B" w:rsidR="6B11E19B">
        <w:rPr>
          <w:rFonts w:ascii="Arial" w:hAnsi="Arial" w:eastAsia="Arial" w:cs="Arial"/>
          <w:noProof w:val="0"/>
          <w:sz w:val="24"/>
          <w:szCs w:val="24"/>
          <w:lang w:val="en-GB"/>
        </w:rPr>
        <w:t>eduFocus</w:t>
      </w:r>
      <w:proofErr w:type="spellEnd"/>
      <w:r w:rsidRPr="6B11E19B" w:rsidR="6B11E19B">
        <w:rPr>
          <w:rFonts w:ascii="Arial" w:hAnsi="Arial" w:eastAsia="Arial" w:cs="Arial"/>
          <w:noProof w:val="0"/>
          <w:sz w:val="24"/>
          <w:szCs w:val="24"/>
          <w:lang w:val="en-GB"/>
        </w:rPr>
        <w:t xml:space="preserve"> (no date) </w:t>
      </w:r>
      <w:r w:rsidRPr="6B11E19B" w:rsidR="6B11E19B">
        <w:rPr>
          <w:rFonts w:ascii="Arial" w:hAnsi="Arial" w:eastAsia="Arial" w:cs="Arial"/>
          <w:i w:val="1"/>
          <w:iCs w:val="1"/>
          <w:noProof w:val="0"/>
          <w:sz w:val="24"/>
          <w:szCs w:val="24"/>
          <w:lang w:val="en-GB"/>
        </w:rPr>
        <w:t xml:space="preserve">What is </w:t>
      </w:r>
      <w:proofErr w:type="spellStart"/>
      <w:r w:rsidRPr="6B11E19B" w:rsidR="6B11E19B">
        <w:rPr>
          <w:rFonts w:ascii="Arial" w:hAnsi="Arial" w:eastAsia="Arial" w:cs="Arial"/>
          <w:i w:val="1"/>
          <w:iCs w:val="1"/>
          <w:noProof w:val="0"/>
          <w:sz w:val="24"/>
          <w:szCs w:val="24"/>
          <w:lang w:val="en-GB"/>
        </w:rPr>
        <w:t>EVOLVEvisits</w:t>
      </w:r>
      <w:proofErr w:type="spellEnd"/>
      <w:r w:rsidRPr="6B11E19B" w:rsidR="6B11E19B">
        <w:rPr>
          <w:rFonts w:ascii="Arial" w:hAnsi="Arial" w:eastAsia="Arial" w:cs="Arial"/>
          <w:i w:val="1"/>
          <w:iCs w:val="1"/>
          <w:noProof w:val="0"/>
          <w:sz w:val="24"/>
          <w:szCs w:val="24"/>
          <w:lang w:val="en-GB"/>
        </w:rPr>
        <w:t xml:space="preserve">? </w:t>
      </w:r>
      <w:r w:rsidRPr="6B11E19B" w:rsidR="6B11E19B">
        <w:rPr>
          <w:rFonts w:ascii="Arial" w:hAnsi="Arial" w:eastAsia="Arial" w:cs="Arial"/>
          <w:noProof w:val="0"/>
          <w:sz w:val="24"/>
          <w:szCs w:val="24"/>
          <w:lang w:val="en-GB"/>
        </w:rPr>
        <w:t xml:space="preserve">Available at: </w:t>
      </w:r>
      <w:hyperlink r:id="R974ebc335b014e32">
        <w:r w:rsidRPr="6B11E19B" w:rsidR="6B11E19B">
          <w:rPr>
            <w:rStyle w:val="Hyperlink"/>
            <w:rFonts w:ascii="Arial" w:hAnsi="Arial" w:eastAsia="Arial" w:cs="Arial"/>
            <w:noProof w:val="0"/>
            <w:color w:val="1155CC"/>
            <w:sz w:val="24"/>
            <w:szCs w:val="24"/>
            <w:lang w:val="en-GB"/>
          </w:rPr>
          <w:t>http://www.edufocus.co.uk/pages/evolve/visits.asp</w:t>
        </w:r>
      </w:hyperlink>
      <w:r w:rsidRPr="6B11E19B" w:rsidR="6B11E19B">
        <w:rPr>
          <w:rFonts w:ascii="Arial" w:hAnsi="Arial" w:eastAsia="Arial" w:cs="Arial"/>
          <w:noProof w:val="0"/>
          <w:color w:val="1155CC"/>
          <w:sz w:val="24"/>
          <w:szCs w:val="24"/>
          <w:lang w:val="en-GB"/>
        </w:rPr>
        <w:t xml:space="preserve"> (Accessed 4 January 2020)</w:t>
      </w:r>
    </w:p>
    <w:p w:rsidR="6B11E19B" w:rsidP="6B11E19B" w:rsidRDefault="6B11E19B" w14:paraId="24AE8D4B" w14:textId="537370F5">
      <w:pPr>
        <w:spacing w:line="360" w:lineRule="auto"/>
      </w:pPr>
    </w:p>
    <w:p w:rsidR="6B11E19B" w:rsidP="6B11E19B" w:rsidRDefault="6B11E19B" w14:paraId="1FEA000D" w14:textId="7A588198">
      <w:pPr>
        <w:spacing w:line="360" w:lineRule="auto"/>
      </w:pPr>
      <w:r w:rsidRPr="6B11E19B" w:rsidR="6B11E19B">
        <w:rPr>
          <w:rFonts w:ascii="Arial" w:hAnsi="Arial" w:eastAsia="Arial" w:cs="Arial"/>
          <w:noProof w:val="0"/>
          <w:sz w:val="24"/>
          <w:szCs w:val="24"/>
          <w:lang w:val="en-GB"/>
        </w:rPr>
        <w:t xml:space="preserve">Gyllencreutz, L. et al. (2018) </w:t>
      </w:r>
      <w:r w:rsidRPr="6B11E19B" w:rsidR="6B11E19B">
        <w:rPr>
          <w:rFonts w:ascii="Arial" w:hAnsi="Arial" w:eastAsia="Arial" w:cs="Arial"/>
          <w:i w:val="1"/>
          <w:iCs w:val="1"/>
          <w:noProof w:val="0"/>
          <w:sz w:val="24"/>
          <w:szCs w:val="24"/>
          <w:lang w:val="en-GB"/>
        </w:rPr>
        <w:t xml:space="preserve">Injury risks during outdoor play among Swedish schoolchildren: teachers’ perceptions and injury preventive practices. </w:t>
      </w:r>
      <w:r w:rsidRPr="6B11E19B" w:rsidR="6B11E19B">
        <w:rPr>
          <w:rFonts w:ascii="Arial" w:hAnsi="Arial" w:eastAsia="Arial" w:cs="Arial"/>
          <w:noProof w:val="0"/>
          <w:sz w:val="24"/>
          <w:szCs w:val="24"/>
          <w:lang w:val="en-GB"/>
        </w:rPr>
        <w:t xml:space="preserve">Available at: </w:t>
      </w:r>
      <w:hyperlink r:id="R3ed53e53d5f44471">
        <w:r w:rsidRPr="6B11E19B" w:rsidR="6B11E19B">
          <w:rPr>
            <w:rStyle w:val="Hyperlink"/>
            <w:rFonts w:ascii="Arial" w:hAnsi="Arial" w:eastAsia="Arial" w:cs="Arial"/>
            <w:noProof w:val="0"/>
            <w:color w:val="1155CC"/>
            <w:sz w:val="24"/>
            <w:szCs w:val="24"/>
            <w:lang w:val="en-GB"/>
          </w:rPr>
          <w:t>https://www-tandfonline-com.ezproxy.uwtsd.ac.uk/doi/full/10.1080/03004279.2018.1551912?scroll=top&amp;needAccess=true</w:t>
        </w:r>
      </w:hyperlink>
      <w:r w:rsidRPr="6B11E19B" w:rsidR="6B11E19B">
        <w:rPr>
          <w:rFonts w:ascii="Arial" w:hAnsi="Arial" w:eastAsia="Arial" w:cs="Arial"/>
          <w:noProof w:val="0"/>
          <w:color w:val="1155CC"/>
          <w:sz w:val="24"/>
          <w:szCs w:val="24"/>
          <w:lang w:val="en-GB"/>
        </w:rPr>
        <w:t xml:space="preserve"> (Accessed: 2 January 2020)</w:t>
      </w:r>
    </w:p>
    <w:p w:rsidR="6B11E19B" w:rsidP="6B11E19B" w:rsidRDefault="6B11E19B" w14:paraId="37032AF5" w14:textId="519F26E3">
      <w:pPr>
        <w:spacing w:line="360" w:lineRule="auto"/>
      </w:pPr>
    </w:p>
    <w:p w:rsidR="6B11E19B" w:rsidP="6B11E19B" w:rsidRDefault="6B11E19B" w14:paraId="26B746DA" w14:textId="76B211AD">
      <w:pPr>
        <w:spacing w:line="360" w:lineRule="auto"/>
        <w:rPr>
          <w:rFonts w:ascii="Arial" w:hAnsi="Arial" w:eastAsia="Arial" w:cs="Arial"/>
          <w:noProof w:val="0"/>
          <w:sz w:val="24"/>
          <w:szCs w:val="24"/>
          <w:lang w:val="en-GB"/>
        </w:rPr>
      </w:pPr>
      <w:r w:rsidRPr="6B11E19B" w:rsidR="6B11E19B">
        <w:rPr>
          <w:rFonts w:ascii="Arial" w:hAnsi="Arial" w:eastAsia="Arial" w:cs="Arial"/>
          <w:noProof w:val="0"/>
          <w:sz w:val="24"/>
          <w:szCs w:val="24"/>
          <w:lang w:val="en-GB"/>
        </w:rPr>
        <w:t>Howard, J. and McInnes, K. (2012) ‘</w:t>
      </w:r>
      <w:r w:rsidRPr="6B11E19B" w:rsidR="6B11E19B">
        <w:rPr>
          <w:rFonts w:ascii="Arial" w:hAnsi="Arial" w:eastAsia="Arial" w:cs="Arial"/>
          <w:i w:val="1"/>
          <w:iCs w:val="1"/>
          <w:noProof w:val="0"/>
          <w:sz w:val="24"/>
          <w:szCs w:val="24"/>
          <w:lang w:val="en-GB"/>
        </w:rPr>
        <w:t xml:space="preserve">The impact of children’s perception of an activity as play rather than not play on emotional well-being’, Child: care, health and development, </w:t>
      </w:r>
      <w:r w:rsidRPr="6B11E19B" w:rsidR="6B11E19B">
        <w:rPr>
          <w:rFonts w:ascii="Arial" w:hAnsi="Arial" w:eastAsia="Arial" w:cs="Arial"/>
          <w:noProof w:val="0"/>
          <w:sz w:val="24"/>
          <w:szCs w:val="24"/>
          <w:lang w:val="en-GB"/>
        </w:rPr>
        <w:t>39(5),</w:t>
      </w:r>
      <w:r w:rsidRPr="6B11E19B" w:rsidR="6B11E19B">
        <w:rPr>
          <w:rFonts w:ascii="Arial" w:hAnsi="Arial" w:eastAsia="Arial" w:cs="Arial"/>
          <w:i w:val="1"/>
          <w:iCs w:val="1"/>
          <w:noProof w:val="0"/>
          <w:sz w:val="24"/>
          <w:szCs w:val="24"/>
          <w:lang w:val="en-GB"/>
        </w:rPr>
        <w:t xml:space="preserve"> </w:t>
      </w:r>
      <w:r w:rsidRPr="6B11E19B" w:rsidR="6B11E19B">
        <w:rPr>
          <w:rFonts w:ascii="Arial" w:hAnsi="Arial" w:eastAsia="Arial" w:cs="Arial"/>
          <w:noProof w:val="0"/>
          <w:sz w:val="24"/>
          <w:szCs w:val="24"/>
          <w:lang w:val="en-GB"/>
        </w:rPr>
        <w:t>p.741</w:t>
      </w:r>
      <w:r w:rsidRPr="6B11E19B" w:rsidR="6B11E19B">
        <w:rPr>
          <w:rFonts w:ascii="Arial" w:hAnsi="Arial" w:eastAsia="Arial" w:cs="Arial"/>
          <w:i w:val="1"/>
          <w:iCs w:val="1"/>
          <w:noProof w:val="0"/>
          <w:sz w:val="24"/>
          <w:szCs w:val="24"/>
          <w:lang w:val="en-GB"/>
        </w:rPr>
        <w:t xml:space="preserve"> </w:t>
      </w:r>
      <w:r w:rsidRPr="6B11E19B" w:rsidR="6B11E19B">
        <w:rPr>
          <w:rFonts w:ascii="Arial" w:hAnsi="Arial" w:eastAsia="Arial" w:cs="Arial"/>
          <w:noProof w:val="0"/>
          <w:sz w:val="24"/>
          <w:szCs w:val="24"/>
          <w:lang w:val="en-GB"/>
        </w:rPr>
        <w:t>DOI: 10.1111/j.1365-2214.</w:t>
      </w:r>
      <w:proofErr w:type="gramStart"/>
      <w:r w:rsidRPr="6B11E19B" w:rsidR="6B11E19B">
        <w:rPr>
          <w:rFonts w:ascii="Arial" w:hAnsi="Arial" w:eastAsia="Arial" w:cs="Arial"/>
          <w:noProof w:val="0"/>
          <w:sz w:val="24"/>
          <w:szCs w:val="24"/>
          <w:lang w:val="en-GB"/>
        </w:rPr>
        <w:t>2012.01405.x</w:t>
      </w:r>
      <w:proofErr w:type="gramEnd"/>
    </w:p>
    <w:p w:rsidR="6B11E19B" w:rsidP="6B11E19B" w:rsidRDefault="6B11E19B" w14:paraId="25F99C2B" w14:textId="0CF8E3F8">
      <w:pPr>
        <w:spacing w:line="360" w:lineRule="auto"/>
      </w:pPr>
    </w:p>
    <w:p w:rsidR="6B11E19B" w:rsidP="6B11E19B" w:rsidRDefault="6B11E19B" w14:paraId="48925F42" w14:textId="23795BF4">
      <w:pPr>
        <w:spacing w:line="360" w:lineRule="auto"/>
      </w:pPr>
      <w:r w:rsidRPr="6B11E19B" w:rsidR="6B11E19B">
        <w:rPr>
          <w:rFonts w:ascii="Arial" w:hAnsi="Arial" w:eastAsia="Arial" w:cs="Arial"/>
          <w:noProof w:val="0"/>
          <w:sz w:val="24"/>
          <w:szCs w:val="24"/>
          <w:lang w:val="en-GB"/>
        </w:rPr>
        <w:t xml:space="preserve">Lego Foundation (2017) </w:t>
      </w:r>
      <w:r w:rsidRPr="6B11E19B" w:rsidR="6B11E19B">
        <w:rPr>
          <w:rFonts w:ascii="Arial" w:hAnsi="Arial" w:eastAsia="Arial" w:cs="Arial"/>
          <w:i w:val="1"/>
          <w:iCs w:val="1"/>
          <w:noProof w:val="0"/>
          <w:sz w:val="24"/>
          <w:szCs w:val="24"/>
          <w:lang w:val="en-GB"/>
        </w:rPr>
        <w:t>Learning through play:</w:t>
      </w:r>
    </w:p>
    <w:p w:rsidR="6B11E19B" w:rsidP="6B11E19B" w:rsidRDefault="6B11E19B" w14:paraId="1E359869" w14:textId="74BF4938">
      <w:pPr>
        <w:spacing w:line="360" w:lineRule="auto"/>
      </w:pPr>
      <w:r w:rsidRPr="6B11E19B" w:rsidR="6B11E19B">
        <w:rPr>
          <w:rFonts w:ascii="Arial" w:hAnsi="Arial" w:eastAsia="Arial" w:cs="Arial"/>
          <w:i w:val="1"/>
          <w:iCs w:val="1"/>
          <w:noProof w:val="0"/>
          <w:sz w:val="24"/>
          <w:szCs w:val="24"/>
          <w:lang w:val="en-GB"/>
        </w:rPr>
        <w:t xml:space="preserve">a review of the evidence. </w:t>
      </w:r>
      <w:r w:rsidRPr="6B11E19B" w:rsidR="6B11E19B">
        <w:rPr>
          <w:rFonts w:ascii="Arial" w:hAnsi="Arial" w:eastAsia="Arial" w:cs="Arial"/>
          <w:noProof w:val="0"/>
          <w:sz w:val="24"/>
          <w:szCs w:val="24"/>
          <w:lang w:val="en-GB"/>
        </w:rPr>
        <w:t xml:space="preserve">Available at: </w:t>
      </w:r>
      <w:hyperlink r:id="R4c8e02aad2854428">
        <w:r w:rsidRPr="6B11E19B" w:rsidR="6B11E19B">
          <w:rPr>
            <w:rStyle w:val="Hyperlink"/>
            <w:rFonts w:ascii="Arial" w:hAnsi="Arial" w:eastAsia="Arial" w:cs="Arial"/>
            <w:noProof w:val="0"/>
            <w:color w:val="1155CC"/>
            <w:sz w:val="24"/>
            <w:szCs w:val="24"/>
            <w:lang w:val="en-GB"/>
          </w:rPr>
          <w:t>https://www.legofoundation.com/media/1063/learning-through-play_web.pdf</w:t>
        </w:r>
      </w:hyperlink>
      <w:r w:rsidRPr="6B11E19B" w:rsidR="6B11E19B">
        <w:rPr>
          <w:rFonts w:ascii="Arial" w:hAnsi="Arial" w:eastAsia="Arial" w:cs="Arial"/>
          <w:noProof w:val="0"/>
          <w:color w:val="1155CC"/>
          <w:sz w:val="24"/>
          <w:szCs w:val="24"/>
          <w:lang w:val="en-GB"/>
        </w:rPr>
        <w:t xml:space="preserve"> (Accessed: 10 January 2020)</w:t>
      </w:r>
    </w:p>
    <w:p w:rsidR="6B11E19B" w:rsidP="6B11E19B" w:rsidRDefault="6B11E19B" w14:paraId="3281350C" w14:textId="15683FB6">
      <w:pPr>
        <w:spacing w:line="360" w:lineRule="auto"/>
      </w:pPr>
    </w:p>
    <w:p w:rsidR="6B11E19B" w:rsidP="6B11E19B" w:rsidRDefault="6B11E19B" w14:paraId="6C1E3885" w14:textId="1736AC7A">
      <w:pPr>
        <w:spacing w:line="360" w:lineRule="auto"/>
      </w:pPr>
      <w:r w:rsidRPr="6B11E19B" w:rsidR="6B11E19B">
        <w:rPr>
          <w:rFonts w:ascii="Arial" w:hAnsi="Arial" w:eastAsia="Arial" w:cs="Arial"/>
          <w:noProof w:val="0"/>
          <w:sz w:val="24"/>
          <w:szCs w:val="24"/>
          <w:lang w:val="en-GB"/>
        </w:rPr>
        <w:t xml:space="preserve">Moyles, J. (2010) </w:t>
      </w:r>
      <w:r w:rsidRPr="6B11E19B" w:rsidR="6B11E19B">
        <w:rPr>
          <w:rFonts w:ascii="Arial" w:hAnsi="Arial" w:eastAsia="Arial" w:cs="Arial"/>
          <w:i w:val="1"/>
          <w:iCs w:val="1"/>
          <w:noProof w:val="0"/>
          <w:sz w:val="24"/>
          <w:szCs w:val="24"/>
          <w:lang w:val="en-GB"/>
        </w:rPr>
        <w:t xml:space="preserve">The Excellence of Play </w:t>
      </w:r>
      <w:r w:rsidRPr="6B11E19B" w:rsidR="6B11E19B">
        <w:rPr>
          <w:rFonts w:ascii="Arial" w:hAnsi="Arial" w:eastAsia="Arial" w:cs="Arial"/>
          <w:noProof w:val="0"/>
          <w:sz w:val="24"/>
          <w:szCs w:val="24"/>
          <w:lang w:val="en-GB"/>
        </w:rPr>
        <w:t>(3rd Ed.)</w:t>
      </w:r>
      <w:r w:rsidRPr="6B11E19B" w:rsidR="6B11E19B">
        <w:rPr>
          <w:rFonts w:ascii="Arial" w:hAnsi="Arial" w:eastAsia="Arial" w:cs="Arial"/>
          <w:i w:val="1"/>
          <w:iCs w:val="1"/>
          <w:noProof w:val="0"/>
          <w:sz w:val="24"/>
          <w:szCs w:val="24"/>
          <w:lang w:val="en-GB"/>
        </w:rPr>
        <w:t xml:space="preserve">. </w:t>
      </w:r>
      <w:r w:rsidRPr="6B11E19B" w:rsidR="6B11E19B">
        <w:rPr>
          <w:rFonts w:ascii="Arial" w:hAnsi="Arial" w:eastAsia="Arial" w:cs="Arial"/>
          <w:noProof w:val="0"/>
          <w:sz w:val="24"/>
          <w:szCs w:val="24"/>
          <w:lang w:val="en-GB"/>
        </w:rPr>
        <w:t xml:space="preserve">Open University Press: Maidenhead. </w:t>
      </w:r>
    </w:p>
    <w:p w:rsidR="6B11E19B" w:rsidP="6B11E19B" w:rsidRDefault="6B11E19B" w14:paraId="7150AD02" w14:textId="11A4D30E">
      <w:pPr>
        <w:spacing w:line="360" w:lineRule="auto"/>
      </w:pPr>
    </w:p>
    <w:p w:rsidR="6B11E19B" w:rsidP="6B11E19B" w:rsidRDefault="6B11E19B" w14:paraId="0CDC99C3" w14:textId="6A204AD0">
      <w:pPr>
        <w:spacing w:line="360" w:lineRule="auto"/>
      </w:pPr>
      <w:r w:rsidRPr="6B11E19B" w:rsidR="6B11E19B">
        <w:rPr>
          <w:rFonts w:ascii="Arial" w:hAnsi="Arial" w:eastAsia="Arial" w:cs="Arial"/>
          <w:noProof w:val="0"/>
          <w:sz w:val="24"/>
          <w:szCs w:val="24"/>
          <w:lang w:val="en-GB"/>
        </w:rPr>
        <w:t xml:space="preserve">Moyles, J. (2013) </w:t>
      </w:r>
      <w:r w:rsidRPr="6B11E19B" w:rsidR="6B11E19B">
        <w:rPr>
          <w:rFonts w:ascii="Arial" w:hAnsi="Arial" w:eastAsia="Arial" w:cs="Arial"/>
          <w:i w:val="1"/>
          <w:iCs w:val="1"/>
          <w:noProof w:val="0"/>
          <w:sz w:val="24"/>
          <w:szCs w:val="24"/>
          <w:lang w:val="en-GB"/>
        </w:rPr>
        <w:t xml:space="preserve">Play and early years: birth to seven years. </w:t>
      </w:r>
      <w:r w:rsidRPr="6B11E19B" w:rsidR="6B11E19B">
        <w:rPr>
          <w:rFonts w:ascii="Arial" w:hAnsi="Arial" w:eastAsia="Arial" w:cs="Arial"/>
          <w:noProof w:val="0"/>
          <w:sz w:val="24"/>
          <w:szCs w:val="24"/>
          <w:lang w:val="en-GB"/>
        </w:rPr>
        <w:t xml:space="preserve">Available at </w:t>
      </w:r>
      <w:hyperlink r:id="R090632b403c445c7">
        <w:r w:rsidRPr="6B11E19B" w:rsidR="6B11E19B">
          <w:rPr>
            <w:rStyle w:val="Hyperlink"/>
            <w:rFonts w:ascii="Arial" w:hAnsi="Arial" w:eastAsia="Arial" w:cs="Arial"/>
            <w:noProof w:val="0"/>
            <w:color w:val="1155CC"/>
            <w:sz w:val="24"/>
            <w:szCs w:val="24"/>
            <w:lang w:val="en-GB"/>
          </w:rPr>
          <w:t>https://www.playwales.org.uk/login/uploaded/documents/INFORMATION%20SHEETS/play%20and%20early%20years.pdf</w:t>
        </w:r>
      </w:hyperlink>
      <w:r w:rsidRPr="6B11E19B" w:rsidR="6B11E19B">
        <w:rPr>
          <w:rFonts w:ascii="Arial" w:hAnsi="Arial" w:eastAsia="Arial" w:cs="Arial"/>
          <w:noProof w:val="0"/>
          <w:color w:val="1155CC"/>
          <w:sz w:val="24"/>
          <w:szCs w:val="24"/>
          <w:lang w:val="en-GB"/>
        </w:rPr>
        <w:t xml:space="preserve"> (Accessed: 11 January 2020) </w:t>
      </w:r>
    </w:p>
    <w:p w:rsidR="6B11E19B" w:rsidP="6B11E19B" w:rsidRDefault="6B11E19B" w14:paraId="2AC1B310" w14:textId="04A0B604">
      <w:pPr>
        <w:spacing w:line="360" w:lineRule="auto"/>
      </w:pPr>
    </w:p>
    <w:p w:rsidR="6B11E19B" w:rsidP="6B11E19B" w:rsidRDefault="6B11E19B" w14:paraId="1974A415" w14:textId="5D1F7219">
      <w:pPr>
        <w:spacing w:line="360" w:lineRule="auto"/>
      </w:pPr>
      <w:r w:rsidRPr="6B11E19B" w:rsidR="6B11E19B">
        <w:rPr>
          <w:rFonts w:ascii="Arial" w:hAnsi="Arial" w:eastAsia="Arial" w:cs="Arial"/>
          <w:noProof w:val="0"/>
          <w:sz w:val="24"/>
          <w:szCs w:val="24"/>
          <w:lang w:val="en-GB"/>
        </w:rPr>
        <w:t xml:space="preserve">NDNA (no date) </w:t>
      </w:r>
      <w:r w:rsidRPr="6B11E19B" w:rsidR="6B11E19B">
        <w:rPr>
          <w:rFonts w:ascii="Arial" w:hAnsi="Arial" w:eastAsia="Arial" w:cs="Arial"/>
          <w:i w:val="1"/>
          <w:iCs w:val="1"/>
          <w:noProof w:val="0"/>
          <w:sz w:val="24"/>
          <w:szCs w:val="24"/>
          <w:lang w:val="en-GB"/>
        </w:rPr>
        <w:t xml:space="preserve">Foundation Phase. </w:t>
      </w:r>
      <w:r w:rsidRPr="6B11E19B" w:rsidR="6B11E19B">
        <w:rPr>
          <w:rFonts w:ascii="Arial" w:hAnsi="Arial" w:eastAsia="Arial" w:cs="Arial"/>
          <w:noProof w:val="0"/>
          <w:sz w:val="24"/>
          <w:szCs w:val="24"/>
          <w:lang w:val="en-GB"/>
        </w:rPr>
        <w:t xml:space="preserve">Available at: </w:t>
      </w:r>
      <w:hyperlink r:id="R0cae863db8c44456">
        <w:r w:rsidRPr="6B11E19B" w:rsidR="6B11E19B">
          <w:rPr>
            <w:rStyle w:val="Hyperlink"/>
            <w:rFonts w:ascii="Arial" w:hAnsi="Arial" w:eastAsia="Arial" w:cs="Arial"/>
            <w:noProof w:val="0"/>
            <w:color w:val="1155CC"/>
            <w:sz w:val="24"/>
            <w:szCs w:val="24"/>
            <w:lang w:val="en-GB"/>
          </w:rPr>
          <w:t>https://www.ndna.org.uk/NDNA/Cymru/Knowledge_Hub/The_Foundation_Phase.aspx</w:t>
        </w:r>
      </w:hyperlink>
      <w:r w:rsidRPr="6B11E19B" w:rsidR="6B11E19B">
        <w:rPr>
          <w:rFonts w:ascii="Arial" w:hAnsi="Arial" w:eastAsia="Arial" w:cs="Arial"/>
          <w:noProof w:val="0"/>
          <w:color w:val="1155CC"/>
          <w:sz w:val="24"/>
          <w:szCs w:val="24"/>
          <w:lang w:val="en-GB"/>
        </w:rPr>
        <w:t xml:space="preserve"> (Accessed: 9 January 2020)</w:t>
      </w:r>
    </w:p>
    <w:p w:rsidR="6B11E19B" w:rsidP="6B11E19B" w:rsidRDefault="6B11E19B" w14:paraId="36FEE819" w14:textId="53CBA3E2">
      <w:pPr>
        <w:spacing w:line="360" w:lineRule="auto"/>
      </w:pPr>
    </w:p>
    <w:p w:rsidR="6B11E19B" w:rsidP="6B11E19B" w:rsidRDefault="6B11E19B" w14:paraId="70549130" w14:textId="30B7CD41">
      <w:pPr>
        <w:spacing w:line="360" w:lineRule="auto"/>
      </w:pPr>
      <w:r w:rsidRPr="6B11E19B" w:rsidR="6B11E19B">
        <w:rPr>
          <w:rFonts w:ascii="Arial" w:hAnsi="Arial" w:eastAsia="Arial" w:cs="Arial"/>
          <w:noProof w:val="0"/>
          <w:sz w:val="24"/>
          <w:szCs w:val="24"/>
          <w:lang w:val="en-GB"/>
        </w:rPr>
        <w:t xml:space="preserve">NHS Greater Glasgow and Clyde (no date) </w:t>
      </w:r>
      <w:r w:rsidRPr="6B11E19B" w:rsidR="6B11E19B">
        <w:rPr>
          <w:rFonts w:ascii="Arial" w:hAnsi="Arial" w:eastAsia="Arial" w:cs="Arial"/>
          <w:i w:val="1"/>
          <w:iCs w:val="1"/>
          <w:noProof w:val="0"/>
          <w:sz w:val="24"/>
          <w:szCs w:val="24"/>
          <w:lang w:val="en-GB"/>
        </w:rPr>
        <w:t xml:space="preserve">Explorative Play. </w:t>
      </w:r>
      <w:r w:rsidRPr="6B11E19B" w:rsidR="6B11E19B">
        <w:rPr>
          <w:rFonts w:ascii="Arial" w:hAnsi="Arial" w:eastAsia="Arial" w:cs="Arial"/>
          <w:noProof w:val="0"/>
          <w:sz w:val="24"/>
          <w:szCs w:val="24"/>
          <w:lang w:val="en-GB"/>
        </w:rPr>
        <w:t xml:space="preserve">Available at: </w:t>
      </w:r>
    </w:p>
    <w:p w:rsidR="6B11E19B" w:rsidP="6B11E19B" w:rsidRDefault="6B11E19B" w14:paraId="080BF888" w14:textId="183623FC">
      <w:pPr>
        <w:spacing w:line="360" w:lineRule="auto"/>
      </w:pPr>
      <w:hyperlink r:id="Rd293122ee7be4d2d">
        <w:r w:rsidRPr="6B11E19B" w:rsidR="6B11E19B">
          <w:rPr>
            <w:rStyle w:val="Hyperlink"/>
            <w:rFonts w:ascii="Arial" w:hAnsi="Arial" w:eastAsia="Arial" w:cs="Arial"/>
            <w:noProof w:val="0"/>
            <w:color w:val="1155CC"/>
            <w:sz w:val="24"/>
            <w:szCs w:val="24"/>
            <w:lang w:val="en-GB"/>
          </w:rPr>
          <w:t>https://www.nhsggc.org.uk/kids/life-skills/play-leisure/explorative-play/</w:t>
        </w:r>
      </w:hyperlink>
      <w:r w:rsidRPr="6B11E19B" w:rsidR="6B11E19B">
        <w:rPr>
          <w:rFonts w:ascii="Arial" w:hAnsi="Arial" w:eastAsia="Arial" w:cs="Arial"/>
          <w:noProof w:val="0"/>
          <w:color w:val="1155CC"/>
          <w:sz w:val="24"/>
          <w:szCs w:val="24"/>
          <w:lang w:val="en-GB"/>
        </w:rPr>
        <w:t xml:space="preserve"> (Accessed: 28 December 2019)</w:t>
      </w:r>
    </w:p>
    <w:p w:rsidR="6B11E19B" w:rsidP="6B11E19B" w:rsidRDefault="6B11E19B" w14:paraId="7FDD1411" w14:textId="47802A89">
      <w:pPr>
        <w:spacing w:line="360" w:lineRule="auto"/>
      </w:pPr>
    </w:p>
    <w:p w:rsidR="6B11E19B" w:rsidP="6B11E19B" w:rsidRDefault="6B11E19B" w14:paraId="19DFD8FA" w14:textId="46B8B3A1">
      <w:pPr>
        <w:spacing w:line="360" w:lineRule="auto"/>
      </w:pPr>
      <w:r w:rsidRPr="6B11E19B" w:rsidR="6B11E19B">
        <w:rPr>
          <w:rFonts w:ascii="Arial" w:hAnsi="Arial" w:eastAsia="Arial" w:cs="Arial"/>
          <w:noProof w:val="0"/>
          <w:sz w:val="24"/>
          <w:szCs w:val="24"/>
          <w:lang w:val="en-GB"/>
        </w:rPr>
        <w:t xml:space="preserve">Play England (2012) </w:t>
      </w:r>
      <w:r w:rsidRPr="6B11E19B" w:rsidR="6B11E19B">
        <w:rPr>
          <w:rFonts w:ascii="Arial" w:hAnsi="Arial" w:eastAsia="Arial" w:cs="Arial"/>
          <w:i w:val="1"/>
          <w:iCs w:val="1"/>
          <w:noProof w:val="0"/>
          <w:sz w:val="24"/>
          <w:szCs w:val="24"/>
          <w:lang w:val="en-GB"/>
        </w:rPr>
        <w:t xml:space="preserve">A World </w:t>
      </w:r>
      <w:proofErr w:type="spellStart"/>
      <w:r w:rsidRPr="6B11E19B" w:rsidR="6B11E19B">
        <w:rPr>
          <w:rFonts w:ascii="Arial" w:hAnsi="Arial" w:eastAsia="Arial" w:cs="Arial"/>
          <w:i w:val="1"/>
          <w:iCs w:val="1"/>
          <w:noProof w:val="0"/>
          <w:sz w:val="24"/>
          <w:szCs w:val="24"/>
          <w:lang w:val="en-GB"/>
        </w:rPr>
        <w:t>WIthout</w:t>
      </w:r>
      <w:proofErr w:type="spellEnd"/>
      <w:r w:rsidRPr="6B11E19B" w:rsidR="6B11E19B">
        <w:rPr>
          <w:rFonts w:ascii="Arial" w:hAnsi="Arial" w:eastAsia="Arial" w:cs="Arial"/>
          <w:i w:val="1"/>
          <w:iCs w:val="1"/>
          <w:noProof w:val="0"/>
          <w:sz w:val="24"/>
          <w:szCs w:val="24"/>
          <w:lang w:val="en-GB"/>
        </w:rPr>
        <w:t xml:space="preserve"> Play. </w:t>
      </w:r>
      <w:r w:rsidRPr="6B11E19B" w:rsidR="6B11E19B">
        <w:rPr>
          <w:rFonts w:ascii="Arial" w:hAnsi="Arial" w:eastAsia="Arial" w:cs="Arial"/>
          <w:noProof w:val="0"/>
          <w:sz w:val="24"/>
          <w:szCs w:val="24"/>
          <w:lang w:val="en-GB"/>
        </w:rPr>
        <w:t xml:space="preserve">Available at: </w:t>
      </w:r>
      <w:hyperlink r:id="R80f37010b9c64d59">
        <w:r w:rsidRPr="6B11E19B" w:rsidR="6B11E19B">
          <w:rPr>
            <w:rStyle w:val="Hyperlink"/>
            <w:rFonts w:ascii="Arial" w:hAnsi="Arial" w:eastAsia="Arial" w:cs="Arial"/>
            <w:noProof w:val="0"/>
            <w:color w:val="1155CC"/>
            <w:sz w:val="24"/>
            <w:szCs w:val="24"/>
            <w:lang w:val="en-GB"/>
          </w:rPr>
          <w:t>https://www.playengland.org.uk/media/371031/a-world-without-play-literature-review-2012.pdf</w:t>
        </w:r>
      </w:hyperlink>
      <w:r w:rsidRPr="6B11E19B" w:rsidR="6B11E19B">
        <w:rPr>
          <w:rFonts w:ascii="Arial" w:hAnsi="Arial" w:eastAsia="Arial" w:cs="Arial"/>
          <w:noProof w:val="0"/>
          <w:color w:val="1155CC"/>
          <w:sz w:val="24"/>
          <w:szCs w:val="24"/>
          <w:lang w:val="en-GB"/>
        </w:rPr>
        <w:t xml:space="preserve"> (Accessed: 12 January 2020)</w:t>
      </w:r>
    </w:p>
    <w:p w:rsidR="6B11E19B" w:rsidP="6B11E19B" w:rsidRDefault="6B11E19B" w14:paraId="6B3C605E" w14:textId="36F46B51">
      <w:pPr>
        <w:spacing w:line="360" w:lineRule="auto"/>
      </w:pPr>
    </w:p>
    <w:p w:rsidR="6B11E19B" w:rsidP="6B11E19B" w:rsidRDefault="6B11E19B" w14:paraId="296EC3C3" w14:textId="7B4E7FA5">
      <w:pPr>
        <w:spacing w:line="360" w:lineRule="auto"/>
      </w:pPr>
      <w:r w:rsidRPr="6B11E19B" w:rsidR="6B11E19B">
        <w:rPr>
          <w:rFonts w:ascii="Arial" w:hAnsi="Arial" w:eastAsia="Arial" w:cs="Arial"/>
          <w:noProof w:val="0"/>
          <w:sz w:val="24"/>
          <w:szCs w:val="24"/>
          <w:lang w:val="en-GB"/>
        </w:rPr>
        <w:t xml:space="preserve">Play Safety Forum (2012) </w:t>
      </w:r>
      <w:r w:rsidRPr="6B11E19B" w:rsidR="6B11E19B">
        <w:rPr>
          <w:rFonts w:ascii="Arial" w:hAnsi="Arial" w:eastAsia="Arial" w:cs="Arial"/>
          <w:i w:val="1"/>
          <w:iCs w:val="1"/>
          <w:noProof w:val="0"/>
          <w:sz w:val="24"/>
          <w:szCs w:val="24"/>
          <w:lang w:val="en-GB"/>
        </w:rPr>
        <w:t xml:space="preserve">Managing Risk in Play Provision. </w:t>
      </w:r>
      <w:r w:rsidRPr="6B11E19B" w:rsidR="6B11E19B">
        <w:rPr>
          <w:rFonts w:ascii="Arial" w:hAnsi="Arial" w:eastAsia="Arial" w:cs="Arial"/>
          <w:noProof w:val="0"/>
          <w:sz w:val="24"/>
          <w:szCs w:val="24"/>
          <w:lang w:val="en-GB"/>
        </w:rPr>
        <w:t xml:space="preserve">Available at: </w:t>
      </w:r>
    </w:p>
    <w:p w:rsidR="6B11E19B" w:rsidP="6B11E19B" w:rsidRDefault="6B11E19B" w14:paraId="6C8AE55B" w14:textId="495F88DD">
      <w:pPr>
        <w:spacing w:line="360" w:lineRule="auto"/>
      </w:pPr>
      <w:hyperlink r:id="R819bd3cf517c4e5a">
        <w:r w:rsidRPr="6B11E19B" w:rsidR="6B11E19B">
          <w:rPr>
            <w:rStyle w:val="Hyperlink"/>
            <w:rFonts w:ascii="Arial" w:hAnsi="Arial" w:eastAsia="Arial" w:cs="Arial"/>
            <w:noProof w:val="0"/>
            <w:color w:val="1155CC"/>
            <w:sz w:val="24"/>
            <w:szCs w:val="24"/>
            <w:lang w:val="en-GB"/>
          </w:rPr>
          <w:t>http://www.playengland.net/wp-content/uploads/2015/09/managing-risk-in-play-provision.pdf</w:t>
        </w:r>
      </w:hyperlink>
      <w:r w:rsidRPr="6B11E19B" w:rsidR="6B11E19B">
        <w:rPr>
          <w:rFonts w:ascii="Arial" w:hAnsi="Arial" w:eastAsia="Arial" w:cs="Arial"/>
          <w:noProof w:val="0"/>
          <w:color w:val="1155CC"/>
          <w:sz w:val="24"/>
          <w:szCs w:val="24"/>
          <w:lang w:val="en-GB"/>
        </w:rPr>
        <w:t xml:space="preserve"> (Accessed: 2 January 2020)</w:t>
      </w:r>
    </w:p>
    <w:p w:rsidR="6B11E19B" w:rsidP="6B11E19B" w:rsidRDefault="6B11E19B" w14:paraId="66DEA721" w14:textId="7D8E1A95">
      <w:pPr>
        <w:spacing w:line="360" w:lineRule="auto"/>
      </w:pPr>
    </w:p>
    <w:p w:rsidR="6B11E19B" w:rsidP="6B11E19B" w:rsidRDefault="6B11E19B" w14:paraId="136809AF" w14:textId="28649195">
      <w:pPr>
        <w:spacing w:line="360" w:lineRule="auto"/>
      </w:pPr>
      <w:r w:rsidRPr="6B11E19B" w:rsidR="6B11E19B">
        <w:rPr>
          <w:rFonts w:ascii="Arial" w:hAnsi="Arial" w:eastAsia="Arial" w:cs="Arial"/>
          <w:noProof w:val="0"/>
          <w:sz w:val="24"/>
          <w:szCs w:val="24"/>
          <w:lang w:val="en-GB"/>
        </w:rPr>
        <w:t xml:space="preserve">Play Scotland (no date) </w:t>
      </w:r>
      <w:r w:rsidRPr="6B11E19B" w:rsidR="6B11E19B">
        <w:rPr>
          <w:rFonts w:ascii="Arial" w:hAnsi="Arial" w:eastAsia="Arial" w:cs="Arial"/>
          <w:i w:val="1"/>
          <w:iCs w:val="1"/>
          <w:noProof w:val="0"/>
          <w:sz w:val="24"/>
          <w:szCs w:val="24"/>
          <w:lang w:val="en-GB"/>
        </w:rPr>
        <w:t xml:space="preserve">The Power of Play. </w:t>
      </w:r>
      <w:r w:rsidRPr="6B11E19B" w:rsidR="6B11E19B">
        <w:rPr>
          <w:rFonts w:ascii="Arial" w:hAnsi="Arial" w:eastAsia="Arial" w:cs="Arial"/>
          <w:noProof w:val="0"/>
          <w:sz w:val="24"/>
          <w:szCs w:val="24"/>
          <w:lang w:val="en-GB"/>
        </w:rPr>
        <w:t xml:space="preserve">Available at: </w:t>
      </w:r>
      <w:hyperlink r:id="R67a19a4579a54fd0">
        <w:r w:rsidRPr="6B11E19B" w:rsidR="6B11E19B">
          <w:rPr>
            <w:rStyle w:val="Hyperlink"/>
            <w:rFonts w:ascii="Arial" w:hAnsi="Arial" w:eastAsia="Arial" w:cs="Arial"/>
            <w:noProof w:val="0"/>
            <w:color w:val="1155CC"/>
            <w:sz w:val="24"/>
            <w:szCs w:val="24"/>
            <w:lang w:val="en-GB"/>
          </w:rPr>
          <w:t>https://www.playscotland.org/play-for-health/the-power-of-play/</w:t>
        </w:r>
      </w:hyperlink>
      <w:r w:rsidRPr="6B11E19B" w:rsidR="6B11E19B">
        <w:rPr>
          <w:rFonts w:ascii="Arial" w:hAnsi="Arial" w:eastAsia="Arial" w:cs="Arial"/>
          <w:noProof w:val="0"/>
          <w:color w:val="1155CC"/>
          <w:sz w:val="24"/>
          <w:szCs w:val="24"/>
          <w:lang w:val="en-GB"/>
        </w:rPr>
        <w:t xml:space="preserve"> (Accessed: 16 January 2020)</w:t>
      </w:r>
    </w:p>
    <w:p w:rsidR="6B11E19B" w:rsidP="6B11E19B" w:rsidRDefault="6B11E19B" w14:paraId="2ED71B26" w14:textId="7D2B537A">
      <w:pPr>
        <w:spacing w:line="360" w:lineRule="auto"/>
      </w:pPr>
    </w:p>
    <w:p w:rsidR="6B11E19B" w:rsidP="6B11E19B" w:rsidRDefault="6B11E19B" w14:paraId="5FA564DA" w14:textId="40643BE5">
      <w:pPr>
        <w:spacing w:line="360" w:lineRule="auto"/>
      </w:pPr>
      <w:r w:rsidRPr="6B11E19B" w:rsidR="6B11E19B">
        <w:rPr>
          <w:rFonts w:ascii="Arial" w:hAnsi="Arial" w:eastAsia="Arial" w:cs="Arial"/>
          <w:noProof w:val="0"/>
          <w:sz w:val="24"/>
          <w:szCs w:val="24"/>
          <w:lang w:val="en-GB"/>
        </w:rPr>
        <w:t xml:space="preserve">Play Wales (no date) </w:t>
      </w:r>
      <w:r w:rsidRPr="6B11E19B" w:rsidR="6B11E19B">
        <w:rPr>
          <w:rFonts w:ascii="Arial" w:hAnsi="Arial" w:eastAsia="Arial" w:cs="Arial"/>
          <w:i w:val="1"/>
          <w:iCs w:val="1"/>
          <w:noProof w:val="0"/>
          <w:sz w:val="24"/>
          <w:szCs w:val="24"/>
          <w:lang w:val="en-GB"/>
        </w:rPr>
        <w:t>Making health and safety ‘</w:t>
      </w:r>
      <w:proofErr w:type="spellStart"/>
      <w:r w:rsidRPr="6B11E19B" w:rsidR="6B11E19B">
        <w:rPr>
          <w:rFonts w:ascii="Arial" w:hAnsi="Arial" w:eastAsia="Arial" w:cs="Arial"/>
          <w:i w:val="1"/>
          <w:iCs w:val="1"/>
          <w:noProof w:val="0"/>
          <w:sz w:val="24"/>
          <w:szCs w:val="24"/>
          <w:lang w:val="en-GB"/>
        </w:rPr>
        <w:t>childs</w:t>
      </w:r>
      <w:proofErr w:type="spellEnd"/>
      <w:r w:rsidRPr="6B11E19B" w:rsidR="6B11E19B">
        <w:rPr>
          <w:rFonts w:ascii="Arial" w:hAnsi="Arial" w:eastAsia="Arial" w:cs="Arial"/>
          <w:i w:val="1"/>
          <w:iCs w:val="1"/>
          <w:noProof w:val="0"/>
          <w:sz w:val="24"/>
          <w:szCs w:val="24"/>
          <w:lang w:val="en-GB"/>
        </w:rPr>
        <w:t xml:space="preserve">’ play.’ </w:t>
      </w:r>
      <w:r w:rsidRPr="6B11E19B" w:rsidR="6B11E19B">
        <w:rPr>
          <w:rFonts w:ascii="Arial" w:hAnsi="Arial" w:eastAsia="Arial" w:cs="Arial"/>
          <w:noProof w:val="0"/>
          <w:sz w:val="24"/>
          <w:szCs w:val="24"/>
          <w:lang w:val="en-GB"/>
        </w:rPr>
        <w:t xml:space="preserve">Available at </w:t>
      </w:r>
      <w:hyperlink r:id="Rf5dce6ae0d4c49a2">
        <w:r w:rsidRPr="6B11E19B" w:rsidR="6B11E19B">
          <w:rPr>
            <w:rStyle w:val="Hyperlink"/>
            <w:rFonts w:ascii="Arial" w:hAnsi="Arial" w:eastAsia="Arial" w:cs="Arial"/>
            <w:noProof w:val="0"/>
            <w:color w:val="1155CC"/>
            <w:sz w:val="24"/>
            <w:szCs w:val="24"/>
            <w:lang w:val="en-GB"/>
          </w:rPr>
          <w:t>https://www.playwales.org.uk/eng/hsespeech</w:t>
        </w:r>
      </w:hyperlink>
      <w:r w:rsidRPr="6B11E19B" w:rsidR="6B11E19B">
        <w:rPr>
          <w:rFonts w:ascii="Arial" w:hAnsi="Arial" w:eastAsia="Arial" w:cs="Arial"/>
          <w:noProof w:val="0"/>
          <w:color w:val="1155CC"/>
          <w:sz w:val="24"/>
          <w:szCs w:val="24"/>
          <w:lang w:val="en-GB"/>
        </w:rPr>
        <w:t xml:space="preserve"> (Accessed: 10 January 2020)</w:t>
      </w:r>
    </w:p>
    <w:p w:rsidR="6B11E19B" w:rsidP="6B11E19B" w:rsidRDefault="6B11E19B" w14:paraId="0B6F23D1" w14:textId="6541CD2C">
      <w:pPr>
        <w:spacing w:line="360" w:lineRule="auto"/>
      </w:pPr>
    </w:p>
    <w:p w:rsidR="6B11E19B" w:rsidP="6B11E19B" w:rsidRDefault="6B11E19B" w14:paraId="3ED67149" w14:textId="6973028D">
      <w:pPr>
        <w:spacing w:line="360" w:lineRule="auto"/>
      </w:pPr>
      <w:r w:rsidRPr="6B11E19B" w:rsidR="6B11E19B">
        <w:rPr>
          <w:rFonts w:ascii="Arial" w:hAnsi="Arial" w:eastAsia="Arial" w:cs="Arial"/>
          <w:noProof w:val="0"/>
          <w:sz w:val="24"/>
          <w:szCs w:val="24"/>
          <w:lang w:val="en-GB"/>
        </w:rPr>
        <w:t xml:space="preserve">Play Wales (no date) </w:t>
      </w:r>
      <w:r w:rsidRPr="6B11E19B" w:rsidR="6B11E19B">
        <w:rPr>
          <w:rFonts w:ascii="Arial" w:hAnsi="Arial" w:eastAsia="Arial" w:cs="Arial"/>
          <w:i w:val="1"/>
          <w:iCs w:val="1"/>
          <w:noProof w:val="0"/>
          <w:sz w:val="24"/>
          <w:szCs w:val="24"/>
          <w:lang w:val="en-GB"/>
        </w:rPr>
        <w:t xml:space="preserve">Play and Challenge. </w:t>
      </w:r>
      <w:r w:rsidRPr="6B11E19B" w:rsidR="6B11E19B">
        <w:rPr>
          <w:rFonts w:ascii="Arial" w:hAnsi="Arial" w:eastAsia="Arial" w:cs="Arial"/>
          <w:noProof w:val="0"/>
          <w:sz w:val="24"/>
          <w:szCs w:val="24"/>
          <w:lang w:val="en-GB"/>
        </w:rPr>
        <w:t xml:space="preserve">Available at: </w:t>
      </w:r>
      <w:hyperlink r:id="R8320d511dc494fe1">
        <w:r w:rsidRPr="6B11E19B" w:rsidR="6B11E19B">
          <w:rPr>
            <w:rStyle w:val="Hyperlink"/>
            <w:rFonts w:ascii="Arial" w:hAnsi="Arial" w:eastAsia="Arial" w:cs="Arial"/>
            <w:noProof w:val="0"/>
            <w:color w:val="1155CC"/>
            <w:sz w:val="24"/>
            <w:szCs w:val="24"/>
            <w:lang w:val="en-GB"/>
          </w:rPr>
          <w:t>https://www.playwales.org.uk/eng/playandchallenge</w:t>
        </w:r>
      </w:hyperlink>
      <w:r w:rsidRPr="6B11E19B" w:rsidR="6B11E19B">
        <w:rPr>
          <w:rFonts w:ascii="Arial" w:hAnsi="Arial" w:eastAsia="Arial" w:cs="Arial"/>
          <w:noProof w:val="0"/>
          <w:color w:val="1155CC"/>
          <w:sz w:val="24"/>
          <w:szCs w:val="24"/>
          <w:lang w:val="en-GB"/>
        </w:rPr>
        <w:t xml:space="preserve"> (Accessed: 22 December 2019)</w:t>
      </w:r>
    </w:p>
    <w:p w:rsidR="6B11E19B" w:rsidP="6B11E19B" w:rsidRDefault="6B11E19B" w14:paraId="13F895E2" w14:textId="7F3968AB">
      <w:pPr>
        <w:spacing w:line="360" w:lineRule="auto"/>
      </w:pPr>
    </w:p>
    <w:p w:rsidR="6B11E19B" w:rsidP="6B11E19B" w:rsidRDefault="6B11E19B" w14:paraId="10F1E148" w14:textId="2E913F54">
      <w:pPr>
        <w:spacing w:line="360" w:lineRule="auto"/>
      </w:pPr>
      <w:r w:rsidRPr="6B11E19B" w:rsidR="6B11E19B">
        <w:rPr>
          <w:rFonts w:ascii="Arial" w:hAnsi="Arial" w:eastAsia="Arial" w:cs="Arial"/>
          <w:noProof w:val="0"/>
          <w:sz w:val="24"/>
          <w:szCs w:val="24"/>
          <w:lang w:val="en-GB"/>
        </w:rPr>
        <w:t xml:space="preserve">Play Wales (no date, a) </w:t>
      </w:r>
      <w:r w:rsidRPr="6B11E19B" w:rsidR="6B11E19B">
        <w:rPr>
          <w:rFonts w:ascii="Arial" w:hAnsi="Arial" w:eastAsia="Arial" w:cs="Arial"/>
          <w:i w:val="1"/>
          <w:iCs w:val="1"/>
          <w:noProof w:val="0"/>
          <w:sz w:val="24"/>
          <w:szCs w:val="24"/>
          <w:lang w:val="en-GB"/>
        </w:rPr>
        <w:t xml:space="preserve">Playwork. </w:t>
      </w:r>
      <w:r w:rsidRPr="6B11E19B" w:rsidR="6B11E19B">
        <w:rPr>
          <w:rFonts w:ascii="Arial" w:hAnsi="Arial" w:eastAsia="Arial" w:cs="Arial"/>
          <w:noProof w:val="0"/>
          <w:sz w:val="24"/>
          <w:szCs w:val="24"/>
          <w:lang w:val="en-GB"/>
        </w:rPr>
        <w:t>Available at:</w:t>
      </w:r>
    </w:p>
    <w:p w:rsidR="6B11E19B" w:rsidP="6B11E19B" w:rsidRDefault="6B11E19B" w14:paraId="09AF083C" w14:textId="03614777">
      <w:pPr>
        <w:spacing w:line="360" w:lineRule="auto"/>
      </w:pPr>
      <w:hyperlink r:id="R214434cf53664f8f">
        <w:r w:rsidRPr="6B11E19B" w:rsidR="6B11E19B">
          <w:rPr>
            <w:rStyle w:val="Hyperlink"/>
            <w:rFonts w:ascii="Arial" w:hAnsi="Arial" w:eastAsia="Arial" w:cs="Arial"/>
            <w:noProof w:val="0"/>
            <w:color w:val="1155CC"/>
            <w:sz w:val="24"/>
            <w:szCs w:val="24"/>
            <w:lang w:val="en-GB"/>
          </w:rPr>
          <w:t>https://www.playwales.org.uk/eng/playwork</w:t>
        </w:r>
      </w:hyperlink>
      <w:r w:rsidRPr="6B11E19B" w:rsidR="6B11E19B">
        <w:rPr>
          <w:rFonts w:ascii="Arial" w:hAnsi="Arial" w:eastAsia="Arial" w:cs="Arial"/>
          <w:noProof w:val="0"/>
          <w:color w:val="1155CC"/>
          <w:sz w:val="24"/>
          <w:szCs w:val="24"/>
          <w:lang w:val="en-GB"/>
        </w:rPr>
        <w:t xml:space="preserve"> (Accessed: 10 January 2020) </w:t>
      </w:r>
    </w:p>
    <w:p w:rsidR="6B11E19B" w:rsidP="6B11E19B" w:rsidRDefault="6B11E19B" w14:paraId="212B3FFF" w14:textId="591970EE">
      <w:pPr>
        <w:spacing w:line="360" w:lineRule="auto"/>
      </w:pPr>
    </w:p>
    <w:p w:rsidR="6B11E19B" w:rsidP="6B11E19B" w:rsidRDefault="6B11E19B" w14:paraId="65FEB980" w14:textId="56067AA5">
      <w:pPr>
        <w:spacing w:line="360" w:lineRule="auto"/>
      </w:pPr>
      <w:r w:rsidRPr="6B11E19B" w:rsidR="6B11E19B">
        <w:rPr>
          <w:rFonts w:ascii="Arial" w:hAnsi="Arial" w:eastAsia="Arial" w:cs="Arial"/>
          <w:noProof w:val="0"/>
          <w:sz w:val="24"/>
          <w:szCs w:val="24"/>
          <w:lang w:val="en-GB"/>
        </w:rPr>
        <w:t xml:space="preserve">Play Wales (2013) </w:t>
      </w:r>
      <w:r w:rsidRPr="6B11E19B" w:rsidR="6B11E19B">
        <w:rPr>
          <w:rFonts w:ascii="Arial" w:hAnsi="Arial" w:eastAsia="Arial" w:cs="Arial"/>
          <w:i w:val="1"/>
          <w:iCs w:val="1"/>
          <w:noProof w:val="0"/>
          <w:sz w:val="24"/>
          <w:szCs w:val="24"/>
          <w:lang w:val="en-GB"/>
        </w:rPr>
        <w:t xml:space="preserve">The role of adults in children’s play. </w:t>
      </w:r>
      <w:r w:rsidRPr="6B11E19B" w:rsidR="6B11E19B">
        <w:rPr>
          <w:rFonts w:ascii="Arial" w:hAnsi="Arial" w:eastAsia="Arial" w:cs="Arial"/>
          <w:noProof w:val="0"/>
          <w:sz w:val="24"/>
          <w:szCs w:val="24"/>
          <w:lang w:val="en-GB"/>
        </w:rPr>
        <w:t xml:space="preserve">Available at: </w:t>
      </w:r>
      <w:hyperlink r:id="Reaa8e5c235654bbd">
        <w:r w:rsidRPr="6B11E19B" w:rsidR="6B11E19B">
          <w:rPr>
            <w:rStyle w:val="Hyperlink"/>
            <w:rFonts w:ascii="Arial" w:hAnsi="Arial" w:eastAsia="Arial" w:cs="Arial"/>
            <w:noProof w:val="0"/>
            <w:color w:val="1155CC"/>
            <w:sz w:val="24"/>
            <w:szCs w:val="24"/>
            <w:lang w:val="en-GB"/>
          </w:rPr>
          <w:t>https://issuu.com/playwales/docs/role_of_adults_in_children_s_play?e=5305098/4082010</w:t>
        </w:r>
      </w:hyperlink>
      <w:r w:rsidRPr="6B11E19B" w:rsidR="6B11E19B">
        <w:rPr>
          <w:rFonts w:ascii="Arial" w:hAnsi="Arial" w:eastAsia="Arial" w:cs="Arial"/>
          <w:noProof w:val="0"/>
          <w:color w:val="1155CC"/>
          <w:sz w:val="24"/>
          <w:szCs w:val="24"/>
          <w:lang w:val="en-GB"/>
        </w:rPr>
        <w:t xml:space="preserve"> (Accessed: 16 January 2020).</w:t>
      </w:r>
    </w:p>
    <w:p w:rsidR="6B11E19B" w:rsidP="6B11E19B" w:rsidRDefault="6B11E19B" w14:paraId="7FEA85EB" w14:textId="6FF2F01C">
      <w:pPr>
        <w:spacing w:line="360" w:lineRule="auto"/>
      </w:pPr>
    </w:p>
    <w:p w:rsidR="6B11E19B" w:rsidP="6B11E19B" w:rsidRDefault="6B11E19B" w14:paraId="11DEC369" w14:textId="4B5A6223">
      <w:pPr>
        <w:spacing w:line="360" w:lineRule="auto"/>
      </w:pPr>
      <w:r w:rsidRPr="6B11E19B" w:rsidR="6B11E19B">
        <w:rPr>
          <w:rFonts w:ascii="Arial" w:hAnsi="Arial" w:eastAsia="Arial" w:cs="Arial"/>
          <w:noProof w:val="0"/>
          <w:sz w:val="24"/>
          <w:szCs w:val="24"/>
          <w:lang w:val="en-GB"/>
        </w:rPr>
        <w:t xml:space="preserve">Play Wales (2026) </w:t>
      </w:r>
      <w:r w:rsidRPr="6B11E19B" w:rsidR="6B11E19B">
        <w:rPr>
          <w:rFonts w:ascii="Arial" w:hAnsi="Arial" w:eastAsia="Arial" w:cs="Arial"/>
          <w:i w:val="1"/>
          <w:iCs w:val="1"/>
          <w:noProof w:val="0"/>
          <w:sz w:val="24"/>
          <w:szCs w:val="24"/>
          <w:lang w:val="en-GB"/>
        </w:rPr>
        <w:t xml:space="preserve">Dynamic risk management of common but potentially hazardous play behaviours. </w:t>
      </w:r>
      <w:r w:rsidRPr="6B11E19B" w:rsidR="6B11E19B">
        <w:rPr>
          <w:rFonts w:ascii="Arial" w:hAnsi="Arial" w:eastAsia="Arial" w:cs="Arial"/>
          <w:noProof w:val="0"/>
          <w:sz w:val="24"/>
          <w:szCs w:val="24"/>
          <w:lang w:val="en-GB"/>
        </w:rPr>
        <w:t xml:space="preserve">Available at: </w:t>
      </w:r>
      <w:hyperlink r:id="R00af721f937647ef">
        <w:r w:rsidRPr="6B11E19B" w:rsidR="6B11E19B">
          <w:rPr>
            <w:rStyle w:val="Hyperlink"/>
            <w:rFonts w:ascii="Arial" w:hAnsi="Arial" w:eastAsia="Arial" w:cs="Arial"/>
            <w:noProof w:val="0"/>
            <w:color w:val="1155CC"/>
            <w:sz w:val="24"/>
            <w:szCs w:val="24"/>
            <w:lang w:val="en-GB"/>
          </w:rPr>
          <w:t>https://issuu.com/playwales/docs/rba_guidance_paper?e=5305098/38846203</w:t>
        </w:r>
      </w:hyperlink>
      <w:r w:rsidRPr="6B11E19B" w:rsidR="6B11E19B">
        <w:rPr>
          <w:rFonts w:ascii="Arial" w:hAnsi="Arial" w:eastAsia="Arial" w:cs="Arial"/>
          <w:noProof w:val="0"/>
          <w:color w:val="1155CC"/>
          <w:sz w:val="24"/>
          <w:szCs w:val="24"/>
          <w:lang w:val="en-GB"/>
        </w:rPr>
        <w:t xml:space="preserve"> (Accessed: 16 January 2020)</w:t>
      </w:r>
    </w:p>
    <w:p w:rsidR="6B11E19B" w:rsidP="6B11E19B" w:rsidRDefault="6B11E19B" w14:paraId="7CB930E0" w14:textId="253B5940">
      <w:pPr>
        <w:spacing w:line="360" w:lineRule="auto"/>
      </w:pPr>
    </w:p>
    <w:p w:rsidR="6B11E19B" w:rsidP="6B11E19B" w:rsidRDefault="6B11E19B" w14:paraId="00BDFC9D" w14:textId="1E90387B">
      <w:pPr>
        <w:spacing w:line="360" w:lineRule="auto"/>
      </w:pPr>
      <w:r w:rsidRPr="6B11E19B" w:rsidR="6B11E19B">
        <w:rPr>
          <w:rFonts w:ascii="Arial" w:hAnsi="Arial" w:eastAsia="Arial" w:cs="Arial"/>
          <w:noProof w:val="0"/>
          <w:sz w:val="24"/>
          <w:szCs w:val="24"/>
          <w:lang w:val="en-GB"/>
        </w:rPr>
        <w:t xml:space="preserve">Play Wales (2017) </w:t>
      </w:r>
      <w:r w:rsidRPr="6B11E19B" w:rsidR="6B11E19B">
        <w:rPr>
          <w:rFonts w:ascii="Arial" w:hAnsi="Arial" w:eastAsia="Arial" w:cs="Arial"/>
          <w:i w:val="1"/>
          <w:iCs w:val="1"/>
          <w:noProof w:val="0"/>
          <w:sz w:val="24"/>
          <w:szCs w:val="24"/>
          <w:lang w:val="en-GB"/>
        </w:rPr>
        <w:t xml:space="preserve">Play Types. </w:t>
      </w:r>
      <w:r w:rsidRPr="6B11E19B" w:rsidR="6B11E19B">
        <w:rPr>
          <w:rFonts w:ascii="Arial" w:hAnsi="Arial" w:eastAsia="Arial" w:cs="Arial"/>
          <w:noProof w:val="0"/>
          <w:sz w:val="24"/>
          <w:szCs w:val="24"/>
          <w:lang w:val="en-GB"/>
        </w:rPr>
        <w:t xml:space="preserve">Available at: </w:t>
      </w:r>
      <w:hyperlink r:id="R4f15eeaf6b634478">
        <w:r w:rsidRPr="6B11E19B" w:rsidR="6B11E19B">
          <w:rPr>
            <w:rStyle w:val="Hyperlink"/>
            <w:rFonts w:ascii="Arial" w:hAnsi="Arial" w:eastAsia="Arial" w:cs="Arial"/>
            <w:noProof w:val="0"/>
            <w:color w:val="1155CC"/>
            <w:sz w:val="24"/>
            <w:szCs w:val="24"/>
            <w:lang w:val="en-GB"/>
          </w:rPr>
          <w:t>https://issuu.com/playwales/docs/play_types?e=5305098/53885121</w:t>
        </w:r>
      </w:hyperlink>
      <w:r w:rsidRPr="6B11E19B" w:rsidR="6B11E19B">
        <w:rPr>
          <w:rFonts w:ascii="Arial" w:hAnsi="Arial" w:eastAsia="Arial" w:cs="Arial"/>
          <w:noProof w:val="0"/>
          <w:color w:val="1155CC"/>
          <w:sz w:val="24"/>
          <w:szCs w:val="24"/>
          <w:lang w:val="en-GB"/>
        </w:rPr>
        <w:t xml:space="preserve"> (Accessed: 28 December 2019)</w:t>
      </w:r>
    </w:p>
    <w:p w:rsidR="6B11E19B" w:rsidP="6B11E19B" w:rsidRDefault="6B11E19B" w14:paraId="2B4230EF" w14:textId="05857942">
      <w:pPr>
        <w:spacing w:line="360" w:lineRule="auto"/>
      </w:pPr>
    </w:p>
    <w:p w:rsidR="6B11E19B" w:rsidP="6B11E19B" w:rsidRDefault="6B11E19B" w14:paraId="0F1C5243" w14:textId="75DE322C">
      <w:pPr>
        <w:spacing w:line="360" w:lineRule="auto"/>
      </w:pPr>
      <w:r w:rsidRPr="6B11E19B" w:rsidR="6B11E19B">
        <w:rPr>
          <w:rFonts w:ascii="Arial" w:hAnsi="Arial" w:eastAsia="Arial" w:cs="Arial"/>
          <w:noProof w:val="0"/>
          <w:sz w:val="24"/>
          <w:szCs w:val="24"/>
          <w:lang w:val="en-GB"/>
        </w:rPr>
        <w:t xml:space="preserve">Rodger, R. (2012) </w:t>
      </w:r>
      <w:r w:rsidRPr="6B11E19B" w:rsidR="6B11E19B">
        <w:rPr>
          <w:rFonts w:ascii="Arial" w:hAnsi="Arial" w:eastAsia="Arial" w:cs="Arial"/>
          <w:i w:val="1"/>
          <w:iCs w:val="1"/>
          <w:noProof w:val="0"/>
          <w:sz w:val="24"/>
          <w:szCs w:val="24"/>
          <w:lang w:val="en-GB"/>
        </w:rPr>
        <w:t xml:space="preserve">Planning an Appropriate Curriculum in the Early Years: A Guide for Early Years Practitioner and Leaders, Students and Parents. </w:t>
      </w:r>
      <w:r w:rsidRPr="6B11E19B" w:rsidR="6B11E19B">
        <w:rPr>
          <w:rFonts w:ascii="Arial" w:hAnsi="Arial" w:eastAsia="Arial" w:cs="Arial"/>
          <w:noProof w:val="0"/>
          <w:sz w:val="24"/>
          <w:szCs w:val="24"/>
          <w:lang w:val="en-GB"/>
        </w:rPr>
        <w:t xml:space="preserve">(3rd Edition) London: Routledge. </w:t>
      </w:r>
    </w:p>
    <w:p w:rsidR="6B11E19B" w:rsidP="6B11E19B" w:rsidRDefault="6B11E19B" w14:paraId="2DE3CE92" w14:textId="021CBEE7">
      <w:pPr>
        <w:spacing w:line="360" w:lineRule="auto"/>
      </w:pPr>
    </w:p>
    <w:p w:rsidR="6B11E19B" w:rsidP="6B11E19B" w:rsidRDefault="6B11E19B" w14:paraId="0A3DDE1B" w14:textId="7AA7DAA0">
      <w:pPr>
        <w:spacing w:line="360" w:lineRule="auto"/>
      </w:pPr>
      <w:r w:rsidRPr="6B11E19B" w:rsidR="6B11E19B">
        <w:rPr>
          <w:rFonts w:ascii="Arial" w:hAnsi="Arial" w:eastAsia="Arial" w:cs="Arial"/>
          <w:noProof w:val="0"/>
          <w:sz w:val="24"/>
          <w:szCs w:val="24"/>
          <w:lang w:val="en-GB"/>
        </w:rPr>
        <w:t xml:space="preserve">Roberts, A. and De Jong, A. (2016) </w:t>
      </w:r>
      <w:r w:rsidRPr="6B11E19B" w:rsidR="6B11E19B">
        <w:rPr>
          <w:rFonts w:ascii="Arial" w:hAnsi="Arial" w:eastAsia="Arial" w:cs="Arial"/>
          <w:i w:val="1"/>
          <w:iCs w:val="1"/>
          <w:noProof w:val="0"/>
          <w:sz w:val="24"/>
          <w:szCs w:val="24"/>
          <w:lang w:val="en-GB"/>
        </w:rPr>
        <w:t xml:space="preserve">Kids Gone Wild. </w:t>
      </w:r>
      <w:r w:rsidRPr="6B11E19B" w:rsidR="6B11E19B">
        <w:rPr>
          <w:rFonts w:ascii="Arial" w:hAnsi="Arial" w:eastAsia="Arial" w:cs="Arial"/>
          <w:noProof w:val="0"/>
          <w:sz w:val="24"/>
          <w:szCs w:val="24"/>
          <w:lang w:val="en-GB"/>
        </w:rPr>
        <w:t xml:space="preserve">Available at: </w:t>
      </w:r>
      <w:hyperlink r:id="Rde13888265264fba">
        <w:r w:rsidRPr="6B11E19B" w:rsidR="6B11E19B">
          <w:rPr>
            <w:rStyle w:val="Hyperlink"/>
            <w:rFonts w:ascii="Arial" w:hAnsi="Arial" w:eastAsia="Arial" w:cs="Arial"/>
            <w:noProof w:val="0"/>
            <w:color w:val="1155CC"/>
            <w:sz w:val="24"/>
            <w:szCs w:val="24"/>
            <w:lang w:val="en-GB"/>
          </w:rPr>
          <w:t>https://www.youtube.com/watch?v=Jkiij9dJfcw</w:t>
        </w:r>
      </w:hyperlink>
      <w:r w:rsidRPr="6B11E19B" w:rsidR="6B11E19B">
        <w:rPr>
          <w:rFonts w:ascii="Arial" w:hAnsi="Arial" w:eastAsia="Arial" w:cs="Arial"/>
          <w:noProof w:val="0"/>
          <w:color w:val="1155CC"/>
          <w:sz w:val="24"/>
          <w:szCs w:val="24"/>
          <w:lang w:val="en-GB"/>
        </w:rPr>
        <w:t xml:space="preserve"> (Accessed: 10 January 2020)</w:t>
      </w:r>
    </w:p>
    <w:p w:rsidR="6B11E19B" w:rsidP="6B11E19B" w:rsidRDefault="6B11E19B" w14:paraId="48A5B301" w14:textId="6A1996CF">
      <w:pPr>
        <w:spacing w:line="360" w:lineRule="auto"/>
      </w:pPr>
    </w:p>
    <w:p w:rsidR="6B11E19B" w:rsidP="6B11E19B" w:rsidRDefault="6B11E19B" w14:paraId="3EC629A4" w14:textId="1651EE6C">
      <w:pPr>
        <w:spacing w:line="360" w:lineRule="auto"/>
      </w:pPr>
      <w:r w:rsidRPr="6B11E19B" w:rsidR="6B11E19B">
        <w:rPr>
          <w:rFonts w:ascii="Arial" w:hAnsi="Arial" w:eastAsia="Arial" w:cs="Arial"/>
          <w:noProof w:val="0"/>
          <w:sz w:val="24"/>
          <w:szCs w:val="24"/>
          <w:lang w:val="en-GB"/>
        </w:rPr>
        <w:t xml:space="preserve">Smidt, S. (2015) </w:t>
      </w:r>
      <w:r w:rsidRPr="6B11E19B" w:rsidR="6B11E19B">
        <w:rPr>
          <w:rFonts w:ascii="Arial" w:hAnsi="Arial" w:eastAsia="Arial" w:cs="Arial"/>
          <w:i w:val="1"/>
          <w:iCs w:val="1"/>
          <w:noProof w:val="0"/>
          <w:sz w:val="24"/>
          <w:szCs w:val="24"/>
          <w:lang w:val="en-GB"/>
        </w:rPr>
        <w:t xml:space="preserve">Observing Young Children: The Role of Observation and Assessment in Early Childhood Settings </w:t>
      </w:r>
      <w:r w:rsidRPr="6B11E19B" w:rsidR="6B11E19B">
        <w:rPr>
          <w:rFonts w:ascii="Arial" w:hAnsi="Arial" w:eastAsia="Arial" w:cs="Arial"/>
          <w:noProof w:val="0"/>
          <w:sz w:val="24"/>
          <w:szCs w:val="24"/>
          <w:lang w:val="en-GB"/>
        </w:rPr>
        <w:t xml:space="preserve">(2nd Ed.). London: Routledge. </w:t>
      </w:r>
    </w:p>
    <w:p w:rsidR="6B11E19B" w:rsidP="6B11E19B" w:rsidRDefault="6B11E19B" w14:paraId="69EC8835" w14:textId="42E1DC58">
      <w:pPr>
        <w:spacing w:line="360" w:lineRule="auto"/>
      </w:pPr>
    </w:p>
    <w:p w:rsidR="6B11E19B" w:rsidP="6B11E19B" w:rsidRDefault="6B11E19B" w14:paraId="4494608A" w14:textId="6B54601B">
      <w:pPr>
        <w:spacing w:line="360" w:lineRule="auto"/>
      </w:pPr>
      <w:r w:rsidRPr="6B11E19B" w:rsidR="6B11E19B">
        <w:rPr>
          <w:rFonts w:ascii="Arial" w:hAnsi="Arial" w:eastAsia="Arial" w:cs="Arial"/>
          <w:noProof w:val="0"/>
          <w:sz w:val="24"/>
          <w:szCs w:val="24"/>
          <w:lang w:val="en-GB"/>
        </w:rPr>
        <w:t xml:space="preserve">Stroud School (no date) </w:t>
      </w:r>
      <w:r w:rsidRPr="6B11E19B" w:rsidR="6B11E19B">
        <w:rPr>
          <w:rFonts w:ascii="Arial" w:hAnsi="Arial" w:eastAsia="Arial" w:cs="Arial"/>
          <w:i w:val="1"/>
          <w:iCs w:val="1"/>
          <w:noProof w:val="0"/>
          <w:sz w:val="24"/>
          <w:szCs w:val="24"/>
          <w:lang w:val="en-GB"/>
        </w:rPr>
        <w:t xml:space="preserve">Forest School. </w:t>
      </w:r>
      <w:r w:rsidRPr="6B11E19B" w:rsidR="6B11E19B">
        <w:rPr>
          <w:rFonts w:ascii="Arial" w:hAnsi="Arial" w:eastAsia="Arial" w:cs="Arial"/>
          <w:noProof w:val="0"/>
          <w:sz w:val="24"/>
          <w:szCs w:val="24"/>
          <w:lang w:val="en-GB"/>
        </w:rPr>
        <w:t xml:space="preserve">Available at: </w:t>
      </w:r>
      <w:hyperlink r:id="Rd603c42192424218">
        <w:r w:rsidRPr="6B11E19B" w:rsidR="6B11E19B">
          <w:rPr>
            <w:rStyle w:val="Hyperlink"/>
            <w:rFonts w:ascii="Arial" w:hAnsi="Arial" w:eastAsia="Arial" w:cs="Arial"/>
            <w:noProof w:val="0"/>
            <w:color w:val="1155CC"/>
            <w:sz w:val="24"/>
            <w:szCs w:val="24"/>
            <w:lang w:val="en-GB"/>
          </w:rPr>
          <w:t>https://www.stroud-kes.org.uk/pastoral/co-curricular/forest-school/</w:t>
        </w:r>
      </w:hyperlink>
      <w:r w:rsidRPr="6B11E19B" w:rsidR="6B11E19B">
        <w:rPr>
          <w:rFonts w:ascii="Arial" w:hAnsi="Arial" w:eastAsia="Arial" w:cs="Arial"/>
          <w:noProof w:val="0"/>
          <w:color w:val="1155CC"/>
          <w:sz w:val="24"/>
          <w:szCs w:val="24"/>
          <w:lang w:val="en-GB"/>
        </w:rPr>
        <w:t xml:space="preserve"> (Accessed: 6 January 2020) </w:t>
      </w:r>
    </w:p>
    <w:p w:rsidR="6B11E19B" w:rsidP="6B11E19B" w:rsidRDefault="6B11E19B" w14:paraId="4C03F974" w14:textId="32966260">
      <w:pPr>
        <w:spacing w:line="360" w:lineRule="auto"/>
      </w:pPr>
    </w:p>
    <w:p w:rsidR="6B11E19B" w:rsidP="6B11E19B" w:rsidRDefault="6B11E19B" w14:paraId="3D76D9B0" w14:textId="73D6A53E">
      <w:pPr>
        <w:spacing w:line="360" w:lineRule="auto"/>
      </w:pPr>
      <w:r w:rsidRPr="6B11E19B" w:rsidR="6B11E19B">
        <w:rPr>
          <w:rFonts w:ascii="Arial" w:hAnsi="Arial" w:eastAsia="Arial" w:cs="Arial"/>
          <w:noProof w:val="0"/>
          <w:sz w:val="24"/>
          <w:szCs w:val="24"/>
          <w:lang w:val="en-GB"/>
        </w:rPr>
        <w:t xml:space="preserve">Sussex Forest School (no date) </w:t>
      </w:r>
      <w:r w:rsidRPr="6B11E19B" w:rsidR="6B11E19B">
        <w:rPr>
          <w:rFonts w:ascii="Arial" w:hAnsi="Arial" w:eastAsia="Arial" w:cs="Arial"/>
          <w:i w:val="1"/>
          <w:iCs w:val="1"/>
          <w:noProof w:val="0"/>
          <w:sz w:val="24"/>
          <w:szCs w:val="24"/>
          <w:lang w:val="en-GB"/>
        </w:rPr>
        <w:t xml:space="preserve">Holistic Development &amp; Forest School. </w:t>
      </w:r>
      <w:r w:rsidRPr="6B11E19B" w:rsidR="6B11E19B">
        <w:rPr>
          <w:rFonts w:ascii="Arial" w:hAnsi="Arial" w:eastAsia="Arial" w:cs="Arial"/>
          <w:noProof w:val="0"/>
          <w:sz w:val="24"/>
          <w:szCs w:val="24"/>
          <w:lang w:val="en-GB"/>
        </w:rPr>
        <w:t xml:space="preserve">Available at: </w:t>
      </w:r>
      <w:hyperlink r:id="R144b4a24f9bc463d">
        <w:r w:rsidRPr="6B11E19B" w:rsidR="6B11E19B">
          <w:rPr>
            <w:rStyle w:val="Hyperlink"/>
            <w:rFonts w:ascii="Arial" w:hAnsi="Arial" w:eastAsia="Arial" w:cs="Arial"/>
            <w:noProof w:val="0"/>
            <w:color w:val="1155CC"/>
            <w:sz w:val="24"/>
            <w:szCs w:val="24"/>
            <w:lang w:val="en-GB"/>
          </w:rPr>
          <w:t>https://www.sussexforestschool.com/what-is-forest-school/holistic-development.html</w:t>
        </w:r>
      </w:hyperlink>
      <w:r w:rsidRPr="6B11E19B" w:rsidR="6B11E19B">
        <w:rPr>
          <w:rFonts w:ascii="Arial" w:hAnsi="Arial" w:eastAsia="Arial" w:cs="Arial"/>
          <w:noProof w:val="0"/>
          <w:color w:val="1155CC"/>
          <w:sz w:val="24"/>
          <w:szCs w:val="24"/>
          <w:lang w:val="en-GB"/>
        </w:rPr>
        <w:t xml:space="preserve"> (Accessed: 16 January 2020)</w:t>
      </w:r>
    </w:p>
    <w:p w:rsidR="6B11E19B" w:rsidP="6B11E19B" w:rsidRDefault="6B11E19B" w14:paraId="58592B2D" w14:textId="43AFD91B">
      <w:pPr>
        <w:spacing w:line="360" w:lineRule="auto"/>
      </w:pPr>
    </w:p>
    <w:p w:rsidR="6B11E19B" w:rsidP="6B11E19B" w:rsidRDefault="6B11E19B" w14:paraId="3C3E7DC7" w14:textId="11E3E3CF">
      <w:pPr>
        <w:spacing w:line="360" w:lineRule="auto"/>
      </w:pPr>
      <w:r w:rsidRPr="6B11E19B" w:rsidR="6B11E19B">
        <w:rPr>
          <w:rFonts w:ascii="Arial" w:hAnsi="Arial" w:eastAsia="Arial" w:cs="Arial"/>
          <w:noProof w:val="0"/>
          <w:sz w:val="24"/>
          <w:szCs w:val="24"/>
          <w:lang w:val="en-GB"/>
        </w:rPr>
        <w:t>UNICEF (no date)</w:t>
      </w:r>
      <w:r w:rsidRPr="6B11E19B" w:rsidR="6B11E19B">
        <w:rPr>
          <w:rFonts w:ascii="Arial" w:hAnsi="Arial" w:eastAsia="Arial" w:cs="Arial"/>
          <w:i w:val="1"/>
          <w:iCs w:val="1"/>
          <w:noProof w:val="0"/>
          <w:sz w:val="24"/>
          <w:szCs w:val="24"/>
          <w:lang w:val="en-GB"/>
        </w:rPr>
        <w:t xml:space="preserve"> a summary of the un convention on the rights of the child. </w:t>
      </w:r>
      <w:r w:rsidRPr="6B11E19B" w:rsidR="6B11E19B">
        <w:rPr>
          <w:rFonts w:ascii="Arial" w:hAnsi="Arial" w:eastAsia="Arial" w:cs="Arial"/>
          <w:noProof w:val="0"/>
          <w:sz w:val="24"/>
          <w:szCs w:val="24"/>
          <w:lang w:val="en-GB"/>
        </w:rPr>
        <w:t xml:space="preserve">Available at: </w:t>
      </w:r>
      <w:hyperlink r:id="R4a7edef70b7d4c99">
        <w:r w:rsidRPr="6B11E19B" w:rsidR="6B11E19B">
          <w:rPr>
            <w:rStyle w:val="Hyperlink"/>
            <w:rFonts w:ascii="Arial" w:hAnsi="Arial" w:eastAsia="Arial" w:cs="Arial"/>
            <w:noProof w:val="0"/>
            <w:color w:val="1155CC"/>
            <w:sz w:val="24"/>
            <w:szCs w:val="24"/>
            <w:lang w:val="en-GB"/>
          </w:rPr>
          <w:t>https://www.unicef.org.uk/child-rights-partners/wp-content/uploads/sites/3/2016/08/CRC_summary_leaflet_Child_Rights_Partners_web_final.pdf</w:t>
        </w:r>
      </w:hyperlink>
      <w:r w:rsidRPr="6B11E19B" w:rsidR="6B11E19B">
        <w:rPr>
          <w:rFonts w:ascii="Arial" w:hAnsi="Arial" w:eastAsia="Arial" w:cs="Arial"/>
          <w:noProof w:val="0"/>
          <w:color w:val="1155CC"/>
          <w:sz w:val="24"/>
          <w:szCs w:val="24"/>
          <w:lang w:val="en-GB"/>
        </w:rPr>
        <w:t xml:space="preserve"> (Accessed: 17 January 2020)</w:t>
      </w:r>
    </w:p>
    <w:p w:rsidR="6B11E19B" w:rsidP="6B11E19B" w:rsidRDefault="6B11E19B" w14:paraId="753FBE87" w14:textId="0611A684">
      <w:pPr>
        <w:spacing w:line="360" w:lineRule="auto"/>
      </w:pPr>
    </w:p>
    <w:p w:rsidR="6B11E19B" w:rsidP="6B11E19B" w:rsidRDefault="6B11E19B" w14:paraId="6F06A9AD" w14:textId="4014CCD0">
      <w:pPr>
        <w:spacing w:line="360" w:lineRule="auto"/>
      </w:pPr>
      <w:r w:rsidRPr="6B11E19B" w:rsidR="6B11E19B">
        <w:rPr>
          <w:rFonts w:ascii="Arial" w:hAnsi="Arial" w:eastAsia="Arial" w:cs="Arial"/>
          <w:noProof w:val="0"/>
          <w:sz w:val="24"/>
          <w:szCs w:val="24"/>
          <w:lang w:val="en-GB"/>
        </w:rPr>
        <w:t xml:space="preserve">Wayman, S. (2013) </w:t>
      </w:r>
      <w:r w:rsidRPr="6B11E19B" w:rsidR="6B11E19B">
        <w:rPr>
          <w:rFonts w:ascii="Arial" w:hAnsi="Arial" w:eastAsia="Arial" w:cs="Arial"/>
          <w:i w:val="1"/>
          <w:iCs w:val="1"/>
          <w:noProof w:val="0"/>
          <w:sz w:val="24"/>
          <w:szCs w:val="24"/>
          <w:lang w:val="en-GB"/>
        </w:rPr>
        <w:t xml:space="preserve">The Power of Play. </w:t>
      </w:r>
      <w:r w:rsidRPr="6B11E19B" w:rsidR="6B11E19B">
        <w:rPr>
          <w:rFonts w:ascii="Arial" w:hAnsi="Arial" w:eastAsia="Arial" w:cs="Arial"/>
          <w:noProof w:val="0"/>
          <w:sz w:val="24"/>
          <w:szCs w:val="24"/>
          <w:lang w:val="en-GB"/>
        </w:rPr>
        <w:t xml:space="preserve">Available at: </w:t>
      </w:r>
      <w:hyperlink r:id="Rb9a740ce5a794087">
        <w:r w:rsidRPr="6B11E19B" w:rsidR="6B11E19B">
          <w:rPr>
            <w:rStyle w:val="Hyperlink"/>
            <w:rFonts w:ascii="Arial" w:hAnsi="Arial" w:eastAsia="Arial" w:cs="Arial"/>
            <w:noProof w:val="0"/>
            <w:color w:val="1155CC"/>
            <w:sz w:val="24"/>
            <w:szCs w:val="24"/>
            <w:lang w:val="en-GB"/>
          </w:rPr>
          <w:t>https://www.irishtimes.com/life-and-style/health-family/parenting/the-power-of-play-1.1537221</w:t>
        </w:r>
      </w:hyperlink>
      <w:r w:rsidRPr="6B11E19B" w:rsidR="6B11E19B">
        <w:rPr>
          <w:rFonts w:ascii="Arial" w:hAnsi="Arial" w:eastAsia="Arial" w:cs="Arial"/>
          <w:noProof w:val="0"/>
          <w:color w:val="1155CC"/>
          <w:sz w:val="24"/>
          <w:szCs w:val="24"/>
          <w:lang w:val="en-GB"/>
        </w:rPr>
        <w:t xml:space="preserve"> (Accessed: 29 December 2019)</w:t>
      </w:r>
    </w:p>
    <w:p w:rsidR="6B11E19B" w:rsidP="6B11E19B" w:rsidRDefault="6B11E19B" w14:paraId="47155D32" w14:textId="4984F482">
      <w:pPr>
        <w:spacing w:line="360" w:lineRule="auto"/>
      </w:pPr>
    </w:p>
    <w:p w:rsidR="6B11E19B" w:rsidP="6B11E19B" w:rsidRDefault="6B11E19B" w14:paraId="7CE7A0B8" w14:textId="361ACD89">
      <w:pPr>
        <w:spacing w:line="360" w:lineRule="auto"/>
      </w:pPr>
      <w:r w:rsidRPr="6B11E19B" w:rsidR="6B11E19B">
        <w:rPr>
          <w:rFonts w:ascii="Arial" w:hAnsi="Arial" w:eastAsia="Arial" w:cs="Arial"/>
          <w:noProof w:val="0"/>
          <w:sz w:val="24"/>
          <w:szCs w:val="24"/>
          <w:lang w:val="en-GB"/>
        </w:rPr>
        <w:t xml:space="preserve">Welsh Government (2014) </w:t>
      </w:r>
      <w:r w:rsidRPr="6B11E19B" w:rsidR="6B11E19B">
        <w:rPr>
          <w:rFonts w:ascii="Arial" w:hAnsi="Arial" w:eastAsia="Arial" w:cs="Arial"/>
          <w:i w:val="1"/>
          <w:iCs w:val="1"/>
          <w:noProof w:val="0"/>
          <w:sz w:val="24"/>
          <w:szCs w:val="24"/>
          <w:lang w:val="en-GB"/>
        </w:rPr>
        <w:t xml:space="preserve">Wales - a Pay Friendly Country. </w:t>
      </w:r>
      <w:r w:rsidRPr="6B11E19B" w:rsidR="6B11E19B">
        <w:rPr>
          <w:rFonts w:ascii="Arial" w:hAnsi="Arial" w:eastAsia="Arial" w:cs="Arial"/>
          <w:noProof w:val="0"/>
          <w:sz w:val="24"/>
          <w:szCs w:val="24"/>
          <w:lang w:val="en-GB"/>
        </w:rPr>
        <w:t xml:space="preserve">Available at: </w:t>
      </w:r>
      <w:hyperlink r:id="Rf331f64be08e4220">
        <w:r w:rsidRPr="6B11E19B" w:rsidR="6B11E19B">
          <w:rPr>
            <w:rStyle w:val="Hyperlink"/>
            <w:rFonts w:ascii="Arial" w:hAnsi="Arial" w:eastAsia="Arial" w:cs="Arial"/>
            <w:noProof w:val="0"/>
            <w:color w:val="1155CC"/>
            <w:sz w:val="24"/>
            <w:szCs w:val="24"/>
            <w:lang w:val="en-GB"/>
          </w:rPr>
          <w:t>https://gov.wales/sites/default/files/publications/2019-07/wales-a-play-friendly-country.pdf</w:t>
        </w:r>
      </w:hyperlink>
      <w:r w:rsidRPr="6B11E19B" w:rsidR="6B11E19B">
        <w:rPr>
          <w:rFonts w:ascii="Arial" w:hAnsi="Arial" w:eastAsia="Arial" w:cs="Arial"/>
          <w:noProof w:val="0"/>
          <w:color w:val="1155CC"/>
          <w:sz w:val="24"/>
          <w:szCs w:val="24"/>
          <w:lang w:val="en-GB"/>
        </w:rPr>
        <w:t xml:space="preserve"> (Accessed: 29 December 2019)</w:t>
      </w:r>
    </w:p>
    <w:p w:rsidR="6B11E19B" w:rsidP="6B11E19B" w:rsidRDefault="6B11E19B" w14:paraId="2A007B53" w14:textId="74E2753C">
      <w:pPr>
        <w:spacing w:line="360" w:lineRule="auto"/>
      </w:pPr>
    </w:p>
    <w:p w:rsidR="6B11E19B" w:rsidP="6B11E19B" w:rsidRDefault="6B11E19B" w14:paraId="1CF68E7D" w14:textId="50A4552E">
      <w:pPr>
        <w:spacing w:line="360" w:lineRule="auto"/>
      </w:pPr>
      <w:r w:rsidRPr="6B11E19B" w:rsidR="6B11E19B">
        <w:rPr>
          <w:rFonts w:ascii="Arial" w:hAnsi="Arial" w:eastAsia="Arial" w:cs="Arial"/>
          <w:noProof w:val="0"/>
          <w:sz w:val="24"/>
          <w:szCs w:val="24"/>
          <w:lang w:val="en-GB"/>
        </w:rPr>
        <w:t xml:space="preserve">Welsh Government (2015) </w:t>
      </w:r>
      <w:r w:rsidRPr="6B11E19B" w:rsidR="6B11E19B">
        <w:rPr>
          <w:rFonts w:ascii="Arial" w:hAnsi="Arial" w:eastAsia="Arial" w:cs="Arial"/>
          <w:i w:val="1"/>
          <w:iCs w:val="1"/>
          <w:noProof w:val="0"/>
          <w:sz w:val="24"/>
          <w:szCs w:val="24"/>
          <w:lang w:val="en-GB"/>
        </w:rPr>
        <w:t xml:space="preserve">The Foundation Phase Framework. </w:t>
      </w:r>
      <w:r w:rsidRPr="6B11E19B" w:rsidR="6B11E19B">
        <w:rPr>
          <w:rFonts w:ascii="Arial" w:hAnsi="Arial" w:eastAsia="Arial" w:cs="Arial"/>
          <w:noProof w:val="0"/>
          <w:sz w:val="24"/>
          <w:szCs w:val="24"/>
          <w:lang w:val="en-GB"/>
        </w:rPr>
        <w:t xml:space="preserve">Available at: </w:t>
      </w:r>
      <w:hyperlink r:id="R45673b4b52474c98">
        <w:r w:rsidRPr="6B11E19B" w:rsidR="6B11E19B">
          <w:rPr>
            <w:rStyle w:val="Hyperlink"/>
            <w:rFonts w:ascii="Arial" w:hAnsi="Arial" w:eastAsia="Arial" w:cs="Arial"/>
            <w:noProof w:val="0"/>
            <w:color w:val="1155CC"/>
            <w:sz w:val="24"/>
            <w:szCs w:val="24"/>
            <w:lang w:val="en-GB"/>
          </w:rPr>
          <w:t>https://hwb.gov.wales/storage/d5d8e39c-b534-40cb-a3f5-7e2e126d8077/foundation-phase-framework.pdf</w:t>
        </w:r>
      </w:hyperlink>
      <w:r w:rsidRPr="6B11E19B" w:rsidR="6B11E19B">
        <w:rPr>
          <w:rFonts w:ascii="Arial" w:hAnsi="Arial" w:eastAsia="Arial" w:cs="Arial"/>
          <w:noProof w:val="0"/>
          <w:color w:val="1155CC"/>
          <w:sz w:val="24"/>
          <w:szCs w:val="24"/>
          <w:lang w:val="en-GB"/>
        </w:rPr>
        <w:t xml:space="preserve"> (Accessed: 29 December 2019)</w:t>
      </w:r>
    </w:p>
    <w:p w:rsidR="6B11E19B" w:rsidP="6B11E19B" w:rsidRDefault="6B11E19B" w14:paraId="66964C61" w14:textId="155BDAEC">
      <w:pPr>
        <w:spacing w:line="360" w:lineRule="auto"/>
      </w:pPr>
    </w:p>
    <w:p w:rsidR="6B11E19B" w:rsidP="6B11E19B" w:rsidRDefault="6B11E19B" w14:paraId="407838B9" w14:textId="0F65144F">
      <w:pPr>
        <w:spacing w:line="360" w:lineRule="auto"/>
      </w:pPr>
      <w:r w:rsidRPr="6B11E19B" w:rsidR="6B11E19B">
        <w:rPr>
          <w:rFonts w:ascii="Arial" w:hAnsi="Arial" w:eastAsia="Arial" w:cs="Arial"/>
          <w:noProof w:val="0"/>
          <w:sz w:val="24"/>
          <w:szCs w:val="24"/>
          <w:lang w:val="en-GB"/>
        </w:rPr>
        <w:t xml:space="preserve">Welsh Government (2017, a) Additional Learning Needs (ALN) Transformation Programme. Available at: </w:t>
      </w:r>
      <w:hyperlink r:id="R21f68751f70f4692">
        <w:r w:rsidRPr="6B11E19B" w:rsidR="6B11E19B">
          <w:rPr>
            <w:rStyle w:val="Hyperlink"/>
            <w:rFonts w:ascii="Arial" w:hAnsi="Arial" w:eastAsia="Arial" w:cs="Arial"/>
            <w:noProof w:val="0"/>
            <w:color w:val="1155CC"/>
            <w:sz w:val="24"/>
            <w:szCs w:val="24"/>
            <w:lang w:val="en-GB"/>
          </w:rPr>
          <w:t>https://gov.wales/sites/default/files/publications/2018-09/additional-learning-needs-aln-transformation-programme-v2.pdf</w:t>
        </w:r>
      </w:hyperlink>
      <w:r w:rsidRPr="6B11E19B" w:rsidR="6B11E19B">
        <w:rPr>
          <w:rFonts w:ascii="Arial" w:hAnsi="Arial" w:eastAsia="Arial" w:cs="Arial"/>
          <w:noProof w:val="0"/>
          <w:color w:val="1155CC"/>
          <w:sz w:val="24"/>
          <w:szCs w:val="24"/>
          <w:lang w:val="en-GB"/>
        </w:rPr>
        <w:t xml:space="preserve"> (Accessed: 2 January 2020)</w:t>
      </w:r>
    </w:p>
    <w:p w:rsidR="6B11E19B" w:rsidP="6B11E19B" w:rsidRDefault="6B11E19B" w14:paraId="3023EF3F" w14:textId="7E0A2676">
      <w:pPr>
        <w:spacing w:line="360" w:lineRule="auto"/>
      </w:pPr>
    </w:p>
    <w:p w:rsidR="6B11E19B" w:rsidP="6B11E19B" w:rsidRDefault="6B11E19B" w14:paraId="77307ADF" w14:textId="52183772">
      <w:pPr>
        <w:spacing w:line="360" w:lineRule="auto"/>
      </w:pPr>
      <w:r w:rsidRPr="6B11E19B" w:rsidR="6B11E19B">
        <w:rPr>
          <w:rFonts w:ascii="Arial" w:hAnsi="Arial" w:eastAsia="Arial" w:cs="Arial"/>
          <w:noProof w:val="0"/>
          <w:sz w:val="24"/>
          <w:szCs w:val="24"/>
          <w:lang w:val="en-GB"/>
        </w:rPr>
        <w:t xml:space="preserve">Welsh Government (2017) </w:t>
      </w:r>
      <w:r w:rsidRPr="6B11E19B" w:rsidR="6B11E19B">
        <w:rPr>
          <w:rFonts w:ascii="Arial" w:hAnsi="Arial" w:eastAsia="Arial" w:cs="Arial"/>
          <w:i w:val="1"/>
          <w:iCs w:val="1"/>
          <w:noProof w:val="0"/>
          <w:sz w:val="24"/>
          <w:szCs w:val="24"/>
          <w:lang w:val="en-GB"/>
        </w:rPr>
        <w:t xml:space="preserve">Foundation Phase Profile Handbook. </w:t>
      </w:r>
      <w:r w:rsidRPr="6B11E19B" w:rsidR="6B11E19B">
        <w:rPr>
          <w:rFonts w:ascii="Arial" w:hAnsi="Arial" w:eastAsia="Arial" w:cs="Arial"/>
          <w:noProof w:val="0"/>
          <w:sz w:val="24"/>
          <w:szCs w:val="24"/>
          <w:lang w:val="en-GB"/>
        </w:rPr>
        <w:t xml:space="preserve">Available at: </w:t>
      </w:r>
      <w:hyperlink r:id="Rbf4034021aaa4156">
        <w:r w:rsidRPr="6B11E19B" w:rsidR="6B11E19B">
          <w:rPr>
            <w:rStyle w:val="Hyperlink"/>
            <w:rFonts w:ascii="Arial" w:hAnsi="Arial" w:eastAsia="Arial" w:cs="Arial"/>
            <w:noProof w:val="0"/>
            <w:color w:val="1155CC"/>
            <w:sz w:val="24"/>
            <w:szCs w:val="24"/>
            <w:lang w:val="en-GB"/>
          </w:rPr>
          <w:t>https://hwb.gov.wales/storage/f9d85dba-85a4-4e87-bb58-a24730ad7e57/foundation-phase-profile-handbook-revised-september-2017.pdf</w:t>
        </w:r>
      </w:hyperlink>
      <w:r w:rsidRPr="6B11E19B" w:rsidR="6B11E19B">
        <w:rPr>
          <w:rFonts w:ascii="Arial" w:hAnsi="Arial" w:eastAsia="Arial" w:cs="Arial"/>
          <w:noProof w:val="0"/>
          <w:color w:val="1155CC"/>
          <w:sz w:val="24"/>
          <w:szCs w:val="24"/>
          <w:lang w:val="en-GB"/>
        </w:rPr>
        <w:t xml:space="preserve"> (Accessed: 26 December 2019)</w:t>
      </w:r>
    </w:p>
    <w:p w:rsidR="6B11E19B" w:rsidP="6B11E19B" w:rsidRDefault="6B11E19B" w14:paraId="0C12F4C2" w14:textId="2E3E84A3">
      <w:pPr>
        <w:spacing w:line="360" w:lineRule="auto"/>
      </w:pPr>
    </w:p>
    <w:p w:rsidR="6B11E19B" w:rsidP="6B11E19B" w:rsidRDefault="6B11E19B" w14:paraId="09CFE81C" w14:textId="03F0B7D9">
      <w:pPr>
        <w:spacing w:line="360" w:lineRule="auto"/>
      </w:pPr>
      <w:r w:rsidRPr="6B11E19B" w:rsidR="6B11E19B">
        <w:rPr>
          <w:rFonts w:ascii="Arial" w:hAnsi="Arial" w:eastAsia="Arial" w:cs="Arial"/>
          <w:noProof w:val="0"/>
          <w:sz w:val="24"/>
          <w:szCs w:val="24"/>
          <w:lang w:val="en-GB"/>
        </w:rPr>
        <w:t xml:space="preserve">Welsh Government (2019) </w:t>
      </w:r>
      <w:r w:rsidRPr="6B11E19B" w:rsidR="6B11E19B">
        <w:rPr>
          <w:rFonts w:ascii="Arial" w:hAnsi="Arial" w:eastAsia="Arial" w:cs="Arial"/>
          <w:i w:val="1"/>
          <w:iCs w:val="1"/>
          <w:noProof w:val="0"/>
          <w:sz w:val="24"/>
          <w:szCs w:val="24"/>
          <w:lang w:val="en-GB"/>
        </w:rPr>
        <w:t xml:space="preserve">A guide to Curriculum for Wales 2022. </w:t>
      </w:r>
      <w:r w:rsidRPr="6B11E19B" w:rsidR="6B11E19B">
        <w:rPr>
          <w:rFonts w:ascii="Arial" w:hAnsi="Arial" w:eastAsia="Arial" w:cs="Arial"/>
          <w:noProof w:val="0"/>
          <w:sz w:val="24"/>
          <w:szCs w:val="24"/>
          <w:lang w:val="en-GB"/>
        </w:rPr>
        <w:t>Available at:</w:t>
      </w:r>
    </w:p>
    <w:p w:rsidR="6B11E19B" w:rsidP="6B11E19B" w:rsidRDefault="6B11E19B" w14:paraId="3C5EF751" w14:textId="6DADE3D6">
      <w:pPr>
        <w:pStyle w:val="Normal"/>
        <w:spacing w:line="360" w:lineRule="auto"/>
      </w:pPr>
      <w:hyperlink r:id="Re39aa7cbb8134bf5">
        <w:r w:rsidRPr="6B11E19B" w:rsidR="6B11E19B">
          <w:rPr>
            <w:rStyle w:val="Hyperlink"/>
            <w:rFonts w:ascii="Arial" w:hAnsi="Arial" w:eastAsia="Arial" w:cs="Arial"/>
            <w:noProof w:val="0"/>
            <w:color w:val="1155CC"/>
            <w:sz w:val="24"/>
            <w:szCs w:val="24"/>
            <w:lang w:val="en-GB"/>
          </w:rPr>
          <w:t>https://hwb.gov.wales/draft-curriculum-for-wales-2022/a-guide-to-curriculum-for-wales-2022</w:t>
        </w:r>
      </w:hyperlink>
      <w:r w:rsidRPr="6B11E19B" w:rsidR="6B11E19B">
        <w:rPr>
          <w:rFonts w:ascii="Arial" w:hAnsi="Arial" w:eastAsia="Arial" w:cs="Arial"/>
          <w:noProof w:val="0"/>
          <w:color w:val="1155CC"/>
          <w:sz w:val="24"/>
          <w:szCs w:val="24"/>
          <w:lang w:val="en-GB"/>
        </w:rPr>
        <w:t xml:space="preserve"> (Accessed: 16 January 2020).</w:t>
      </w:r>
    </w:p>
    <w:sectPr>
      <w:pgSz w:w="11906" w:h="16838" w:orient="portrait"/>
      <w:pgMar w:top="1440" w:right="1440" w:bottom="1440" w:left="1440" w:header="720" w:footer="720" w:gutter="0"/>
      <w:cols w:space="720"/>
      <w:docGrid w:linePitch="360"/>
      <w:headerReference w:type="default" r:id="Ra36069807086485b"/>
      <w:footerReference w:type="default" r:id="Rf823bd18269248f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6B11E19B" w:rsidTr="6B11E19B" w14:paraId="4B2458A5">
      <w:tc>
        <w:tcPr>
          <w:tcW w:w="3009" w:type="dxa"/>
          <w:tcMar/>
        </w:tcPr>
        <w:p w:rsidR="6B11E19B" w:rsidP="6B11E19B" w:rsidRDefault="6B11E19B" w14:paraId="090A85EB" w14:textId="5BC32034">
          <w:pPr>
            <w:pStyle w:val="Header"/>
            <w:bidi w:val="0"/>
            <w:ind w:left="-115"/>
            <w:jc w:val="left"/>
          </w:pPr>
        </w:p>
      </w:tc>
      <w:tc>
        <w:tcPr>
          <w:tcW w:w="3009" w:type="dxa"/>
          <w:tcMar/>
        </w:tcPr>
        <w:p w:rsidR="6B11E19B" w:rsidP="6B11E19B" w:rsidRDefault="6B11E19B" w14:paraId="34A2B047" w14:textId="09BA7601">
          <w:pPr>
            <w:pStyle w:val="Header"/>
            <w:bidi w:val="0"/>
            <w:jc w:val="center"/>
          </w:pPr>
          <w:r>
            <w:fldChar w:fldCharType="begin"/>
          </w:r>
          <w:r>
            <w:instrText xml:space="preserve">PAGE</w:instrText>
          </w:r>
          <w:r>
            <w:fldChar w:fldCharType="end"/>
          </w:r>
        </w:p>
      </w:tc>
      <w:tc>
        <w:tcPr>
          <w:tcW w:w="3009" w:type="dxa"/>
          <w:tcMar/>
        </w:tcPr>
        <w:p w:rsidR="6B11E19B" w:rsidP="6B11E19B" w:rsidRDefault="6B11E19B" w14:paraId="44DE8766" w14:textId="5894BB7D">
          <w:pPr>
            <w:pStyle w:val="Header"/>
            <w:bidi w:val="0"/>
            <w:ind w:right="-115"/>
            <w:jc w:val="right"/>
          </w:pPr>
        </w:p>
      </w:tc>
    </w:tr>
  </w:tbl>
  <w:p w:rsidR="6B11E19B" w:rsidP="6B11E19B" w:rsidRDefault="6B11E19B" w14:paraId="711411F8" w14:textId="0054274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6B11E19B" w:rsidTr="6B11E19B" w14:paraId="71D0218E">
      <w:tc>
        <w:tcPr>
          <w:tcW w:w="3009" w:type="dxa"/>
          <w:tcMar/>
        </w:tcPr>
        <w:p w:rsidR="6B11E19B" w:rsidP="6B11E19B" w:rsidRDefault="6B11E19B" w14:paraId="61BB555C" w14:textId="01F226A2">
          <w:pPr>
            <w:pStyle w:val="Header"/>
            <w:bidi w:val="0"/>
            <w:ind w:left="-115"/>
            <w:jc w:val="left"/>
          </w:pPr>
          <w:r w:rsidR="6B11E19B">
            <w:rPr/>
            <w:t>Student number: 1905461</w:t>
          </w:r>
        </w:p>
      </w:tc>
      <w:tc>
        <w:tcPr>
          <w:tcW w:w="3009" w:type="dxa"/>
          <w:tcMar/>
        </w:tcPr>
        <w:p w:rsidR="6B11E19B" w:rsidP="6B11E19B" w:rsidRDefault="6B11E19B" w14:paraId="657BAF38" w14:textId="23888A3F">
          <w:pPr>
            <w:pStyle w:val="Header"/>
            <w:bidi w:val="0"/>
            <w:jc w:val="center"/>
          </w:pPr>
          <w:r w:rsidR="6B11E19B">
            <w:rPr/>
            <w:t>Module: EAEE4004</w:t>
          </w:r>
        </w:p>
      </w:tc>
      <w:tc>
        <w:tcPr>
          <w:tcW w:w="3009" w:type="dxa"/>
          <w:tcMar/>
        </w:tcPr>
        <w:p w:rsidR="6B11E19B" w:rsidP="6B11E19B" w:rsidRDefault="6B11E19B" w14:paraId="4831782B" w14:textId="7C621362">
          <w:pPr>
            <w:pStyle w:val="Header"/>
            <w:bidi w:val="0"/>
            <w:ind w:right="-115"/>
            <w:jc w:val="right"/>
          </w:pPr>
          <w:r w:rsidR="6B11E19B">
            <w:rPr/>
            <w:t>Word count: 3,299</w:t>
          </w:r>
        </w:p>
      </w:tc>
    </w:tr>
  </w:tbl>
  <w:p w:rsidR="6B11E19B" w:rsidP="6B11E19B" w:rsidRDefault="6B11E19B" w14:paraId="34C6D381" w14:textId="2EF4ED7A">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0692055"/>
  <w15:docId w15:val="{d2267dce-c586-4d47-86b4-2bd493c23742}"/>
  <w:rsids>
    <w:rsidRoot w:val="70692055"/>
    <w:rsid w:val="6B11E19B"/>
    <w:rsid w:val="7069205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elegraph.co.uk/family/parenting/raise-worlds-happiest-children-time-went-dutch/" TargetMode="External" Id="Rcd4e493491ef4695" /><Relationship Type="http://schemas.openxmlformats.org/officeDocument/2006/relationships/hyperlink" Target="https://playsafetyforum.files.wordpress.com/2015/03/managing-risk-in-play-provision.pdf" TargetMode="External" Id="R3215926adf654fd9" /><Relationship Type="http://schemas.openxmlformats.org/officeDocument/2006/relationships/hyperlink" Target="https://www.playwales.org.uk/login/uploaded/documents/INFORMATION%20SHEETS/A%20playworkers%20guide%20to%20risk.pdf" TargetMode="External" Id="R2f29f73d54394af6" /><Relationship Type="http://schemas.openxmlformats.org/officeDocument/2006/relationships/hyperlink" Target="https://www.journalofplay.org/sites/www.journalofplay.org/files/pdf-articles/7-3-article-vygotskian-and-post-vygotskian-views.pdf" TargetMode="External" Id="R23d0cdfed17f4523" /><Relationship Type="http://schemas.openxmlformats.org/officeDocument/2006/relationships/hyperlink" Target="https://www.ted.com/talks/stuart_brown_play_is_more_than_just_fun" TargetMode="External" Id="Rfaeb830800fa4ec0" /><Relationship Type="http://schemas.openxmlformats.org/officeDocument/2006/relationships/hyperlink" Target="https://edis.ifas.ufl.edu/pdffiles/WC/WC15900.pdf" TargetMode="External" Id="R1e6260971401407a" /><Relationship Type="http://schemas.openxmlformats.org/officeDocument/2006/relationships/hyperlink" Target="http://www.edufocus.co.uk/pages/evolve/visits.asp" TargetMode="External" Id="R974ebc335b014e32" /><Relationship Type="http://schemas.openxmlformats.org/officeDocument/2006/relationships/hyperlink" Target="https://www-tandfonline-com.ezproxy.uwtsd.ac.uk/doi/full/10.1080/03004279.2018.1551912?scroll=top&amp;needAccess=true" TargetMode="External" Id="R3ed53e53d5f44471" /><Relationship Type="http://schemas.openxmlformats.org/officeDocument/2006/relationships/hyperlink" Target="https://www.legofoundation.com/media/1063/learning-through-play_web.pdf" TargetMode="External" Id="R4c8e02aad2854428" /><Relationship Type="http://schemas.openxmlformats.org/officeDocument/2006/relationships/hyperlink" Target="https://www.playwales.org.uk/login/uploaded/documents/INFORMATION%20SHEETS/play%20and%20early%20years.pdf" TargetMode="External" Id="R090632b403c445c7" /><Relationship Type="http://schemas.openxmlformats.org/officeDocument/2006/relationships/hyperlink" Target="https://www.ndna.org.uk/NDNA/Cymru/Knowledge_Hub/The_Foundation_Phase.aspx" TargetMode="External" Id="R0cae863db8c44456" /><Relationship Type="http://schemas.openxmlformats.org/officeDocument/2006/relationships/hyperlink" Target="https://www.nhsggc.org.uk/kids/life-skills/play-leisure/explorative-play/" TargetMode="External" Id="Rd293122ee7be4d2d" /><Relationship Type="http://schemas.openxmlformats.org/officeDocument/2006/relationships/hyperlink" Target="https://www.playengland.org.uk/media/371031/a-world-without-play-literature-review-2012.pdf" TargetMode="External" Id="R80f37010b9c64d59" /><Relationship Type="http://schemas.openxmlformats.org/officeDocument/2006/relationships/hyperlink" Target="http://www.playengland.net/wp-content/uploads/2015/09/managing-risk-in-play-provision.pdf" TargetMode="External" Id="R819bd3cf517c4e5a" /><Relationship Type="http://schemas.openxmlformats.org/officeDocument/2006/relationships/hyperlink" Target="https://www.playscotland.org/play-for-health/the-power-of-play/" TargetMode="External" Id="R67a19a4579a54fd0" /><Relationship Type="http://schemas.openxmlformats.org/officeDocument/2006/relationships/hyperlink" Target="https://www.playwales.org.uk/eng/hsespeech" TargetMode="External" Id="Rf5dce6ae0d4c49a2" /><Relationship Type="http://schemas.openxmlformats.org/officeDocument/2006/relationships/hyperlink" Target="https://www.playwales.org.uk/eng/playandchallenge" TargetMode="External" Id="R8320d511dc494fe1" /><Relationship Type="http://schemas.openxmlformats.org/officeDocument/2006/relationships/hyperlink" Target="https://www.playwales.org.uk/eng/playwork" TargetMode="External" Id="R214434cf53664f8f" /><Relationship Type="http://schemas.openxmlformats.org/officeDocument/2006/relationships/hyperlink" Target="https://issuu.com/playwales/docs/role_of_adults_in_children_s_play?e=5305098/4082010" TargetMode="External" Id="Reaa8e5c235654bbd" /><Relationship Type="http://schemas.openxmlformats.org/officeDocument/2006/relationships/hyperlink" Target="https://issuu.com/playwales/docs/rba_guidance_paper?e=5305098/38846203" TargetMode="External" Id="R00af721f937647ef" /><Relationship Type="http://schemas.openxmlformats.org/officeDocument/2006/relationships/hyperlink" Target="https://issuu.com/playwales/docs/play_types?e=5305098/53885121" TargetMode="External" Id="R4f15eeaf6b634478" /><Relationship Type="http://schemas.openxmlformats.org/officeDocument/2006/relationships/hyperlink" Target="https://www.youtube.com/watch?v=Jkiij9dJfcw" TargetMode="External" Id="Rde13888265264fba" /><Relationship Type="http://schemas.openxmlformats.org/officeDocument/2006/relationships/hyperlink" Target="https://www.stroud-kes.org.uk/pastoral/co-curricular/forest-school/" TargetMode="External" Id="Rd603c42192424218" /><Relationship Type="http://schemas.openxmlformats.org/officeDocument/2006/relationships/hyperlink" Target="https://www.sussexforestschool.com/what-is-forest-school/holistic-development.html" TargetMode="External" Id="R144b4a24f9bc463d" /><Relationship Type="http://schemas.openxmlformats.org/officeDocument/2006/relationships/hyperlink" Target="https://www.unicef.org.uk/child-rights-partners/wp-content/uploads/sites/3/2016/08/CRC_summary_leaflet_Child_Rights_Partners_web_final.pdf" TargetMode="External" Id="R4a7edef70b7d4c99" /><Relationship Type="http://schemas.openxmlformats.org/officeDocument/2006/relationships/hyperlink" Target="https://www.irishtimes.com/life-and-style/health-family/parenting/the-power-of-play-1.1537221" TargetMode="External" Id="Rb9a740ce5a794087" /><Relationship Type="http://schemas.openxmlformats.org/officeDocument/2006/relationships/hyperlink" Target="https://gov.wales/sites/default/files/publications/2019-07/wales-a-play-friendly-country.pdf" TargetMode="External" Id="Rf331f64be08e4220" /><Relationship Type="http://schemas.openxmlformats.org/officeDocument/2006/relationships/hyperlink" Target="https://hwb.gov.wales/storage/d5d8e39c-b534-40cb-a3f5-7e2e126d8077/foundation-phase-framework.pdf" TargetMode="External" Id="R45673b4b52474c98" /><Relationship Type="http://schemas.openxmlformats.org/officeDocument/2006/relationships/hyperlink" Target="https://gov.wales/sites/default/files/publications/2018-09/additional-learning-needs-aln-transformation-programme-v2.pdf" TargetMode="External" Id="R21f68751f70f4692" /><Relationship Type="http://schemas.openxmlformats.org/officeDocument/2006/relationships/hyperlink" Target="https://hwb.gov.wales/storage/f9d85dba-85a4-4e87-bb58-a24730ad7e57/foundation-phase-profile-handbook-revised-september-2017.pdf" TargetMode="External" Id="Rbf4034021aaa4156" /><Relationship Type="http://schemas.openxmlformats.org/officeDocument/2006/relationships/hyperlink" Target="https://hwb.gov.wales/draft-curriculum-for-wales-2022/a-guide-to-curriculum-for-wales-2022" TargetMode="External" Id="Re39aa7cbb8134bf5" /><Relationship Type="http://schemas.openxmlformats.org/officeDocument/2006/relationships/header" Target="/word/header.xml" Id="Ra36069807086485b" /><Relationship Type="http://schemas.openxmlformats.org/officeDocument/2006/relationships/footer" Target="/word/footer.xml" Id="Rf823bd18269248f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 Anstice (1905461)</dc:creator>
  <keywords/>
  <dc:description/>
  <lastModifiedBy>Sara Anstice (1905461)</lastModifiedBy>
  <revision>2</revision>
  <dcterms:created xsi:type="dcterms:W3CDTF">2020-01-19T21:40:29.0512959Z</dcterms:created>
  <dcterms:modified xsi:type="dcterms:W3CDTF">2020-01-19T22:11:26.9684240Z</dcterms:modified>
</coreProperties>
</file>