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A281" w14:textId="063A75A1" w:rsidR="004B33A7" w:rsidRPr="004B33A7" w:rsidRDefault="004B33A7"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61CDE6CA" wp14:editId="59EEC665">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462E3946" w14:textId="77777777" w:rsidR="004B33A7" w:rsidRDefault="004B33A7" w:rsidP="004B33A7">
      <w:pPr>
        <w:rPr>
          <w:rFonts w:asciiTheme="minorBidi" w:hAnsiTheme="minorBidi"/>
          <w:b/>
          <w:bCs/>
          <w:sz w:val="36"/>
          <w:szCs w:val="36"/>
        </w:rPr>
      </w:pPr>
    </w:p>
    <w:p w14:paraId="2A2C2CA1" w14:textId="77777777" w:rsidR="004B33A7" w:rsidRPr="004B33A7" w:rsidRDefault="004B33A7" w:rsidP="004B33A7">
      <w:pPr>
        <w:rPr>
          <w:rFonts w:asciiTheme="minorBidi" w:hAnsiTheme="minorBidi"/>
          <w:b/>
          <w:bCs/>
          <w:sz w:val="48"/>
          <w:szCs w:val="48"/>
        </w:rPr>
      </w:pPr>
    </w:p>
    <w:p w14:paraId="0F83051C" w14:textId="4F204B6F" w:rsidR="004B33A7" w:rsidRPr="00703E2E" w:rsidRDefault="004B33A7" w:rsidP="004B33A7">
      <w:pPr>
        <w:rPr>
          <w:rFonts w:asciiTheme="minorBidi" w:hAnsiTheme="minorBidi"/>
          <w:color w:val="FF0000"/>
          <w:sz w:val="48"/>
          <w:szCs w:val="48"/>
        </w:rPr>
      </w:pPr>
      <w:r w:rsidRPr="00703E2E">
        <w:rPr>
          <w:rFonts w:asciiTheme="minorBidi" w:hAnsiTheme="minorBidi"/>
          <w:b/>
          <w:bCs/>
          <w:sz w:val="48"/>
          <w:szCs w:val="48"/>
        </w:rPr>
        <w:t xml:space="preserve">MODULE CODE: </w:t>
      </w:r>
      <w:r w:rsidR="00BD079C" w:rsidRPr="00703E2E">
        <w:rPr>
          <w:rFonts w:asciiTheme="minorBidi" w:hAnsiTheme="minorBidi"/>
          <w:b/>
          <w:bCs/>
          <w:color w:val="FF0000"/>
          <w:sz w:val="48"/>
          <w:szCs w:val="48"/>
        </w:rPr>
        <w:t xml:space="preserve">ECPT5002 </w:t>
      </w:r>
      <w:r w:rsidR="00703E2E" w:rsidRPr="00703E2E">
        <w:rPr>
          <w:rFonts w:asciiTheme="minorBidi" w:hAnsiTheme="minorBidi"/>
          <w:b/>
          <w:bCs/>
          <w:color w:val="FF0000"/>
          <w:sz w:val="48"/>
          <w:szCs w:val="48"/>
        </w:rPr>
        <w:t xml:space="preserve">or </w:t>
      </w:r>
      <w:r w:rsidR="00BD079C" w:rsidRPr="00703E2E">
        <w:rPr>
          <w:rFonts w:asciiTheme="minorBidi" w:hAnsiTheme="minorBidi"/>
          <w:b/>
          <w:bCs/>
          <w:color w:val="FF0000"/>
          <w:sz w:val="48"/>
          <w:szCs w:val="48"/>
        </w:rPr>
        <w:t>ECPT6004 (delete as n</w:t>
      </w:r>
      <w:r w:rsidR="00703E2E" w:rsidRPr="00703E2E">
        <w:rPr>
          <w:rFonts w:asciiTheme="minorBidi" w:hAnsiTheme="minorBidi"/>
          <w:b/>
          <w:bCs/>
          <w:color w:val="FF0000"/>
          <w:sz w:val="48"/>
          <w:szCs w:val="48"/>
        </w:rPr>
        <w:t>ecessary</w:t>
      </w:r>
      <w:r w:rsidR="00BD079C" w:rsidRPr="00703E2E">
        <w:rPr>
          <w:rFonts w:asciiTheme="minorBidi" w:hAnsiTheme="minorBidi"/>
          <w:b/>
          <w:bCs/>
          <w:color w:val="FF0000"/>
          <w:sz w:val="48"/>
          <w:szCs w:val="48"/>
        </w:rPr>
        <w:t>)</w:t>
      </w:r>
    </w:p>
    <w:p w14:paraId="3067B945" w14:textId="77777777" w:rsidR="004B33A7" w:rsidRPr="00703E2E" w:rsidRDefault="004B33A7" w:rsidP="004B33A7">
      <w:pPr>
        <w:rPr>
          <w:rFonts w:asciiTheme="minorBidi" w:hAnsiTheme="minorBidi"/>
          <w:sz w:val="48"/>
          <w:szCs w:val="48"/>
        </w:rPr>
      </w:pPr>
      <w:r w:rsidRPr="00703E2E">
        <w:rPr>
          <w:rFonts w:asciiTheme="minorBidi" w:hAnsiTheme="minorBidi"/>
          <w:sz w:val="48"/>
          <w:szCs w:val="48"/>
        </w:rPr>
        <w:t> </w:t>
      </w:r>
    </w:p>
    <w:p w14:paraId="163B6B74" w14:textId="6B3D839C" w:rsidR="004B33A7" w:rsidRPr="004B33A7" w:rsidRDefault="004B33A7" w:rsidP="004B33A7">
      <w:pPr>
        <w:rPr>
          <w:rFonts w:asciiTheme="minorBidi" w:hAnsiTheme="minorBidi"/>
          <w:sz w:val="48"/>
          <w:szCs w:val="48"/>
        </w:rPr>
      </w:pPr>
      <w:r w:rsidRPr="004B33A7">
        <w:rPr>
          <w:rFonts w:asciiTheme="minorBidi" w:hAnsiTheme="minorBidi"/>
          <w:b/>
          <w:bCs/>
          <w:sz w:val="48"/>
          <w:szCs w:val="48"/>
        </w:rPr>
        <w:t xml:space="preserve">ASSESSMENT COMPONENT: </w:t>
      </w:r>
      <w:r w:rsidR="00703E2E">
        <w:rPr>
          <w:rFonts w:asciiTheme="minorBidi" w:hAnsiTheme="minorBidi"/>
          <w:b/>
          <w:bCs/>
          <w:sz w:val="48"/>
          <w:szCs w:val="48"/>
        </w:rPr>
        <w:t>One</w:t>
      </w:r>
    </w:p>
    <w:p w14:paraId="0095FD63"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152673F1" w14:textId="43186146" w:rsidR="004B33A7" w:rsidRPr="004B33A7" w:rsidRDefault="004B33A7" w:rsidP="004B33A7">
      <w:pPr>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sidR="00761B63">
        <w:rPr>
          <w:rFonts w:asciiTheme="minorBidi" w:hAnsiTheme="minorBidi"/>
          <w:sz w:val="48"/>
          <w:szCs w:val="48"/>
        </w:rPr>
        <w:t>Sophie Bailey</w:t>
      </w:r>
    </w:p>
    <w:p w14:paraId="7F3AA822"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2C284020" w14:textId="7BAFE4B6" w:rsidR="004B33A7" w:rsidRPr="004B33A7" w:rsidRDefault="004B33A7" w:rsidP="004B33A7">
      <w:pPr>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sidR="00761B63">
        <w:rPr>
          <w:rFonts w:asciiTheme="minorBidi" w:hAnsiTheme="minorBidi"/>
          <w:sz w:val="48"/>
          <w:szCs w:val="48"/>
        </w:rPr>
        <w:t>1810168</w:t>
      </w:r>
    </w:p>
    <w:p w14:paraId="35756ACA" w14:textId="77777777" w:rsidR="004B33A7" w:rsidRDefault="004B33A7" w:rsidP="004B33A7">
      <w:pPr>
        <w:rPr>
          <w:rFonts w:asciiTheme="minorBidi" w:hAnsiTheme="minorBidi"/>
          <w:b/>
          <w:bCs/>
          <w:sz w:val="28"/>
          <w:szCs w:val="28"/>
        </w:rPr>
      </w:pPr>
    </w:p>
    <w:p w14:paraId="1EBD9108" w14:textId="77777777" w:rsidR="004B33A7" w:rsidRDefault="004B33A7" w:rsidP="004B33A7">
      <w:pPr>
        <w:rPr>
          <w:rFonts w:asciiTheme="minorBidi" w:hAnsiTheme="minorBidi"/>
          <w:b/>
          <w:bCs/>
          <w:sz w:val="28"/>
          <w:szCs w:val="28"/>
        </w:rPr>
      </w:pPr>
    </w:p>
    <w:p w14:paraId="46D95522" w14:textId="77777777" w:rsidR="004B33A7" w:rsidRDefault="004B33A7" w:rsidP="004B33A7">
      <w:pPr>
        <w:rPr>
          <w:rFonts w:asciiTheme="minorBidi" w:hAnsiTheme="minorBidi"/>
          <w:b/>
          <w:bCs/>
          <w:sz w:val="28"/>
          <w:szCs w:val="28"/>
        </w:rPr>
      </w:pPr>
    </w:p>
    <w:p w14:paraId="1A6E0A87" w14:textId="77777777" w:rsidR="004B33A7" w:rsidRDefault="004B33A7" w:rsidP="004B33A7">
      <w:pPr>
        <w:rPr>
          <w:rFonts w:asciiTheme="minorBidi" w:hAnsiTheme="minorBidi"/>
          <w:b/>
          <w:bCs/>
          <w:sz w:val="28"/>
          <w:szCs w:val="28"/>
        </w:rPr>
      </w:pPr>
    </w:p>
    <w:p w14:paraId="4D780CE2" w14:textId="77777777" w:rsidR="004B33A7" w:rsidRDefault="004B33A7" w:rsidP="004B33A7">
      <w:pPr>
        <w:rPr>
          <w:rFonts w:asciiTheme="minorBidi" w:hAnsiTheme="minorBidi"/>
          <w:b/>
          <w:bCs/>
          <w:sz w:val="28"/>
          <w:szCs w:val="28"/>
        </w:rPr>
      </w:pPr>
    </w:p>
    <w:p w14:paraId="54CC7B10" w14:textId="77777777" w:rsidR="004B33A7" w:rsidRDefault="004B33A7" w:rsidP="004B33A7">
      <w:pPr>
        <w:rPr>
          <w:rFonts w:asciiTheme="minorBidi" w:hAnsiTheme="minorBidi"/>
          <w:b/>
          <w:bCs/>
          <w:sz w:val="28"/>
          <w:szCs w:val="28"/>
        </w:rPr>
      </w:pPr>
    </w:p>
    <w:p w14:paraId="05DDB1E4" w14:textId="77777777" w:rsidR="004B33A7" w:rsidRDefault="004B33A7" w:rsidP="004B33A7">
      <w:pPr>
        <w:rPr>
          <w:rFonts w:asciiTheme="minorBidi" w:hAnsiTheme="minorBidi"/>
          <w:b/>
          <w:bCs/>
          <w:sz w:val="28"/>
          <w:szCs w:val="28"/>
        </w:rPr>
      </w:pPr>
    </w:p>
    <w:p w14:paraId="47DB4978" w14:textId="77777777" w:rsidR="004B33A7" w:rsidRDefault="004B33A7" w:rsidP="004B33A7">
      <w:pPr>
        <w:rPr>
          <w:rFonts w:asciiTheme="minorBidi" w:hAnsiTheme="minorBidi"/>
          <w:b/>
          <w:bCs/>
          <w:sz w:val="28"/>
          <w:szCs w:val="28"/>
        </w:rPr>
      </w:pPr>
    </w:p>
    <w:p w14:paraId="52840907" w14:textId="77777777" w:rsidR="004B33A7" w:rsidRDefault="004B33A7" w:rsidP="004B33A7">
      <w:pPr>
        <w:rPr>
          <w:rFonts w:asciiTheme="minorBidi" w:hAnsiTheme="minorBidi"/>
          <w:b/>
          <w:bCs/>
          <w:sz w:val="28"/>
          <w:szCs w:val="28"/>
        </w:rPr>
      </w:pPr>
    </w:p>
    <w:p w14:paraId="7A2EE52F" w14:textId="77777777" w:rsidR="004B33A7" w:rsidRDefault="004B33A7" w:rsidP="004B33A7">
      <w:pPr>
        <w:rPr>
          <w:rFonts w:asciiTheme="minorBidi" w:hAnsiTheme="minorBidi"/>
          <w:b/>
          <w:bCs/>
          <w:sz w:val="28"/>
          <w:szCs w:val="28"/>
        </w:rPr>
      </w:pPr>
    </w:p>
    <w:p w14:paraId="2F75D3B5" w14:textId="1A3B980F" w:rsidR="004B33A7" w:rsidRPr="004B33A7" w:rsidRDefault="004B33A7" w:rsidP="004B33A7">
      <w:pPr>
        <w:rPr>
          <w:rFonts w:asciiTheme="minorBidi" w:hAnsiTheme="minorBidi"/>
          <w:sz w:val="28"/>
          <w:szCs w:val="28"/>
        </w:rPr>
      </w:pPr>
      <w:r w:rsidRPr="004B33A7">
        <w:rPr>
          <w:rFonts w:asciiTheme="minorBidi" w:hAnsiTheme="minorBidi"/>
          <w:b/>
          <w:bCs/>
          <w:sz w:val="28"/>
          <w:szCs w:val="28"/>
        </w:rPr>
        <w:t>Use of Generative AI in Assessment</w:t>
      </w:r>
      <w:r w:rsidRPr="004B33A7">
        <w:rPr>
          <w:rFonts w:asciiTheme="minorBidi" w:hAnsiTheme="minorBidi"/>
          <w:sz w:val="28"/>
          <w:szCs w:val="28"/>
        </w:rPr>
        <w:t>  </w:t>
      </w:r>
    </w:p>
    <w:p w14:paraId="5647A3D0" w14:textId="77777777" w:rsidR="004B33A7" w:rsidRPr="00536FF1" w:rsidRDefault="004B33A7" w:rsidP="004B33A7">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4B33A7" w:rsidRPr="004B33A7" w14:paraId="40187EB3" w14:textId="77777777" w:rsidTr="00F10E82">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1564535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RESEARCH  </w:t>
            </w:r>
          </w:p>
        </w:tc>
        <w:tc>
          <w:tcPr>
            <w:tcW w:w="4890" w:type="dxa"/>
            <w:tcBorders>
              <w:top w:val="single" w:sz="6" w:space="0" w:color="auto"/>
              <w:left w:val="single" w:sz="6" w:space="0" w:color="000000"/>
              <w:bottom w:val="single" w:sz="6" w:space="0" w:color="000000"/>
              <w:right w:val="single" w:sz="6" w:space="0" w:color="000000"/>
            </w:tcBorders>
            <w:hideMark/>
          </w:tcPr>
          <w:p w14:paraId="44DDA584"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0623974B" w14:textId="1EBC262D" w:rsidR="004B33A7" w:rsidRPr="004B33A7" w:rsidRDefault="004B33A7" w:rsidP="00F10E82">
            <w:pPr>
              <w:rPr>
                <w:rFonts w:asciiTheme="minorBidi" w:hAnsiTheme="minorBidi"/>
                <w:sz w:val="24"/>
                <w:szCs w:val="24"/>
              </w:rPr>
            </w:pPr>
            <w:r w:rsidRPr="004B33A7">
              <w:rPr>
                <w:rFonts w:asciiTheme="minorBidi" w:hAnsiTheme="minorBidi"/>
                <w:sz w:val="24"/>
                <w:szCs w:val="24"/>
              </w:rPr>
              <w:t>Yes X</w:t>
            </w:r>
          </w:p>
          <w:p w14:paraId="1E6FBFA9"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555464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6C17DBC"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48014D91"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75099D52" w14:textId="3B878842"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14:paraId="0CE55757"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72B64EE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21A119D6"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3C68E036"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1E6E5DAC" w14:textId="70A20730"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14:paraId="0B0C5219"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29ED216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6FE4BEF"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WRITING  </w:t>
            </w:r>
          </w:p>
        </w:tc>
        <w:tc>
          <w:tcPr>
            <w:tcW w:w="4890" w:type="dxa"/>
            <w:tcBorders>
              <w:top w:val="single" w:sz="6" w:space="0" w:color="000000"/>
              <w:left w:val="single" w:sz="6" w:space="0" w:color="000000"/>
              <w:bottom w:val="single" w:sz="6" w:space="0" w:color="000000"/>
              <w:right w:val="single" w:sz="6" w:space="0" w:color="000000"/>
            </w:tcBorders>
            <w:hideMark/>
          </w:tcPr>
          <w:p w14:paraId="74B40370"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38F4C3F1"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210DCFE4" w14:textId="34F07642" w:rsidR="004B33A7" w:rsidRPr="004B33A7" w:rsidRDefault="004B33A7" w:rsidP="00F10E82">
            <w:pPr>
              <w:rPr>
                <w:rFonts w:asciiTheme="minorBidi" w:hAnsiTheme="minorBidi"/>
                <w:sz w:val="24"/>
                <w:szCs w:val="24"/>
              </w:rPr>
            </w:pPr>
            <w:r w:rsidRPr="004B33A7">
              <w:rPr>
                <w:rFonts w:asciiTheme="minorBidi" w:hAnsiTheme="minorBidi"/>
                <w:sz w:val="24"/>
                <w:szCs w:val="24"/>
              </w:rPr>
              <w:t>No   X </w:t>
            </w:r>
          </w:p>
        </w:tc>
      </w:tr>
      <w:tr w:rsidR="004B33A7" w:rsidRPr="004B33A7" w14:paraId="2570731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927B33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5312A79C"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0DB4DDB9"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6EAAB1B6" w14:textId="743694CB" w:rsidR="004B33A7" w:rsidRPr="004B33A7" w:rsidRDefault="004B33A7" w:rsidP="00F10E82">
            <w:pPr>
              <w:rPr>
                <w:rFonts w:asciiTheme="minorBidi" w:hAnsiTheme="minorBidi"/>
                <w:sz w:val="24"/>
                <w:szCs w:val="24"/>
              </w:rPr>
            </w:pPr>
            <w:r w:rsidRPr="004B33A7">
              <w:rPr>
                <w:rFonts w:asciiTheme="minorBidi" w:hAnsiTheme="minorBidi"/>
                <w:sz w:val="24"/>
                <w:szCs w:val="24"/>
              </w:rPr>
              <w:t>No   ​X</w:t>
            </w:r>
          </w:p>
        </w:tc>
      </w:tr>
      <w:tr w:rsidR="004B33A7" w:rsidRPr="004B33A7" w14:paraId="115D05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5FC7A2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21E6C52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2D25DEE7"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20E5222E" w14:textId="60E63B3C" w:rsidR="004B33A7" w:rsidRPr="004B33A7" w:rsidRDefault="004B33A7" w:rsidP="00F10E82">
            <w:pPr>
              <w:rPr>
                <w:rFonts w:asciiTheme="minorBidi" w:hAnsiTheme="minorBidi"/>
                <w:sz w:val="24"/>
                <w:szCs w:val="24"/>
              </w:rPr>
            </w:pPr>
            <w:r w:rsidRPr="004B33A7">
              <w:rPr>
                <w:rFonts w:asciiTheme="minorBidi" w:hAnsiTheme="minorBidi"/>
                <w:sz w:val="24"/>
                <w:szCs w:val="24"/>
              </w:rPr>
              <w:t>No   ​X</w:t>
            </w:r>
          </w:p>
        </w:tc>
      </w:tr>
      <w:tr w:rsidR="004B33A7" w:rsidRPr="004B33A7" w14:paraId="75F2D960" w14:textId="77777777" w:rsidTr="00F10E82">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8A98BBE"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NONE </w:t>
            </w:r>
          </w:p>
        </w:tc>
        <w:tc>
          <w:tcPr>
            <w:tcW w:w="4890" w:type="dxa"/>
            <w:tcBorders>
              <w:top w:val="single" w:sz="6" w:space="0" w:color="000000"/>
              <w:left w:val="single" w:sz="6" w:space="0" w:color="000000"/>
              <w:bottom w:val="single" w:sz="6" w:space="0" w:color="auto"/>
              <w:right w:val="single" w:sz="6" w:space="0" w:color="000000"/>
            </w:tcBorders>
            <w:hideMark/>
          </w:tcPr>
          <w:p w14:paraId="5B62DC5A"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 xml:space="preserve">For this assessment, you are not allowed to use </w:t>
            </w:r>
            <w:r w:rsidRPr="004B33A7">
              <w:rPr>
                <w:rFonts w:asciiTheme="minorBidi" w:hAnsiTheme="minorBidi"/>
                <w:b/>
                <w:bCs/>
                <w:sz w:val="24"/>
                <w:szCs w:val="24"/>
              </w:rPr>
              <w:t>any</w:t>
            </w:r>
            <w:r w:rsidRPr="004B33A7">
              <w:rPr>
                <w:rFonts w:asciiTheme="minorBidi" w:hAnsiTheme="minorBidi"/>
                <w:sz w:val="24"/>
                <w:szCs w:val="24"/>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34F308CD" w14:textId="77777777" w:rsidR="004B33A7" w:rsidRPr="004B33A7" w:rsidRDefault="004B33A7" w:rsidP="004B33A7">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3EC06516" w14:textId="6AB0D0F4" w:rsidR="004B33A7" w:rsidRPr="004B33A7" w:rsidRDefault="004B33A7" w:rsidP="004B33A7">
            <w:pPr>
              <w:rPr>
                <w:rFonts w:asciiTheme="minorBidi" w:hAnsiTheme="minorBidi"/>
                <w:sz w:val="24"/>
                <w:szCs w:val="24"/>
              </w:rPr>
            </w:pPr>
            <w:r w:rsidRPr="004B33A7">
              <w:rPr>
                <w:rFonts w:asciiTheme="minorBidi" w:hAnsiTheme="minorBidi"/>
                <w:sz w:val="24"/>
                <w:szCs w:val="24"/>
              </w:rPr>
              <w:t xml:space="preserve">No   ​X </w:t>
            </w:r>
          </w:p>
        </w:tc>
      </w:tr>
    </w:tbl>
    <w:p w14:paraId="39C7C63A" w14:textId="77777777" w:rsidR="004B33A7" w:rsidRDefault="004B33A7" w:rsidP="004B33A7">
      <w:pPr>
        <w:rPr>
          <w:sz w:val="24"/>
          <w:szCs w:val="24"/>
        </w:rPr>
      </w:pPr>
    </w:p>
    <w:p w14:paraId="143E0D83" w14:textId="77777777" w:rsidR="004B33A7" w:rsidRDefault="004B33A7" w:rsidP="004B33A7">
      <w:pPr>
        <w:rPr>
          <w:rFonts w:asciiTheme="minorBidi" w:hAnsiTheme="minorBidi"/>
          <w:b/>
          <w:bCs/>
          <w:sz w:val="28"/>
          <w:szCs w:val="28"/>
          <w:u w:val="single"/>
        </w:rPr>
      </w:pPr>
    </w:p>
    <w:p w14:paraId="2D2D0C46" w14:textId="77777777" w:rsidR="004B33A7" w:rsidRDefault="004B33A7" w:rsidP="004B33A7">
      <w:pPr>
        <w:rPr>
          <w:rFonts w:asciiTheme="minorBidi" w:hAnsiTheme="minorBidi"/>
          <w:b/>
          <w:bCs/>
          <w:sz w:val="28"/>
          <w:szCs w:val="28"/>
          <w:u w:val="single"/>
        </w:rPr>
      </w:pPr>
    </w:p>
    <w:p w14:paraId="1862A7FB" w14:textId="77777777" w:rsidR="004B33A7" w:rsidRDefault="004B33A7" w:rsidP="004B33A7">
      <w:pPr>
        <w:rPr>
          <w:rFonts w:asciiTheme="minorBidi" w:hAnsiTheme="minorBidi"/>
          <w:b/>
          <w:bCs/>
          <w:sz w:val="28"/>
          <w:szCs w:val="28"/>
          <w:u w:val="single"/>
        </w:rPr>
      </w:pPr>
    </w:p>
    <w:p w14:paraId="0B2C701E" w14:textId="77777777" w:rsidR="004B33A7" w:rsidRDefault="004B33A7" w:rsidP="004B33A7">
      <w:pPr>
        <w:rPr>
          <w:rFonts w:asciiTheme="minorBidi" w:hAnsiTheme="minorBidi"/>
          <w:b/>
          <w:bCs/>
          <w:sz w:val="28"/>
          <w:szCs w:val="28"/>
          <w:u w:val="single"/>
        </w:rPr>
      </w:pPr>
    </w:p>
    <w:p w14:paraId="23124646" w14:textId="77777777" w:rsidR="004B33A7" w:rsidRDefault="004B33A7" w:rsidP="004B33A7">
      <w:pPr>
        <w:rPr>
          <w:rFonts w:asciiTheme="minorBidi" w:hAnsiTheme="minorBidi"/>
          <w:b/>
          <w:bCs/>
          <w:sz w:val="28"/>
          <w:szCs w:val="28"/>
          <w:u w:val="single"/>
        </w:rPr>
      </w:pPr>
    </w:p>
    <w:p w14:paraId="2569B474" w14:textId="77777777" w:rsidR="004B33A7" w:rsidRDefault="004B33A7" w:rsidP="004B33A7">
      <w:pPr>
        <w:rPr>
          <w:rFonts w:asciiTheme="minorBidi" w:hAnsiTheme="minorBidi"/>
          <w:b/>
          <w:bCs/>
          <w:sz w:val="28"/>
          <w:szCs w:val="28"/>
          <w:u w:val="single"/>
        </w:rPr>
      </w:pPr>
    </w:p>
    <w:p w14:paraId="266DC1E5" w14:textId="77777777" w:rsidR="004B33A7" w:rsidRDefault="004B33A7" w:rsidP="004B33A7">
      <w:pPr>
        <w:rPr>
          <w:rFonts w:asciiTheme="minorBidi" w:hAnsiTheme="minorBidi"/>
          <w:b/>
          <w:bCs/>
          <w:sz w:val="28"/>
          <w:szCs w:val="28"/>
          <w:u w:val="single"/>
        </w:rPr>
      </w:pPr>
    </w:p>
    <w:p w14:paraId="59737CA7" w14:textId="633C96B0" w:rsidR="004B33A7" w:rsidRPr="004B33A7" w:rsidRDefault="004B33A7" w:rsidP="004B33A7">
      <w:pPr>
        <w:rPr>
          <w:rFonts w:asciiTheme="minorBidi" w:hAnsiTheme="minorBidi"/>
          <w:sz w:val="28"/>
          <w:szCs w:val="28"/>
        </w:rPr>
      </w:pPr>
      <w:r w:rsidRPr="004B33A7">
        <w:rPr>
          <w:rFonts w:asciiTheme="minorBidi" w:hAnsiTheme="minorBidi"/>
          <w:b/>
          <w:bCs/>
          <w:sz w:val="28"/>
          <w:szCs w:val="28"/>
          <w:u w:val="single"/>
        </w:rPr>
        <w:t>AI Acknowledgement  </w:t>
      </w:r>
      <w:r w:rsidRPr="004B33A7">
        <w:rPr>
          <w:rFonts w:asciiTheme="minorBidi" w:hAnsiTheme="minorBidi"/>
          <w:sz w:val="28"/>
          <w:szCs w:val="28"/>
        </w:rPr>
        <w:t> </w:t>
      </w:r>
    </w:p>
    <w:p w14:paraId="6F586E49"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not used any AI tools in the research and creation of this assignment.  </w:t>
      </w:r>
    </w:p>
    <w:p w14:paraId="2E8BD4F7"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not presented any AI generated materials as my own work.  </w:t>
      </w:r>
    </w:p>
    <w:p w14:paraId="4575D7AE"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copies of my drafts, notes, and other resources I used, which I may be asked to provide in evidence. </w:t>
      </w:r>
    </w:p>
    <w:p w14:paraId="54E000C8"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3B05F7E2"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6F0369F2"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710468BD"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5133165E"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2FEDE9CB"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552EDBD3" w14:textId="77777777" w:rsidR="004B33A7" w:rsidRPr="004B33A7" w:rsidRDefault="004B33A7" w:rsidP="004B33A7">
      <w:pPr>
        <w:rPr>
          <w:rFonts w:asciiTheme="minorBidi" w:hAnsiTheme="minorBidi"/>
          <w:sz w:val="24"/>
          <w:szCs w:val="24"/>
        </w:rPr>
      </w:pPr>
    </w:p>
    <w:p w14:paraId="01B407A5" w14:textId="77777777" w:rsidR="004B33A7" w:rsidRPr="004B33A7" w:rsidRDefault="004B33A7" w:rsidP="004B33A7">
      <w:pPr>
        <w:rPr>
          <w:rFonts w:asciiTheme="minorBidi" w:hAnsiTheme="minorBidi"/>
          <w:sz w:val="24"/>
          <w:szCs w:val="24"/>
        </w:rPr>
      </w:pPr>
    </w:p>
    <w:p w14:paraId="6334446C" w14:textId="335101BB" w:rsidR="008D6914" w:rsidRDefault="008D6914" w:rsidP="004B33A7">
      <w:pPr>
        <w:rPr>
          <w:rFonts w:asciiTheme="minorBidi" w:hAnsiTheme="minorBidi"/>
          <w:sz w:val="24"/>
          <w:szCs w:val="24"/>
        </w:rPr>
      </w:pPr>
    </w:p>
    <w:p w14:paraId="2A429A5C" w14:textId="77777777" w:rsidR="004B33A7" w:rsidRDefault="004B33A7" w:rsidP="004B33A7">
      <w:pPr>
        <w:rPr>
          <w:rFonts w:asciiTheme="minorBidi" w:hAnsiTheme="minorBidi"/>
          <w:sz w:val="24"/>
          <w:szCs w:val="24"/>
        </w:rPr>
      </w:pPr>
    </w:p>
    <w:p w14:paraId="2809FBFB" w14:textId="77777777" w:rsidR="004B33A7" w:rsidRDefault="004B33A7" w:rsidP="004B33A7">
      <w:pPr>
        <w:rPr>
          <w:rFonts w:asciiTheme="minorBidi" w:hAnsiTheme="minorBidi"/>
          <w:sz w:val="24"/>
          <w:szCs w:val="24"/>
        </w:rPr>
      </w:pPr>
    </w:p>
    <w:p w14:paraId="082FFF89" w14:textId="77777777" w:rsidR="004B33A7" w:rsidRDefault="004B33A7" w:rsidP="004B33A7">
      <w:pPr>
        <w:rPr>
          <w:rFonts w:asciiTheme="minorBidi" w:hAnsiTheme="minorBidi"/>
          <w:sz w:val="24"/>
          <w:szCs w:val="24"/>
        </w:rPr>
      </w:pPr>
    </w:p>
    <w:p w14:paraId="02476F4A" w14:textId="77777777" w:rsidR="004B33A7" w:rsidRDefault="004B33A7" w:rsidP="004B33A7">
      <w:pPr>
        <w:rPr>
          <w:rFonts w:asciiTheme="minorBidi" w:hAnsiTheme="minorBidi"/>
          <w:sz w:val="24"/>
          <w:szCs w:val="24"/>
        </w:rPr>
      </w:pPr>
    </w:p>
    <w:p w14:paraId="5051804A" w14:textId="77777777" w:rsidR="004B33A7" w:rsidRDefault="004B33A7" w:rsidP="004B33A7">
      <w:pPr>
        <w:rPr>
          <w:rFonts w:asciiTheme="minorBidi" w:hAnsiTheme="minorBidi"/>
          <w:sz w:val="24"/>
          <w:szCs w:val="24"/>
        </w:rPr>
      </w:pPr>
    </w:p>
    <w:p w14:paraId="3C007E7B" w14:textId="77777777" w:rsidR="004B33A7" w:rsidRDefault="004B33A7" w:rsidP="004B33A7">
      <w:pPr>
        <w:rPr>
          <w:rFonts w:asciiTheme="minorBidi" w:hAnsiTheme="minorBidi"/>
          <w:sz w:val="24"/>
          <w:szCs w:val="24"/>
        </w:rPr>
      </w:pPr>
    </w:p>
    <w:p w14:paraId="135AF617" w14:textId="77777777" w:rsidR="004B33A7" w:rsidRDefault="004B33A7" w:rsidP="004B33A7">
      <w:pPr>
        <w:rPr>
          <w:rFonts w:asciiTheme="minorBidi" w:hAnsiTheme="minorBidi"/>
          <w:sz w:val="24"/>
          <w:szCs w:val="24"/>
        </w:rPr>
      </w:pPr>
    </w:p>
    <w:p w14:paraId="3BADBBBD" w14:textId="77777777" w:rsidR="004B33A7" w:rsidRDefault="004B33A7" w:rsidP="004B33A7">
      <w:pPr>
        <w:rPr>
          <w:rFonts w:asciiTheme="minorBidi" w:hAnsiTheme="minorBidi"/>
          <w:sz w:val="24"/>
          <w:szCs w:val="24"/>
        </w:rPr>
      </w:pPr>
    </w:p>
    <w:p w14:paraId="37E31CE2" w14:textId="77777777" w:rsidR="004B33A7" w:rsidRDefault="004B33A7" w:rsidP="004B33A7">
      <w:pPr>
        <w:rPr>
          <w:rFonts w:asciiTheme="minorBidi" w:hAnsiTheme="minorBidi"/>
          <w:sz w:val="24"/>
          <w:szCs w:val="24"/>
        </w:rPr>
      </w:pPr>
    </w:p>
    <w:p w14:paraId="57B88F9B" w14:textId="77777777" w:rsidR="004B33A7" w:rsidRDefault="004B33A7" w:rsidP="004B33A7">
      <w:pPr>
        <w:rPr>
          <w:rFonts w:asciiTheme="minorBidi" w:hAnsiTheme="minorBidi"/>
          <w:sz w:val="24"/>
          <w:szCs w:val="24"/>
        </w:rPr>
      </w:pPr>
    </w:p>
    <w:p w14:paraId="26B7B66C" w14:textId="77777777" w:rsidR="004B33A7" w:rsidRDefault="004B33A7" w:rsidP="004B33A7">
      <w:pPr>
        <w:rPr>
          <w:rFonts w:asciiTheme="minorBidi" w:hAnsiTheme="minorBidi"/>
          <w:sz w:val="24"/>
          <w:szCs w:val="24"/>
        </w:rPr>
      </w:pPr>
    </w:p>
    <w:p w14:paraId="1599550F" w14:textId="77777777" w:rsidR="004B33A7" w:rsidRDefault="004B33A7" w:rsidP="004B33A7">
      <w:pPr>
        <w:rPr>
          <w:rFonts w:asciiTheme="minorBidi" w:hAnsiTheme="minorBidi"/>
          <w:sz w:val="24"/>
          <w:szCs w:val="24"/>
        </w:rPr>
      </w:pPr>
    </w:p>
    <w:p w14:paraId="3EEAD786" w14:textId="77777777" w:rsidR="004B33A7" w:rsidRDefault="004B33A7" w:rsidP="004B33A7">
      <w:pPr>
        <w:rPr>
          <w:rFonts w:asciiTheme="minorBidi" w:hAnsiTheme="minorBidi"/>
          <w:sz w:val="24"/>
          <w:szCs w:val="24"/>
        </w:rPr>
      </w:pPr>
    </w:p>
    <w:p w14:paraId="09D3C1A1" w14:textId="77777777" w:rsidR="004B33A7" w:rsidRDefault="004B33A7" w:rsidP="004B33A7">
      <w:pPr>
        <w:rPr>
          <w:rFonts w:asciiTheme="minorBidi" w:hAnsiTheme="minorBidi"/>
          <w:sz w:val="24"/>
          <w:szCs w:val="24"/>
        </w:rPr>
      </w:pPr>
    </w:p>
    <w:p w14:paraId="7BC37877" w14:textId="5E473036" w:rsidR="004B33A7" w:rsidRPr="009A627D" w:rsidRDefault="00761B63" w:rsidP="00B90A97">
      <w:pPr>
        <w:spacing w:line="360" w:lineRule="auto"/>
        <w:rPr>
          <w:sz w:val="24"/>
          <w:szCs w:val="24"/>
          <w:u w:val="single"/>
        </w:rPr>
      </w:pPr>
      <w:r w:rsidRPr="009A627D">
        <w:rPr>
          <w:sz w:val="24"/>
          <w:szCs w:val="24"/>
          <w:u w:val="single"/>
        </w:rPr>
        <w:lastRenderedPageBreak/>
        <w:t xml:space="preserve">Part one </w:t>
      </w:r>
    </w:p>
    <w:p w14:paraId="534CBDE8" w14:textId="07816F20" w:rsidR="00761B63" w:rsidRPr="009A627D" w:rsidRDefault="00761B63" w:rsidP="00B90A97">
      <w:pPr>
        <w:spacing w:line="360" w:lineRule="auto"/>
        <w:rPr>
          <w:sz w:val="24"/>
          <w:szCs w:val="24"/>
        </w:rPr>
      </w:pPr>
      <w:r w:rsidRPr="009A627D">
        <w:rPr>
          <w:sz w:val="24"/>
          <w:szCs w:val="24"/>
        </w:rPr>
        <w:t xml:space="preserve">This assignment will critically analyse the regulatory and legal frameworks that shape inclusive practice within the Welsh Post Compulsory education sector, with particular attention to the implications for learners with additional learning needs, disabilities and those experiencing inequality. Drawing on national legalisation, institutional </w:t>
      </w:r>
      <w:r w:rsidR="00850EAF" w:rsidRPr="009A627D">
        <w:rPr>
          <w:sz w:val="24"/>
          <w:szCs w:val="24"/>
        </w:rPr>
        <w:t>policy at the University of Wales Trinity Saint David and the Welsh Professional Teaching Standards for Further Education</w:t>
      </w:r>
      <w:r w:rsidR="00862B9F" w:rsidRPr="009A627D">
        <w:rPr>
          <w:sz w:val="24"/>
          <w:szCs w:val="24"/>
        </w:rPr>
        <w:t xml:space="preserve"> (Welsh Government, 2023)</w:t>
      </w:r>
      <w:r w:rsidR="00850EAF" w:rsidRPr="009A627D">
        <w:rPr>
          <w:sz w:val="24"/>
          <w:szCs w:val="24"/>
        </w:rPr>
        <w:t xml:space="preserve">, part 1 evaluates the extent to which these frameworks enable equitable participation while also exposing limitations and contradictions in their enactment. Part 2 applies this critical analysis to three learner scenarios situated with UWTSD’s SA1 campus context, demonstrating how inclusive support must be interpreted and negotiated in practice rather than implemented systematically. Throughout this assignment, the discussion positions inclusion as a contested and context dependent dimension of professional responsibility rather than a guaranteed outcome of policy compliance alone. </w:t>
      </w:r>
    </w:p>
    <w:p w14:paraId="724D51BE" w14:textId="798E60D3" w:rsidR="00761B63" w:rsidRPr="009A627D" w:rsidRDefault="00862B9F" w:rsidP="00B90A97">
      <w:pPr>
        <w:spacing w:line="360" w:lineRule="auto"/>
        <w:rPr>
          <w:rFonts w:cs="Times New Roman"/>
          <w:sz w:val="24"/>
          <w:szCs w:val="24"/>
        </w:rPr>
      </w:pPr>
      <w:r w:rsidRPr="009A627D">
        <w:rPr>
          <w:rFonts w:cs="Times New Roman"/>
          <w:sz w:val="24"/>
          <w:szCs w:val="24"/>
        </w:rPr>
        <w:t xml:space="preserve">Inclusive practice within post compulsory education in Wales is shaped by legislation, institutional policy and professional standards rather then secured by any single framework. Although National policy articulates commitments to equity and participation, these commitments are not automatically realised in practice. Instead, outcomes depend on how policies are interpreted and enacted within institutions (Thomas and Loxley, 2022). </w:t>
      </w:r>
      <w:r w:rsidR="005A270B">
        <w:rPr>
          <w:rFonts w:cs="Times New Roman"/>
          <w:sz w:val="24"/>
          <w:szCs w:val="24"/>
        </w:rPr>
        <w:t xml:space="preserve">In this context, the Welsh Professional Teaching Standards for Further Education position inclusion, collaboration and ethical responsibility as core expectations of practice, reinforcing that </w:t>
      </w:r>
      <w:proofErr w:type="spellStart"/>
      <w:r w:rsidR="005A270B">
        <w:rPr>
          <w:rFonts w:cs="Times New Roman"/>
          <w:sz w:val="24"/>
          <w:szCs w:val="24"/>
        </w:rPr>
        <w:t>lectruers</w:t>
      </w:r>
      <w:proofErr w:type="spellEnd"/>
      <w:r w:rsidR="005A270B">
        <w:rPr>
          <w:rFonts w:cs="Times New Roman"/>
          <w:sz w:val="24"/>
          <w:szCs w:val="24"/>
        </w:rPr>
        <w:t xml:space="preserve"> are accountable not only for compliance with policy but for actively removing barriers to participation (Welsh Government, 2023). </w:t>
      </w:r>
    </w:p>
    <w:p w14:paraId="4B551E16" w14:textId="59645E5F" w:rsidR="00862B9F" w:rsidRPr="009A627D" w:rsidRDefault="00862B9F" w:rsidP="00B90A97">
      <w:pPr>
        <w:spacing w:line="360" w:lineRule="auto"/>
        <w:rPr>
          <w:sz w:val="24"/>
          <w:szCs w:val="24"/>
        </w:rPr>
      </w:pPr>
      <w:r w:rsidRPr="009A627D">
        <w:rPr>
          <w:rFonts w:cs="Times New Roman"/>
          <w:sz w:val="24"/>
          <w:szCs w:val="24"/>
        </w:rPr>
        <w:t xml:space="preserve">Inclusive practice is often presented as the outcome of clear legal duties and institutional commitments. However, recent research suggests that inclusive policies do not automatically translate into consistent practice across </w:t>
      </w:r>
      <w:r w:rsidR="000B03AE" w:rsidRPr="009A627D">
        <w:rPr>
          <w:rFonts w:cs="Times New Roman"/>
          <w:sz w:val="24"/>
          <w:szCs w:val="24"/>
        </w:rPr>
        <w:t xml:space="preserve">institutions. Recent research highlights that inclusive framework is enacted unevenly, with outcomes shaped by interpretation, resourcing and organisational culture rather than policy intention alone. </w:t>
      </w:r>
      <w:proofErr w:type="spellStart"/>
      <w:r w:rsidR="000B03AE" w:rsidRPr="009A627D">
        <w:rPr>
          <w:rFonts w:cs="Times New Roman"/>
          <w:sz w:val="24"/>
          <w:szCs w:val="24"/>
        </w:rPr>
        <w:t>Filippou</w:t>
      </w:r>
      <w:proofErr w:type="spellEnd"/>
      <w:r w:rsidR="000B03AE" w:rsidRPr="009A627D">
        <w:rPr>
          <w:rFonts w:cs="Times New Roman"/>
          <w:sz w:val="24"/>
          <w:szCs w:val="24"/>
        </w:rPr>
        <w:t xml:space="preserve">, Acquah and Bengs (2025) argue that higher education providers frequently demonstrate a gap between formal commitments to inclusion and </w:t>
      </w:r>
      <w:r w:rsidR="000B03AE" w:rsidRPr="009A627D">
        <w:rPr>
          <w:rFonts w:cs="Times New Roman"/>
          <w:sz w:val="24"/>
          <w:szCs w:val="24"/>
        </w:rPr>
        <w:lastRenderedPageBreak/>
        <w:t xml:space="preserve">the everyday realities experienced by learners. This suggest that inclusive practice depends not just on compliance with legalisation but on sustained professional judgment and institutional capacity, reinforcing the limits of policy as a mechanism for change. </w:t>
      </w:r>
    </w:p>
    <w:p w14:paraId="0E6A3CC7" w14:textId="712F1B7D" w:rsidR="004B33A7" w:rsidRPr="009A627D" w:rsidRDefault="00D27FE1" w:rsidP="00B90A97">
      <w:pPr>
        <w:spacing w:line="360" w:lineRule="auto"/>
        <w:rPr>
          <w:sz w:val="24"/>
          <w:szCs w:val="24"/>
        </w:rPr>
      </w:pPr>
      <w:r w:rsidRPr="009A627D">
        <w:rPr>
          <w:sz w:val="24"/>
          <w:szCs w:val="24"/>
        </w:rPr>
        <w:t>The Additional Learning Needs and Educational Tribunal (Wales) Act 2018</w:t>
      </w:r>
      <w:r w:rsidR="004D782D" w:rsidRPr="009A627D">
        <w:rPr>
          <w:sz w:val="24"/>
          <w:szCs w:val="24"/>
        </w:rPr>
        <w:t xml:space="preserve"> promotes a person-centred approach to support and emphasis early identification and the removal of barriers to learning (Additional Learning Needs and Educational Tribunal (Wales) Act 2018). While these principles signal progressive </w:t>
      </w:r>
      <w:r w:rsidR="0092544D" w:rsidRPr="009A627D">
        <w:rPr>
          <w:sz w:val="24"/>
          <w:szCs w:val="24"/>
        </w:rPr>
        <w:t>intent,</w:t>
      </w:r>
      <w:r w:rsidR="004D782D" w:rsidRPr="009A627D">
        <w:rPr>
          <w:sz w:val="24"/>
          <w:szCs w:val="24"/>
        </w:rPr>
        <w:t xml:space="preserve"> the statutory mechanisms of the Act apply more directly to compulsory education than within a post compulsory context. Post compulsory providers are therefore guided by </w:t>
      </w:r>
      <w:r w:rsidR="0092544D" w:rsidRPr="009A627D">
        <w:rPr>
          <w:sz w:val="24"/>
          <w:szCs w:val="24"/>
        </w:rPr>
        <w:t>the values of legalisation rather than bound by prescriptive duties. However, policy alone does not secure inclusive outcomes. Morina (2023) argues that inclusion depends largely on how teaching and curriculum are designed in practice, with reliance on individual adjustments often reproducing</w:t>
      </w:r>
      <w:r w:rsidR="009A627D" w:rsidRPr="009A627D">
        <w:rPr>
          <w:sz w:val="24"/>
          <w:szCs w:val="24"/>
        </w:rPr>
        <w:t>,</w:t>
      </w:r>
      <w:r w:rsidR="0092544D" w:rsidRPr="009A627D">
        <w:rPr>
          <w:sz w:val="24"/>
          <w:szCs w:val="24"/>
        </w:rPr>
        <w:t xml:space="preserve"> rather than removing barriers. Consequently, flexibility enable responsiveness but also risks uneven learner experience where institutional capacity varies. </w:t>
      </w:r>
    </w:p>
    <w:p w14:paraId="6A3E6D2C" w14:textId="36204656" w:rsidR="0092544D" w:rsidRPr="009A627D" w:rsidRDefault="00360C66" w:rsidP="00B90A97">
      <w:pPr>
        <w:spacing w:line="360" w:lineRule="auto"/>
        <w:rPr>
          <w:sz w:val="24"/>
          <w:szCs w:val="24"/>
        </w:rPr>
      </w:pPr>
      <w:r w:rsidRPr="009A627D">
        <w:rPr>
          <w:sz w:val="24"/>
          <w:szCs w:val="24"/>
        </w:rPr>
        <w:t xml:space="preserve">Despite the introduction of the Additional Learning Needs and Educational Tribunal (Wales) Act 2018, elements of the Education Act 1996 remain relevant to post sixteen provisions. The 1996 Act framed support through a special educational needs model that placed clear statutory duties on schools rather than on further education providers (Education Act 1996). This uneven distribution of responsibility illustrates how legal accountability within post compulsory education has historically been weaker and more discretionary. Although the shift from special education needs to additional learning needs signals a move towards inclusion and barrier removal, the legacy of this framework continues to shape practice. As Thomas and Loxley (2022) argue, inclusive policy within post compulsory education is frequently enacted through institutional interpretation rather than direct statutory mandate. Responsibility for provision therefore depends more on organisational capacity and professional judgment than on enforceable obligation, reinforcing the importance of the Welsh Professional Teaching Standards as ethical guidance where legalisation is less explicit (Welsh Government, 2023). </w:t>
      </w:r>
      <w:r w:rsidR="005A270B">
        <w:rPr>
          <w:sz w:val="24"/>
          <w:szCs w:val="24"/>
        </w:rPr>
        <w:tab/>
        <w:t xml:space="preserve">Where legislative direction is less prescriptive, the Professional Teaching </w:t>
      </w:r>
      <w:r w:rsidR="005A270B">
        <w:rPr>
          <w:sz w:val="24"/>
          <w:szCs w:val="24"/>
        </w:rPr>
        <w:lastRenderedPageBreak/>
        <w:t xml:space="preserve">Standards assume greater importance, providing a shared ethical framework to guide consistent and equitable decision making across practitioners (Welsh Government, 2023). </w:t>
      </w:r>
    </w:p>
    <w:p w14:paraId="6FDA19DE" w14:textId="475BE2D7" w:rsidR="00360C66" w:rsidRPr="009A627D" w:rsidRDefault="00360C66" w:rsidP="00B90A97">
      <w:pPr>
        <w:spacing w:line="360" w:lineRule="auto"/>
        <w:rPr>
          <w:sz w:val="24"/>
          <w:szCs w:val="24"/>
        </w:rPr>
      </w:pPr>
      <w:r w:rsidRPr="009A627D">
        <w:rPr>
          <w:sz w:val="24"/>
          <w:szCs w:val="24"/>
        </w:rPr>
        <w:t xml:space="preserve">The Equality Act 2010 establishes clear legal duties for post compulsory providers through requirements to prevent discrimination and make reasonable adjustments for protected </w:t>
      </w:r>
      <w:r w:rsidR="00184521" w:rsidRPr="009A627D">
        <w:rPr>
          <w:sz w:val="24"/>
          <w:szCs w:val="24"/>
        </w:rPr>
        <w:t>characteristics</w:t>
      </w:r>
      <w:r w:rsidRPr="009A627D">
        <w:rPr>
          <w:sz w:val="24"/>
          <w:szCs w:val="24"/>
        </w:rPr>
        <w:t xml:space="preserve">, including disability, race, pregnancy and maternity (Equality Act 2010). Central to the Act is anticipatory duty, which require institutions to remove barriers in advance rather than respond only after disclosure. In practice, support frequently operates through </w:t>
      </w:r>
      <w:r w:rsidR="00184521" w:rsidRPr="009A627D">
        <w:rPr>
          <w:sz w:val="24"/>
          <w:szCs w:val="24"/>
        </w:rPr>
        <w:t>referral-based</w:t>
      </w:r>
      <w:r w:rsidRPr="009A627D">
        <w:rPr>
          <w:sz w:val="24"/>
          <w:szCs w:val="24"/>
        </w:rPr>
        <w:t xml:space="preserve"> systems that depend on students </w:t>
      </w:r>
      <w:r w:rsidR="00184521" w:rsidRPr="009A627D">
        <w:rPr>
          <w:sz w:val="24"/>
          <w:szCs w:val="24"/>
        </w:rPr>
        <w:t>self-identifying</w:t>
      </w:r>
      <w:r w:rsidRPr="009A627D">
        <w:rPr>
          <w:sz w:val="24"/>
          <w:szCs w:val="24"/>
        </w:rPr>
        <w:t xml:space="preserve"> and navigating institutional processes. This approach assumes confidence and institutional knowledge </w:t>
      </w:r>
      <w:r w:rsidR="00184521" w:rsidRPr="009A627D">
        <w:rPr>
          <w:sz w:val="24"/>
          <w:szCs w:val="24"/>
        </w:rPr>
        <w:t>that</w:t>
      </w:r>
      <w:r w:rsidRPr="009A627D">
        <w:rPr>
          <w:sz w:val="24"/>
          <w:szCs w:val="24"/>
        </w:rPr>
        <w:t xml:space="preserve"> re not evenly </w:t>
      </w:r>
      <w:r w:rsidR="00184521" w:rsidRPr="009A627D">
        <w:rPr>
          <w:sz w:val="24"/>
          <w:szCs w:val="24"/>
        </w:rPr>
        <w:t>distributed</w:t>
      </w:r>
      <w:r w:rsidRPr="009A627D">
        <w:rPr>
          <w:sz w:val="24"/>
          <w:szCs w:val="24"/>
        </w:rPr>
        <w:t xml:space="preserve"> </w:t>
      </w:r>
      <w:r w:rsidR="00184521" w:rsidRPr="009A627D">
        <w:rPr>
          <w:sz w:val="24"/>
          <w:szCs w:val="24"/>
        </w:rPr>
        <w:t>across</w:t>
      </w:r>
      <w:r w:rsidRPr="009A627D">
        <w:rPr>
          <w:sz w:val="24"/>
          <w:szCs w:val="24"/>
        </w:rPr>
        <w:t xml:space="preserve"> student populations. Research suggests that the impact of inclusion </w:t>
      </w:r>
      <w:r w:rsidR="00184521" w:rsidRPr="009A627D">
        <w:rPr>
          <w:sz w:val="24"/>
          <w:szCs w:val="24"/>
        </w:rPr>
        <w:t>policy</w:t>
      </w:r>
      <w:r w:rsidRPr="009A627D">
        <w:rPr>
          <w:sz w:val="24"/>
          <w:szCs w:val="24"/>
        </w:rPr>
        <w:t xml:space="preserve"> depends on how institutions </w:t>
      </w:r>
      <w:r w:rsidR="00184521" w:rsidRPr="009A627D">
        <w:rPr>
          <w:sz w:val="24"/>
          <w:szCs w:val="24"/>
        </w:rPr>
        <w:t>embed</w:t>
      </w:r>
      <w:r w:rsidRPr="009A627D">
        <w:rPr>
          <w:sz w:val="24"/>
          <w:szCs w:val="24"/>
        </w:rPr>
        <w:t xml:space="preserve"> inclusive practices through </w:t>
      </w:r>
      <w:r w:rsidR="00184521" w:rsidRPr="009A627D">
        <w:rPr>
          <w:sz w:val="24"/>
          <w:szCs w:val="24"/>
        </w:rPr>
        <w:t>professional</w:t>
      </w:r>
      <w:r w:rsidRPr="009A627D">
        <w:rPr>
          <w:sz w:val="24"/>
          <w:szCs w:val="24"/>
        </w:rPr>
        <w:t xml:space="preserve"> development and organisational </w:t>
      </w:r>
      <w:r w:rsidR="00184521" w:rsidRPr="009A627D">
        <w:rPr>
          <w:sz w:val="24"/>
          <w:szCs w:val="24"/>
        </w:rPr>
        <w:t xml:space="preserve">culture, rather than on formal legal requirements alone (McEwen, 2024). Consequently, legal compliance alone does not guarantee substantive inclusion. </w:t>
      </w:r>
      <w:r w:rsidR="005A270B">
        <w:rPr>
          <w:sz w:val="24"/>
          <w:szCs w:val="24"/>
        </w:rPr>
        <w:t xml:space="preserve">This places responsibility on practitioners to move beyond procedural compliance towards proactive and inclusive pedagogy, a professional obligation explicitly articulated within the Welsh Professional Teaching Standards through commitments to equity, collaboration and reflective practice (Welsh Government, 2023). </w:t>
      </w:r>
    </w:p>
    <w:p w14:paraId="313A0DC7" w14:textId="20E0FDB2" w:rsidR="00360C66" w:rsidRDefault="00184521" w:rsidP="00B90A97">
      <w:pPr>
        <w:spacing w:line="360" w:lineRule="auto"/>
        <w:rPr>
          <w:sz w:val="24"/>
          <w:szCs w:val="24"/>
        </w:rPr>
      </w:pPr>
      <w:r w:rsidRPr="009A627D">
        <w:rPr>
          <w:sz w:val="24"/>
          <w:szCs w:val="24"/>
        </w:rPr>
        <w:t xml:space="preserve">The Wellbeing of Future Generations (Wales) Act 2015 extends the policy context beyond individual adjustments by requiring public bodies to adopt preventative and long-term approaches to inequality (Wellbeing of Future Generations (Wales) Act 2015). In theory, this shifts responsibility from reactive support towards systematic change. However, persistent disparities in access, participation and progression within Welsh tertiary </w:t>
      </w:r>
      <w:r w:rsidR="009A627D" w:rsidRPr="009A627D">
        <w:rPr>
          <w:sz w:val="24"/>
          <w:szCs w:val="24"/>
        </w:rPr>
        <w:t xml:space="preserve">education </w:t>
      </w:r>
      <w:r w:rsidR="009A627D">
        <w:rPr>
          <w:sz w:val="24"/>
          <w:szCs w:val="24"/>
        </w:rPr>
        <w:t>suggest that structural inequalities remain embedded despite these statutory ambitions. Evidence from Welsh compulsory education indicates that learners from disadvantaged backgrounds continue to experience uneven outcomes (</w:t>
      </w:r>
      <w:proofErr w:type="spellStart"/>
      <w:r w:rsidR="009A627D">
        <w:rPr>
          <w:sz w:val="24"/>
          <w:szCs w:val="24"/>
        </w:rPr>
        <w:t>Sibeieta</w:t>
      </w:r>
      <w:proofErr w:type="spellEnd"/>
      <w:r w:rsidR="009A627D">
        <w:rPr>
          <w:sz w:val="24"/>
          <w:szCs w:val="24"/>
        </w:rPr>
        <w:t xml:space="preserve"> et al., 2024). This gap between legislative aspiration and measurable impact highlights the limits of policy when institutional resources and accountability mechanisms are inconsistent. </w:t>
      </w:r>
    </w:p>
    <w:p w14:paraId="65D7F32B" w14:textId="37D9814A" w:rsidR="009A627D" w:rsidRDefault="009A627D" w:rsidP="00B90A97">
      <w:pPr>
        <w:spacing w:line="360" w:lineRule="auto"/>
        <w:rPr>
          <w:sz w:val="24"/>
          <w:szCs w:val="24"/>
        </w:rPr>
      </w:pPr>
      <w:r>
        <w:rPr>
          <w:sz w:val="24"/>
          <w:szCs w:val="24"/>
        </w:rPr>
        <w:lastRenderedPageBreak/>
        <w:t xml:space="preserve">Overall, these legislative and institutional frameworks establish a strong ethical and legal foundation for inclusive practice within post compulsory education. However, the analysis demonstrates that statutory duties and policy commitments do not, in themselves, guarantee equitable learner experience. Across the sector, inclusion is shaped less by the existence of legislation and more by how it is interpreted, resourced and enacted within specific institutional contexts. This creates variability in provision and places significant responsibility on practitioners to exercise professional judgment in addressing barriers that policy alone cannot resolve. Inclusive practice therefore emerges as an ongoing, relational and context dependent process rather than a foxed outcome of compliance. In this context, the Welsh Professional Teaching Standards provide critical guidance, positioning inclusion as a sustained professional obligation grounded in reflective, ethical and evidence informed practice. </w:t>
      </w:r>
    </w:p>
    <w:p w14:paraId="2BEE75DB" w14:textId="77777777" w:rsidR="009A627D" w:rsidRDefault="009A627D" w:rsidP="00B90A97">
      <w:pPr>
        <w:spacing w:line="360" w:lineRule="auto"/>
        <w:rPr>
          <w:sz w:val="24"/>
          <w:szCs w:val="24"/>
        </w:rPr>
      </w:pPr>
    </w:p>
    <w:p w14:paraId="173A3C08" w14:textId="77777777" w:rsidR="009A627D" w:rsidRDefault="009A627D" w:rsidP="00B90A97">
      <w:pPr>
        <w:spacing w:line="360" w:lineRule="auto"/>
        <w:rPr>
          <w:sz w:val="24"/>
          <w:szCs w:val="24"/>
        </w:rPr>
      </w:pPr>
    </w:p>
    <w:p w14:paraId="0095D127" w14:textId="77777777" w:rsidR="009A627D" w:rsidRDefault="009A627D" w:rsidP="00B90A97">
      <w:pPr>
        <w:spacing w:line="360" w:lineRule="auto"/>
        <w:rPr>
          <w:sz w:val="24"/>
          <w:szCs w:val="24"/>
        </w:rPr>
      </w:pPr>
    </w:p>
    <w:p w14:paraId="331B907A" w14:textId="77777777" w:rsidR="009A627D" w:rsidRDefault="009A627D" w:rsidP="00B90A97">
      <w:pPr>
        <w:spacing w:line="360" w:lineRule="auto"/>
        <w:rPr>
          <w:sz w:val="24"/>
          <w:szCs w:val="24"/>
        </w:rPr>
      </w:pPr>
    </w:p>
    <w:p w14:paraId="7AE018FA" w14:textId="77777777" w:rsidR="009A627D" w:rsidRDefault="009A627D" w:rsidP="00B90A97">
      <w:pPr>
        <w:spacing w:line="360" w:lineRule="auto"/>
        <w:rPr>
          <w:sz w:val="24"/>
          <w:szCs w:val="24"/>
        </w:rPr>
      </w:pPr>
    </w:p>
    <w:p w14:paraId="4E0B271A" w14:textId="77777777" w:rsidR="009A627D" w:rsidRDefault="009A627D" w:rsidP="00B90A97">
      <w:pPr>
        <w:spacing w:line="360" w:lineRule="auto"/>
        <w:rPr>
          <w:sz w:val="24"/>
          <w:szCs w:val="24"/>
        </w:rPr>
      </w:pPr>
    </w:p>
    <w:p w14:paraId="0759039B" w14:textId="77777777" w:rsidR="009A627D" w:rsidRDefault="009A627D" w:rsidP="00B90A97">
      <w:pPr>
        <w:spacing w:line="360" w:lineRule="auto"/>
        <w:rPr>
          <w:sz w:val="24"/>
          <w:szCs w:val="24"/>
        </w:rPr>
      </w:pPr>
    </w:p>
    <w:p w14:paraId="03F97649" w14:textId="77777777" w:rsidR="009A627D" w:rsidRDefault="009A627D" w:rsidP="00B90A97">
      <w:pPr>
        <w:spacing w:line="360" w:lineRule="auto"/>
        <w:rPr>
          <w:sz w:val="24"/>
          <w:szCs w:val="24"/>
        </w:rPr>
      </w:pPr>
    </w:p>
    <w:p w14:paraId="47AC7FB1" w14:textId="77777777" w:rsidR="009A627D" w:rsidRDefault="009A627D" w:rsidP="00B90A97">
      <w:pPr>
        <w:spacing w:line="360" w:lineRule="auto"/>
        <w:rPr>
          <w:sz w:val="24"/>
          <w:szCs w:val="24"/>
        </w:rPr>
      </w:pPr>
    </w:p>
    <w:p w14:paraId="31431438" w14:textId="77777777" w:rsidR="009A627D" w:rsidRDefault="009A627D" w:rsidP="00B90A97">
      <w:pPr>
        <w:spacing w:line="360" w:lineRule="auto"/>
        <w:rPr>
          <w:sz w:val="24"/>
          <w:szCs w:val="24"/>
        </w:rPr>
      </w:pPr>
    </w:p>
    <w:p w14:paraId="34BF412A" w14:textId="77777777" w:rsidR="009A627D" w:rsidRDefault="009A627D" w:rsidP="00B90A97">
      <w:pPr>
        <w:spacing w:line="360" w:lineRule="auto"/>
        <w:rPr>
          <w:sz w:val="24"/>
          <w:szCs w:val="24"/>
        </w:rPr>
      </w:pPr>
    </w:p>
    <w:p w14:paraId="65F77BC0" w14:textId="77777777" w:rsidR="009A627D" w:rsidRDefault="009A627D" w:rsidP="00B90A97">
      <w:pPr>
        <w:spacing w:line="360" w:lineRule="auto"/>
        <w:rPr>
          <w:sz w:val="24"/>
          <w:szCs w:val="24"/>
        </w:rPr>
      </w:pPr>
    </w:p>
    <w:p w14:paraId="6308783C" w14:textId="77777777" w:rsidR="00103E43" w:rsidRDefault="00103E43" w:rsidP="00B90A97">
      <w:pPr>
        <w:spacing w:line="360" w:lineRule="auto"/>
        <w:rPr>
          <w:sz w:val="24"/>
          <w:szCs w:val="24"/>
        </w:rPr>
      </w:pPr>
    </w:p>
    <w:p w14:paraId="15EA6EAD" w14:textId="77777777" w:rsidR="00B90A97" w:rsidRDefault="00B90A97" w:rsidP="00B90A97">
      <w:pPr>
        <w:spacing w:line="360" w:lineRule="auto"/>
        <w:rPr>
          <w:sz w:val="24"/>
          <w:szCs w:val="24"/>
        </w:rPr>
      </w:pPr>
    </w:p>
    <w:p w14:paraId="13EE3928" w14:textId="6BD999B4" w:rsidR="009A627D" w:rsidRPr="009A627D" w:rsidRDefault="009A627D" w:rsidP="00B90A97">
      <w:pPr>
        <w:spacing w:line="360" w:lineRule="auto"/>
        <w:rPr>
          <w:sz w:val="24"/>
          <w:szCs w:val="24"/>
        </w:rPr>
      </w:pPr>
      <w:r>
        <w:rPr>
          <w:sz w:val="24"/>
          <w:szCs w:val="24"/>
        </w:rPr>
        <w:lastRenderedPageBreak/>
        <w:t xml:space="preserve">Part two: </w:t>
      </w:r>
    </w:p>
    <w:p w14:paraId="69AB409B" w14:textId="60269718" w:rsidR="00103E43" w:rsidRDefault="00103E43" w:rsidP="00B90A97">
      <w:pPr>
        <w:spacing w:line="360" w:lineRule="auto"/>
        <w:rPr>
          <w:sz w:val="24"/>
          <w:szCs w:val="24"/>
        </w:rPr>
      </w:pPr>
      <w:r>
        <w:rPr>
          <w:sz w:val="24"/>
          <w:szCs w:val="24"/>
        </w:rPr>
        <w:t xml:space="preserve">The following support statements are situated within the SA1 Campus of the University of Wales Trinity Saint </w:t>
      </w:r>
      <w:r w:rsidR="00B90A97">
        <w:rPr>
          <w:sz w:val="24"/>
          <w:szCs w:val="24"/>
        </w:rPr>
        <w:t>David,</w:t>
      </w:r>
      <w:r>
        <w:rPr>
          <w:sz w:val="24"/>
          <w:szCs w:val="24"/>
        </w:rPr>
        <w:t xml:space="preserve"> a post compulsory education environment with a strong widening participation remit. </w:t>
      </w:r>
      <w:r>
        <w:rPr>
          <w:sz w:val="24"/>
          <w:szCs w:val="24"/>
        </w:rPr>
        <w:t>Learner support is coordinated through collaboration between academic staff and central services, including disability, wellbeing and financial assistance teams, as outlined within the Academic Quality Handbook and the Strategic Equality Plan 2024 to 2028 (</w:t>
      </w:r>
      <w:r w:rsidR="00B90A97">
        <w:rPr>
          <w:sz w:val="24"/>
          <w:szCs w:val="24"/>
        </w:rPr>
        <w:t>University</w:t>
      </w:r>
      <w:r>
        <w:rPr>
          <w:sz w:val="24"/>
          <w:szCs w:val="24"/>
        </w:rPr>
        <w:t xml:space="preserve"> of Wales Trintiy St David, 2024). While these </w:t>
      </w:r>
      <w:r w:rsidR="00B90A97">
        <w:rPr>
          <w:sz w:val="24"/>
          <w:szCs w:val="24"/>
        </w:rPr>
        <w:t>structures</w:t>
      </w:r>
      <w:r>
        <w:rPr>
          <w:sz w:val="24"/>
          <w:szCs w:val="24"/>
        </w:rPr>
        <w:t xml:space="preserve"> provide formal mechanisms for </w:t>
      </w:r>
      <w:r w:rsidR="00B90A97">
        <w:rPr>
          <w:sz w:val="24"/>
          <w:szCs w:val="24"/>
        </w:rPr>
        <w:t>identifying</w:t>
      </w:r>
      <w:r>
        <w:rPr>
          <w:sz w:val="24"/>
          <w:szCs w:val="24"/>
        </w:rPr>
        <w:t xml:space="preserve"> and responding to </w:t>
      </w:r>
      <w:r w:rsidR="00B90A97">
        <w:rPr>
          <w:sz w:val="24"/>
          <w:szCs w:val="24"/>
        </w:rPr>
        <w:t>additional</w:t>
      </w:r>
      <w:r>
        <w:rPr>
          <w:sz w:val="24"/>
          <w:szCs w:val="24"/>
        </w:rPr>
        <w:t xml:space="preserve"> needs, inclusive practice is enacted primarily within everyday teaching rath</w:t>
      </w:r>
      <w:r w:rsidR="00B90A97">
        <w:rPr>
          <w:sz w:val="24"/>
          <w:szCs w:val="24"/>
        </w:rPr>
        <w:t xml:space="preserve">er </w:t>
      </w:r>
      <w:r>
        <w:rPr>
          <w:sz w:val="24"/>
          <w:szCs w:val="24"/>
        </w:rPr>
        <w:t xml:space="preserve">than delegated solely to specialist services. In accordance with the Welsh Professional Teaching Standards for further education, lecturers are therefore expected to demonstrate ethical practice, collaboration and responsiveness to learner </w:t>
      </w:r>
      <w:r w:rsidR="00B90A97">
        <w:rPr>
          <w:sz w:val="24"/>
          <w:szCs w:val="24"/>
        </w:rPr>
        <w:t xml:space="preserve">diversity, positioning inclusion as an ongoing professional responsibility rather than an administrative process (Welsh Government, 2023). </w:t>
      </w:r>
    </w:p>
    <w:p w14:paraId="5ADBCBEB" w14:textId="77777777" w:rsidR="00B90A97" w:rsidRPr="00B90A97" w:rsidRDefault="00B90A97" w:rsidP="00B90A97">
      <w:pPr>
        <w:spacing w:line="360" w:lineRule="auto"/>
        <w:rPr>
          <w:sz w:val="24"/>
          <w:szCs w:val="24"/>
        </w:rPr>
      </w:pPr>
      <w:r w:rsidRPr="00B90A97">
        <w:rPr>
          <w:b/>
          <w:bCs/>
          <w:sz w:val="24"/>
          <w:szCs w:val="24"/>
          <w:u w:val="single"/>
        </w:rPr>
        <w:t>Support statement: Iwan (504 words). </w:t>
      </w:r>
      <w:r w:rsidRPr="00B90A97">
        <w:rPr>
          <w:sz w:val="24"/>
          <w:szCs w:val="24"/>
        </w:rPr>
        <w:t> </w:t>
      </w:r>
    </w:p>
    <w:p w14:paraId="3D2AE8F0" w14:textId="77777777" w:rsidR="00B90A97" w:rsidRPr="00B90A97" w:rsidRDefault="00B90A97" w:rsidP="00B90A97">
      <w:pPr>
        <w:spacing w:line="360" w:lineRule="auto"/>
        <w:rPr>
          <w:sz w:val="24"/>
          <w:szCs w:val="24"/>
        </w:rPr>
      </w:pPr>
      <w:r w:rsidRPr="00B90A97">
        <w:rPr>
          <w:sz w:val="24"/>
          <w:szCs w:val="24"/>
        </w:rPr>
        <w:t>Iwan is experiencing significant financial hardship and socio-economic disadvantage, which is affecting his ability to fully engage with his studies. As a first-generation post sixteen learner from a deprived are of Wales, Iwan is balancing academic demands alongside paid employment </w:t>
      </w:r>
      <w:proofErr w:type="gramStart"/>
      <w:r w:rsidRPr="00B90A97">
        <w:rPr>
          <w:sz w:val="24"/>
          <w:szCs w:val="24"/>
        </w:rPr>
        <w:t>in order to</w:t>
      </w:r>
      <w:proofErr w:type="gramEnd"/>
      <w:r w:rsidRPr="00B90A97">
        <w:rPr>
          <w:sz w:val="24"/>
          <w:szCs w:val="24"/>
        </w:rPr>
        <w:t> meet essential living costs. Research into post compulsory education in Wales indicates that financial insecurity is strongly associated with reduced attendance, lower attainment and increased risk of withdrawal (</w:t>
      </w:r>
      <w:proofErr w:type="spellStart"/>
      <w:r w:rsidRPr="00B90A97">
        <w:rPr>
          <w:sz w:val="24"/>
          <w:szCs w:val="24"/>
        </w:rPr>
        <w:t>Sibieta</w:t>
      </w:r>
      <w:proofErr w:type="spellEnd"/>
      <w:r w:rsidRPr="00B90A97">
        <w:rPr>
          <w:sz w:val="24"/>
          <w:szCs w:val="24"/>
        </w:rPr>
        <w:t> et al., 2024).  </w:t>
      </w:r>
    </w:p>
    <w:p w14:paraId="32370E9D" w14:textId="77777777" w:rsidR="00B90A97" w:rsidRPr="00B90A97" w:rsidRDefault="00B90A97" w:rsidP="00B90A97">
      <w:pPr>
        <w:spacing w:line="360" w:lineRule="auto"/>
        <w:rPr>
          <w:sz w:val="24"/>
          <w:szCs w:val="24"/>
        </w:rPr>
      </w:pPr>
      <w:r w:rsidRPr="00B90A97">
        <w:rPr>
          <w:sz w:val="24"/>
          <w:szCs w:val="24"/>
        </w:rPr>
        <w:t xml:space="preserve">While socio economic disadvantage is not a protected characteristic under the Equality Act 2010, the public sector Duty requires public bodies to have due regard to how structural disadvantage affects participation and outcomes (Equality Act 2010). In Wales, this responsibility is further reinforced by the Wellbeing of Future Generations Act 2015, which requires institutions to consider equity and long-term impact in decision making (Welsh Government, 2015). From a professional standards perspective, this places and obligation on practitioners to demonstrate learner </w:t>
      </w:r>
      <w:r w:rsidRPr="00B90A97">
        <w:rPr>
          <w:sz w:val="24"/>
          <w:szCs w:val="24"/>
        </w:rPr>
        <w:lastRenderedPageBreak/>
        <w:t>focused values and an informed understanding of the wider social and economic contexts shaping engagement (Welsh Government, 2023).  </w:t>
      </w:r>
    </w:p>
    <w:p w14:paraId="05386532" w14:textId="77777777" w:rsidR="00B90A97" w:rsidRPr="00B90A97" w:rsidRDefault="00B90A97" w:rsidP="00B90A97">
      <w:pPr>
        <w:spacing w:line="360" w:lineRule="auto"/>
        <w:rPr>
          <w:sz w:val="24"/>
          <w:szCs w:val="24"/>
        </w:rPr>
      </w:pPr>
      <w:r w:rsidRPr="00B90A97">
        <w:rPr>
          <w:sz w:val="24"/>
          <w:szCs w:val="24"/>
        </w:rPr>
        <w:t>According to UWTSD policy, learners experiencing financial hardship or difficulty are entitled to access support through student services, including hardship funding, fee advice and wellbeing support (University of Wales Trintiy St David, 2024). These mechanisms are designed to remove barriers to participation and align with the universities commitment to widening access and promoting equality of opportunity.  </w:t>
      </w:r>
    </w:p>
    <w:p w14:paraId="5F8EDF91" w14:textId="77777777" w:rsidR="00B90A97" w:rsidRPr="00B90A97" w:rsidRDefault="00B90A97" w:rsidP="00B90A97">
      <w:pPr>
        <w:spacing w:line="360" w:lineRule="auto"/>
        <w:rPr>
          <w:sz w:val="24"/>
          <w:szCs w:val="24"/>
        </w:rPr>
      </w:pPr>
      <w:r w:rsidRPr="00B90A97">
        <w:rPr>
          <w:sz w:val="24"/>
          <w:szCs w:val="24"/>
        </w:rPr>
        <w:t>At programme level, inclusive practice would involve reasonable flexibility around assessment deadlines </w:t>
      </w:r>
      <w:proofErr w:type="gramStart"/>
      <w:r w:rsidRPr="00B90A97">
        <w:rPr>
          <w:sz w:val="24"/>
          <w:szCs w:val="24"/>
        </w:rPr>
        <w:t>where</w:t>
      </w:r>
      <w:proofErr w:type="gramEnd"/>
      <w:r w:rsidRPr="00B90A97">
        <w:rPr>
          <w:sz w:val="24"/>
          <w:szCs w:val="24"/>
        </w:rPr>
        <w:t> permitted by academic regulations, alongside access to recorded learning materials and structured academic guidance. The Academic Quality Handbook supports inclusive assessment practices that maintain academic standards while recognising individual circumstances.  However, there is a risk that excessive flexibility may undermine learner confidence or academic expectations. To mitigate this, adjustments would be time limited, clearly communicated and reviewed regularly.  </w:t>
      </w:r>
    </w:p>
    <w:p w14:paraId="0723A48E" w14:textId="77777777" w:rsidR="00B90A97" w:rsidRPr="00B90A97" w:rsidRDefault="00B90A97" w:rsidP="00B90A97">
      <w:pPr>
        <w:spacing w:line="360" w:lineRule="auto"/>
        <w:rPr>
          <w:sz w:val="24"/>
          <w:szCs w:val="24"/>
        </w:rPr>
      </w:pPr>
      <w:r w:rsidRPr="00B90A97">
        <w:rPr>
          <w:sz w:val="24"/>
          <w:szCs w:val="24"/>
        </w:rPr>
        <w:t>Recent research highlights that financial precarity should be understood as a structural rather than individual issue. According to Callender and Thompson (2022) learners experiencing financial pressure often adopt surface learning strategies due to time constraints and stress, which can negatively affect attainment. This reinforces the need for coordinated academic and pastoral support rather than reliance on individual resilience. Through regular academic tutorials and collaboration with student services, Iwan can be supported in a manner that aligns with institutional policy and the Welsh Professional Teaching Standards emphasis on ethical judgement, collaboration and learner progression.  </w:t>
      </w:r>
    </w:p>
    <w:p w14:paraId="7D6C9E1E" w14:textId="77777777" w:rsidR="00B90A97" w:rsidRPr="00B90A97" w:rsidRDefault="00B90A97" w:rsidP="00B90A97">
      <w:pPr>
        <w:spacing w:line="360" w:lineRule="auto"/>
        <w:rPr>
          <w:sz w:val="24"/>
          <w:szCs w:val="24"/>
        </w:rPr>
      </w:pPr>
      <w:r w:rsidRPr="00B90A97">
        <w:rPr>
          <w:sz w:val="24"/>
          <w:szCs w:val="24"/>
        </w:rPr>
        <w:t xml:space="preserve">As the programme lecturer, my role would involve monitoring Iwans engagement and progress through scheduled academic tutorials rather than informal conversations. I would use these tutorials to review attendance, assessment progress and workload balance, ensuring that any concerns are documented and escalated in line with university procedures. In teaching sessions, I would provide clear structure, explicit assessment guidance and recorded materials to support independent study. Where </w:t>
      </w:r>
      <w:r w:rsidRPr="00B90A97">
        <w:rPr>
          <w:sz w:val="24"/>
          <w:szCs w:val="24"/>
        </w:rPr>
        <w:lastRenderedPageBreak/>
        <w:t>deadlines are adjusted in line with academic regulations, I would ensure expectations remain clear and consistent. In accordance with the Welsh Professional Teaching Standards, this approach demonstrates ethical practice, collaboration with student services and professional responsibility for learner progression while remaining firmly with institutional policy. </w:t>
      </w:r>
    </w:p>
    <w:p w14:paraId="45AD3F0C" w14:textId="77777777" w:rsidR="00B90A97" w:rsidRPr="00B90A97" w:rsidRDefault="00B90A97" w:rsidP="00B90A97">
      <w:pPr>
        <w:spacing w:line="360" w:lineRule="auto"/>
        <w:rPr>
          <w:sz w:val="24"/>
          <w:szCs w:val="24"/>
        </w:rPr>
      </w:pPr>
      <w:r w:rsidRPr="00B90A97">
        <w:rPr>
          <w:b/>
          <w:bCs/>
          <w:sz w:val="24"/>
          <w:szCs w:val="24"/>
          <w:u w:val="single"/>
        </w:rPr>
        <w:t>Support Statement: Dafydd (479) words</w:t>
      </w:r>
      <w:r w:rsidRPr="00B90A97">
        <w:rPr>
          <w:sz w:val="24"/>
          <w:szCs w:val="24"/>
        </w:rPr>
        <w:t> </w:t>
      </w:r>
    </w:p>
    <w:p w14:paraId="22587652" w14:textId="77777777" w:rsidR="00B90A97" w:rsidRPr="00B90A97" w:rsidRDefault="00B90A97" w:rsidP="00B90A97">
      <w:pPr>
        <w:spacing w:line="360" w:lineRule="auto"/>
        <w:rPr>
          <w:sz w:val="24"/>
          <w:szCs w:val="24"/>
        </w:rPr>
      </w:pPr>
      <w:r w:rsidRPr="00B90A97">
        <w:rPr>
          <w:sz w:val="24"/>
          <w:szCs w:val="24"/>
        </w:rPr>
        <w:t>Dafydd has Cerebral Palsy and is partially sighted, which effects his mobility, energy levels and ability to engage with written materials and note taking. These factors constitute a disability under the Equality Act 2010, placing a legal duty on the university to make reasonable adjustments to ensue equitable access to learning. Dafydd has expressed a strong desire to maintain independence in managing his studies, which must be respected within any support plan.  </w:t>
      </w:r>
    </w:p>
    <w:p w14:paraId="36BFDBCA" w14:textId="77777777" w:rsidR="00B90A97" w:rsidRPr="00B90A97" w:rsidRDefault="00B90A97" w:rsidP="00B90A97">
      <w:pPr>
        <w:spacing w:line="360" w:lineRule="auto"/>
        <w:rPr>
          <w:sz w:val="24"/>
          <w:szCs w:val="24"/>
        </w:rPr>
      </w:pPr>
      <w:r w:rsidRPr="00B90A97">
        <w:rPr>
          <w:sz w:val="24"/>
          <w:szCs w:val="24"/>
        </w:rPr>
        <w:t>Under the Equality Act 2010, reasonable adjustments must be anticipatory rather than reactive. According to UWTSD disability and wellbeing guidance, support should be agreed in partnership with the learner to promote dignity, autonomy and inclusion (University of Wales Trinity St David, 2024). This aligns with the strategic Equality Plan commitment to learner voice and inclusive systems.  </w:t>
      </w:r>
    </w:p>
    <w:p w14:paraId="795FB077" w14:textId="77777777" w:rsidR="00B90A97" w:rsidRPr="00B90A97" w:rsidRDefault="00B90A97" w:rsidP="00B90A97">
      <w:pPr>
        <w:spacing w:line="360" w:lineRule="auto"/>
        <w:rPr>
          <w:sz w:val="24"/>
          <w:szCs w:val="24"/>
        </w:rPr>
      </w:pPr>
      <w:r w:rsidRPr="00B90A97">
        <w:rPr>
          <w:sz w:val="24"/>
          <w:szCs w:val="24"/>
        </w:rPr>
        <w:t>At programme level, inclusive practice would involve providing learning materials in accessible digital formats in advance, using clear structure and appropriate visual presentation. Recorded lectures and verbal explanations of visual content to support access without singling out the learner. These approaches are supported by the Academic Quality Handbook and reflect inclusive design principles.  </w:t>
      </w:r>
    </w:p>
    <w:p w14:paraId="6701CE7F" w14:textId="77777777" w:rsidR="00B90A97" w:rsidRPr="00B90A97" w:rsidRDefault="00B90A97" w:rsidP="00B90A97">
      <w:pPr>
        <w:spacing w:line="360" w:lineRule="auto"/>
        <w:rPr>
          <w:sz w:val="24"/>
          <w:szCs w:val="24"/>
        </w:rPr>
      </w:pPr>
      <w:r w:rsidRPr="00B90A97">
        <w:rPr>
          <w:sz w:val="24"/>
          <w:szCs w:val="24"/>
        </w:rPr>
        <w:t>Reasonable adjustments to seating, rest breaks and alternative note taking strategies such as permission to record sessions. However, there is a potential risk that institutional narratives around independence may obscure the cumulative impact of fatigue and administrative burden.  Recent disability scholarship cautions against framing independence as an individual attribute rather than a relational outcome shaped by environmental design (Kendall, 2023).  </w:t>
      </w:r>
    </w:p>
    <w:p w14:paraId="4B5BD559" w14:textId="77777777" w:rsidR="00B90A97" w:rsidRPr="00B90A97" w:rsidRDefault="00B90A97" w:rsidP="00B90A97">
      <w:pPr>
        <w:spacing w:line="360" w:lineRule="auto"/>
        <w:rPr>
          <w:sz w:val="24"/>
          <w:szCs w:val="24"/>
        </w:rPr>
      </w:pPr>
      <w:r w:rsidRPr="00B90A97">
        <w:rPr>
          <w:sz w:val="24"/>
          <w:szCs w:val="24"/>
        </w:rPr>
        <w:lastRenderedPageBreak/>
        <w:t>From a professional standards perspective, ethical practice requires balancing respect for autonomy with proactive support. By negotiating adjustments collaboratively and embedding inclusive practice within teaching design, Dafydd’s independence can be enabled rather than compromised, aligning with the Welsh Professional Teaching Standards emphasis on empowerment, reflective practice and collaboration.  </w:t>
      </w:r>
    </w:p>
    <w:p w14:paraId="1D1490CD" w14:textId="77777777" w:rsidR="00B90A97" w:rsidRPr="00B90A97" w:rsidRDefault="00B90A97" w:rsidP="00B90A97">
      <w:pPr>
        <w:spacing w:line="360" w:lineRule="auto"/>
        <w:rPr>
          <w:sz w:val="24"/>
          <w:szCs w:val="24"/>
        </w:rPr>
      </w:pPr>
      <w:r w:rsidRPr="00B90A97">
        <w:rPr>
          <w:sz w:val="24"/>
          <w:szCs w:val="24"/>
        </w:rPr>
        <w:t>In my role as a lecturer, I would plan teaching sessions in advance to ensure accessibility is embedded rather than applied retrospectively. This would include providing materials early, explaining visual content verbally and structuring lessons to allow for regular pauses. I would regularly review agreed adjustments with Dafydd to ensure they remain appropriate and effective, documenting these discussions in line with institutional guidance. Most importantly I would avoid making assumptions about need and would not provide support outside of agreed arraignments. This reflects the Welsh Professional Teaching Standards emphasis on reflective practice, respect the learner autonomy and working within an organisational system to ensure consistency and equity. </w:t>
      </w:r>
    </w:p>
    <w:p w14:paraId="3903B74E" w14:textId="77777777" w:rsidR="00B90A97" w:rsidRPr="00B90A97" w:rsidRDefault="00B90A97" w:rsidP="00B90A97">
      <w:pPr>
        <w:spacing w:line="360" w:lineRule="auto"/>
        <w:rPr>
          <w:sz w:val="24"/>
          <w:szCs w:val="24"/>
        </w:rPr>
      </w:pPr>
      <w:r w:rsidRPr="00B90A97">
        <w:rPr>
          <w:sz w:val="24"/>
          <w:szCs w:val="24"/>
        </w:rPr>
        <w:t>In addition to implementing adjustments, I would evaluate their effectiveness through scheduled review points aligned with the academic calendar. These reviews would focus on access, fatigue management and assessment engagement rather than attainment alone. Any changes would be agreed collaboratively and recorded in line with UWTSD institutional processes as discussed before. This evaluative approach reflects the Welsh Professional Teaching Standards requirement to engage in ongoing professional learning and reflective practice, ensuring that support remains responsive while maintaining consistency and fairness across the program.  </w:t>
      </w:r>
    </w:p>
    <w:p w14:paraId="621161E0" w14:textId="77777777" w:rsidR="00B90A97" w:rsidRPr="00B90A97" w:rsidRDefault="00B90A97" w:rsidP="00B90A97">
      <w:pPr>
        <w:spacing w:line="360" w:lineRule="auto"/>
        <w:rPr>
          <w:sz w:val="24"/>
          <w:szCs w:val="24"/>
        </w:rPr>
      </w:pPr>
      <w:r w:rsidRPr="00B90A97">
        <w:rPr>
          <w:b/>
          <w:bCs/>
          <w:sz w:val="24"/>
          <w:szCs w:val="24"/>
          <w:u w:val="single"/>
        </w:rPr>
        <w:t>Support statement: Alys (411 words)</w:t>
      </w:r>
      <w:r w:rsidRPr="00B90A97">
        <w:rPr>
          <w:sz w:val="24"/>
          <w:szCs w:val="24"/>
        </w:rPr>
        <w:t> </w:t>
      </w:r>
    </w:p>
    <w:p w14:paraId="4FE4BF24" w14:textId="77777777" w:rsidR="00B90A97" w:rsidRPr="00B90A97" w:rsidRDefault="00B90A97" w:rsidP="00B90A97">
      <w:pPr>
        <w:spacing w:line="360" w:lineRule="auto"/>
        <w:rPr>
          <w:sz w:val="24"/>
          <w:szCs w:val="24"/>
        </w:rPr>
      </w:pPr>
      <w:r w:rsidRPr="00B90A97">
        <w:rPr>
          <w:sz w:val="24"/>
          <w:szCs w:val="24"/>
        </w:rPr>
        <w:t>Alys is pregnant and wishes to continue her studies during pregnancy and following childbirth. Pregnancy and Maternity are protected characteristics under the equality act 2010, meaning that Alys must not be disadvantaged </w:t>
      </w:r>
      <w:proofErr w:type="gramStart"/>
      <w:r w:rsidRPr="00B90A97">
        <w:rPr>
          <w:sz w:val="24"/>
          <w:szCs w:val="24"/>
        </w:rPr>
        <w:t>as a result of</w:t>
      </w:r>
      <w:proofErr w:type="gramEnd"/>
      <w:r w:rsidRPr="00B90A97">
        <w:rPr>
          <w:sz w:val="24"/>
          <w:szCs w:val="24"/>
        </w:rPr>
        <w:t> her pregnancy. Pregnancy can affect attendance, energy levels and ability to meet assessment deadlines, particularly in the later stages of pregnancy.  </w:t>
      </w:r>
    </w:p>
    <w:p w14:paraId="1585B015" w14:textId="77777777" w:rsidR="00B90A97" w:rsidRPr="00B90A97" w:rsidRDefault="00B90A97" w:rsidP="00B90A97">
      <w:pPr>
        <w:spacing w:line="360" w:lineRule="auto"/>
        <w:rPr>
          <w:sz w:val="24"/>
          <w:szCs w:val="24"/>
        </w:rPr>
      </w:pPr>
      <w:r w:rsidRPr="00B90A97">
        <w:rPr>
          <w:sz w:val="24"/>
          <w:szCs w:val="24"/>
        </w:rPr>
        <w:lastRenderedPageBreak/>
        <w:t>According to UWTSD Maternity and wellbeing policies, pregnant learners are entitled to reasonable adjustments and support to enable continued engagement where possible (University of Wales Trinity St David, 2024). These policies operate within the Strategic Equality Plan and are designed to ensure compliance with equality legislation while supporting learner wellbeing.  </w:t>
      </w:r>
    </w:p>
    <w:p w14:paraId="44C0CD9A" w14:textId="77777777" w:rsidR="00B90A97" w:rsidRPr="00B90A97" w:rsidRDefault="00B90A97" w:rsidP="00B90A97">
      <w:pPr>
        <w:spacing w:line="360" w:lineRule="auto"/>
        <w:rPr>
          <w:sz w:val="24"/>
          <w:szCs w:val="24"/>
        </w:rPr>
      </w:pPr>
      <w:r w:rsidRPr="00B90A97">
        <w:rPr>
          <w:sz w:val="24"/>
          <w:szCs w:val="24"/>
        </w:rPr>
        <w:t>At programme level, inclusive practice may include flexible attendance arrangements, adjusted assessment timelines where permitted, and access to blended learning materials. Any adjustments would be planned collaboratively, </w:t>
      </w:r>
      <w:proofErr w:type="gramStart"/>
      <w:r w:rsidRPr="00B90A97">
        <w:rPr>
          <w:sz w:val="24"/>
          <w:szCs w:val="24"/>
        </w:rPr>
        <w:t>taking into account</w:t>
      </w:r>
      <w:proofErr w:type="gramEnd"/>
      <w:r w:rsidRPr="00B90A97">
        <w:rPr>
          <w:sz w:val="24"/>
          <w:szCs w:val="24"/>
        </w:rPr>
        <w:t> medical advice and academic requirements. The Academic Quality Handbook supports such flexibility provided academic standards are maintained.  </w:t>
      </w:r>
    </w:p>
    <w:p w14:paraId="339C5AB9" w14:textId="77777777" w:rsidR="00B90A97" w:rsidRPr="00B90A97" w:rsidRDefault="00B90A97" w:rsidP="00B90A97">
      <w:pPr>
        <w:spacing w:line="360" w:lineRule="auto"/>
        <w:rPr>
          <w:sz w:val="24"/>
          <w:szCs w:val="24"/>
        </w:rPr>
      </w:pPr>
      <w:r w:rsidRPr="00B90A97">
        <w:rPr>
          <w:sz w:val="24"/>
          <w:szCs w:val="24"/>
        </w:rPr>
        <w:t>Research indicates that flexible learning design improves retention for learners with caring responsibilities and health related needs (Miles, 2024). From a professional standards perspective, supporting Alys requires ethical decision making, clear communication and reflective practice. By planning proactively and reviewing arrangements regularly, Alys can be supported to continue her studies in a way that respect her rights, maintain academic integrity and aligns with institutional policy and professional expectations.  </w:t>
      </w:r>
    </w:p>
    <w:p w14:paraId="10513384" w14:textId="77777777" w:rsidR="00B90A97" w:rsidRPr="00B90A97" w:rsidRDefault="00B90A97" w:rsidP="00B90A97">
      <w:pPr>
        <w:spacing w:line="360" w:lineRule="auto"/>
        <w:rPr>
          <w:sz w:val="24"/>
          <w:szCs w:val="24"/>
        </w:rPr>
      </w:pPr>
      <w:r w:rsidRPr="00B90A97">
        <w:rPr>
          <w:sz w:val="24"/>
          <w:szCs w:val="24"/>
        </w:rPr>
        <w:t>As Alys’s lecturer, my responsibility would be to plan teaching and assessment in a way that anticipates periods of reduced attendance while maintaining academic standards. I would ensure learning materials and assessment information are accessible digitally and communicate clearly about expectations well in advance. Any flexibility around deadlines or attendance would be agreed formally through institutional processes rather than informal arrangements. I would also ensure regular review points are built into the academic calendar to reassess support as circumstances often change. This approach aligns clearly with the Welsh Professional Teaching Standards requirement for ethical decision making, clear communication and professional accountability within policy framework.  </w:t>
      </w:r>
    </w:p>
    <w:p w14:paraId="16320D4C" w14:textId="77777777" w:rsidR="00B90A97" w:rsidRPr="00B90A97" w:rsidRDefault="00B90A97" w:rsidP="00B90A97">
      <w:pPr>
        <w:spacing w:line="360" w:lineRule="auto"/>
        <w:rPr>
          <w:sz w:val="24"/>
          <w:szCs w:val="24"/>
        </w:rPr>
      </w:pPr>
      <w:r w:rsidRPr="00B90A97">
        <w:rPr>
          <w:sz w:val="24"/>
          <w:szCs w:val="24"/>
        </w:rPr>
        <w:t xml:space="preserve">It is also important to recognise professional boundaries when supporting pregnant students. As a lecturer, I would not seek medical information beyond what is necessary for academic planning, nor would I provide personal advice outside of my </w:t>
      </w:r>
      <w:r w:rsidRPr="00B90A97">
        <w:rPr>
          <w:sz w:val="24"/>
          <w:szCs w:val="24"/>
        </w:rPr>
        <w:lastRenderedPageBreak/>
        <w:t>professional role. Any concerns relating to health and wellbeing would be referred appropriately to student services in line with the university’s policies. This approach ensures that support remain ethical, proportionate and consistent within the Welsh Professional Teaching Standards emphasis on professional integrity and safeguarding within higher education contexts.  </w:t>
      </w:r>
    </w:p>
    <w:p w14:paraId="1934D4E2" w14:textId="77777777" w:rsidR="00B90A97" w:rsidRPr="00B90A97" w:rsidRDefault="00B90A97" w:rsidP="00B90A97">
      <w:pPr>
        <w:spacing w:line="360" w:lineRule="auto"/>
        <w:rPr>
          <w:sz w:val="24"/>
          <w:szCs w:val="24"/>
        </w:rPr>
      </w:pPr>
      <w:r w:rsidRPr="00B90A97">
        <w:rPr>
          <w:sz w:val="24"/>
          <w:szCs w:val="24"/>
        </w:rPr>
        <w:t> </w:t>
      </w:r>
    </w:p>
    <w:p w14:paraId="0A2A8672" w14:textId="77777777" w:rsidR="00B90A97" w:rsidRDefault="00B90A97" w:rsidP="00103E43">
      <w:pPr>
        <w:rPr>
          <w:sz w:val="24"/>
          <w:szCs w:val="24"/>
        </w:rPr>
      </w:pPr>
    </w:p>
    <w:p w14:paraId="7C04A747" w14:textId="77777777" w:rsidR="00360C66" w:rsidRPr="009A627D" w:rsidRDefault="00360C66" w:rsidP="004B33A7">
      <w:pPr>
        <w:rPr>
          <w:sz w:val="24"/>
          <w:szCs w:val="24"/>
        </w:rPr>
      </w:pPr>
    </w:p>
    <w:p w14:paraId="50B5FA35" w14:textId="77777777" w:rsidR="004B33A7" w:rsidRPr="009A627D" w:rsidRDefault="004B33A7" w:rsidP="004B33A7">
      <w:pPr>
        <w:rPr>
          <w:sz w:val="24"/>
          <w:szCs w:val="24"/>
        </w:rPr>
      </w:pPr>
    </w:p>
    <w:p w14:paraId="46A38E59" w14:textId="77777777" w:rsidR="004B33A7" w:rsidRDefault="004B33A7" w:rsidP="004B33A7">
      <w:pPr>
        <w:rPr>
          <w:rFonts w:asciiTheme="minorBidi" w:hAnsiTheme="minorBidi"/>
          <w:sz w:val="24"/>
          <w:szCs w:val="24"/>
        </w:rPr>
      </w:pPr>
    </w:p>
    <w:p w14:paraId="7DD224D8" w14:textId="77777777" w:rsidR="004B33A7" w:rsidRDefault="004B33A7" w:rsidP="004B33A7">
      <w:pPr>
        <w:rPr>
          <w:rFonts w:asciiTheme="minorBidi" w:hAnsiTheme="minorBidi"/>
          <w:sz w:val="24"/>
          <w:szCs w:val="24"/>
        </w:rPr>
      </w:pPr>
    </w:p>
    <w:p w14:paraId="00D785DB" w14:textId="77777777" w:rsidR="004B33A7" w:rsidRDefault="004B33A7" w:rsidP="004B33A7">
      <w:pPr>
        <w:rPr>
          <w:rFonts w:asciiTheme="minorBidi" w:hAnsiTheme="minorBidi"/>
          <w:sz w:val="24"/>
          <w:szCs w:val="24"/>
        </w:rPr>
      </w:pPr>
    </w:p>
    <w:p w14:paraId="3EC3942C" w14:textId="77777777" w:rsidR="004B33A7" w:rsidRDefault="004B33A7" w:rsidP="004B33A7">
      <w:pPr>
        <w:rPr>
          <w:rFonts w:asciiTheme="minorBidi" w:hAnsiTheme="minorBidi"/>
          <w:sz w:val="24"/>
          <w:szCs w:val="24"/>
        </w:rPr>
      </w:pPr>
    </w:p>
    <w:p w14:paraId="108364AB" w14:textId="77777777" w:rsidR="00B90A97" w:rsidRDefault="00B90A97" w:rsidP="00B90A97">
      <w:pPr>
        <w:spacing w:line="360" w:lineRule="auto"/>
        <w:rPr>
          <w:sz w:val="24"/>
          <w:szCs w:val="24"/>
          <w:u w:val="single"/>
        </w:rPr>
      </w:pPr>
    </w:p>
    <w:p w14:paraId="3ED7CDCD" w14:textId="77777777" w:rsidR="00B90A97" w:rsidRDefault="00B90A97" w:rsidP="00B90A97">
      <w:pPr>
        <w:spacing w:line="360" w:lineRule="auto"/>
        <w:rPr>
          <w:sz w:val="24"/>
          <w:szCs w:val="24"/>
          <w:u w:val="single"/>
        </w:rPr>
      </w:pPr>
    </w:p>
    <w:p w14:paraId="106CF633" w14:textId="77777777" w:rsidR="00B90A97" w:rsidRDefault="00B90A97" w:rsidP="00B90A97">
      <w:pPr>
        <w:spacing w:line="360" w:lineRule="auto"/>
        <w:rPr>
          <w:sz w:val="24"/>
          <w:szCs w:val="24"/>
          <w:u w:val="single"/>
        </w:rPr>
      </w:pPr>
    </w:p>
    <w:p w14:paraId="5A2FF911" w14:textId="77777777" w:rsidR="00B90A97" w:rsidRDefault="00B90A97" w:rsidP="00B90A97">
      <w:pPr>
        <w:spacing w:line="360" w:lineRule="auto"/>
        <w:rPr>
          <w:sz w:val="24"/>
          <w:szCs w:val="24"/>
          <w:u w:val="single"/>
        </w:rPr>
      </w:pPr>
    </w:p>
    <w:p w14:paraId="39DBBF0A" w14:textId="77777777" w:rsidR="00B90A97" w:rsidRDefault="00B90A97" w:rsidP="00B90A97">
      <w:pPr>
        <w:spacing w:line="360" w:lineRule="auto"/>
        <w:rPr>
          <w:sz w:val="24"/>
          <w:szCs w:val="24"/>
          <w:u w:val="single"/>
        </w:rPr>
      </w:pPr>
    </w:p>
    <w:p w14:paraId="3B7EBAF9" w14:textId="77777777" w:rsidR="00B90A97" w:rsidRDefault="00B90A97" w:rsidP="00B90A97">
      <w:pPr>
        <w:spacing w:line="360" w:lineRule="auto"/>
        <w:rPr>
          <w:sz w:val="24"/>
          <w:szCs w:val="24"/>
          <w:u w:val="single"/>
        </w:rPr>
      </w:pPr>
    </w:p>
    <w:p w14:paraId="7B11B942" w14:textId="77777777" w:rsidR="00B90A97" w:rsidRDefault="00B90A97" w:rsidP="00B90A97">
      <w:pPr>
        <w:spacing w:line="360" w:lineRule="auto"/>
        <w:rPr>
          <w:sz w:val="24"/>
          <w:szCs w:val="24"/>
          <w:u w:val="single"/>
        </w:rPr>
      </w:pPr>
    </w:p>
    <w:p w14:paraId="179EB5BC" w14:textId="77777777" w:rsidR="00B90A97" w:rsidRDefault="00B90A97" w:rsidP="00B90A97">
      <w:pPr>
        <w:spacing w:line="360" w:lineRule="auto"/>
        <w:rPr>
          <w:sz w:val="24"/>
          <w:szCs w:val="24"/>
          <w:u w:val="single"/>
        </w:rPr>
      </w:pPr>
    </w:p>
    <w:p w14:paraId="4D129553" w14:textId="77777777" w:rsidR="00B90A97" w:rsidRDefault="00B90A97" w:rsidP="00B90A97">
      <w:pPr>
        <w:spacing w:line="360" w:lineRule="auto"/>
        <w:rPr>
          <w:sz w:val="24"/>
          <w:szCs w:val="24"/>
          <w:u w:val="single"/>
        </w:rPr>
      </w:pPr>
    </w:p>
    <w:p w14:paraId="1B771C72" w14:textId="77777777" w:rsidR="00B90A97" w:rsidRDefault="00B90A97" w:rsidP="00B90A97">
      <w:pPr>
        <w:spacing w:line="360" w:lineRule="auto"/>
        <w:rPr>
          <w:sz w:val="24"/>
          <w:szCs w:val="24"/>
          <w:u w:val="single"/>
        </w:rPr>
      </w:pPr>
    </w:p>
    <w:p w14:paraId="493CEE52" w14:textId="77777777" w:rsidR="00B90A97" w:rsidRDefault="00B90A97" w:rsidP="00B90A97">
      <w:pPr>
        <w:spacing w:line="360" w:lineRule="auto"/>
        <w:rPr>
          <w:sz w:val="24"/>
          <w:szCs w:val="24"/>
          <w:u w:val="single"/>
        </w:rPr>
      </w:pPr>
    </w:p>
    <w:p w14:paraId="3ECBB2BA" w14:textId="77777777" w:rsidR="00B90A97" w:rsidRDefault="00B90A97" w:rsidP="00B90A97">
      <w:pPr>
        <w:spacing w:line="360" w:lineRule="auto"/>
        <w:rPr>
          <w:sz w:val="24"/>
          <w:szCs w:val="24"/>
          <w:u w:val="single"/>
        </w:rPr>
      </w:pPr>
    </w:p>
    <w:p w14:paraId="02CD83C9" w14:textId="77777777" w:rsidR="00B90A97" w:rsidRDefault="00B90A97" w:rsidP="00B90A97">
      <w:pPr>
        <w:spacing w:line="360" w:lineRule="auto"/>
        <w:rPr>
          <w:sz w:val="24"/>
          <w:szCs w:val="24"/>
          <w:u w:val="single"/>
        </w:rPr>
      </w:pPr>
    </w:p>
    <w:p w14:paraId="68D633DA" w14:textId="27946403" w:rsidR="00B90A97" w:rsidRPr="00B90A97" w:rsidRDefault="00B90A97" w:rsidP="00B90A97">
      <w:pPr>
        <w:spacing w:line="360" w:lineRule="auto"/>
        <w:rPr>
          <w:sz w:val="24"/>
          <w:szCs w:val="24"/>
          <w:u w:val="single"/>
        </w:rPr>
      </w:pPr>
      <w:r w:rsidRPr="00B90A97">
        <w:rPr>
          <w:sz w:val="24"/>
          <w:szCs w:val="24"/>
          <w:u w:val="single"/>
        </w:rPr>
        <w:lastRenderedPageBreak/>
        <w:t xml:space="preserve">Reference </w:t>
      </w:r>
      <w:proofErr w:type="gramStart"/>
      <w:r w:rsidRPr="00B90A97">
        <w:rPr>
          <w:sz w:val="24"/>
          <w:szCs w:val="24"/>
          <w:u w:val="single"/>
        </w:rPr>
        <w:t>list :</w:t>
      </w:r>
      <w:proofErr w:type="gramEnd"/>
      <w:r w:rsidRPr="00B90A97">
        <w:rPr>
          <w:sz w:val="24"/>
          <w:szCs w:val="24"/>
          <w:u w:val="single"/>
        </w:rPr>
        <w:t xml:space="preserve"> </w:t>
      </w:r>
    </w:p>
    <w:p w14:paraId="4F1525DE" w14:textId="77777777" w:rsidR="00B90A97" w:rsidRPr="00B90A97" w:rsidRDefault="00B90A97" w:rsidP="00B90A97">
      <w:pPr>
        <w:spacing w:line="360" w:lineRule="auto"/>
        <w:rPr>
          <w:sz w:val="24"/>
          <w:szCs w:val="24"/>
        </w:rPr>
      </w:pPr>
      <w:r w:rsidRPr="00B90A97">
        <w:rPr>
          <w:sz w:val="24"/>
          <w:szCs w:val="24"/>
        </w:rPr>
        <w:t>Additional Learning Needs and Education Tribunal (Wales) Act 2018. Cardiff: Welsh Government.</w:t>
      </w:r>
    </w:p>
    <w:p w14:paraId="795AA4EA" w14:textId="77777777" w:rsidR="00B90A97" w:rsidRPr="00B90A97" w:rsidRDefault="00B90A97" w:rsidP="00B90A97">
      <w:pPr>
        <w:spacing w:line="360" w:lineRule="auto"/>
        <w:rPr>
          <w:sz w:val="24"/>
          <w:szCs w:val="24"/>
        </w:rPr>
      </w:pPr>
      <w:r w:rsidRPr="00B90A97">
        <w:rPr>
          <w:sz w:val="24"/>
          <w:szCs w:val="24"/>
        </w:rPr>
        <w:t xml:space="preserve">Brooks, R. (2021) ‘Student parents and institutional support in higher education’, </w:t>
      </w:r>
      <w:r w:rsidRPr="00B90A97">
        <w:rPr>
          <w:i/>
          <w:iCs/>
          <w:sz w:val="24"/>
          <w:szCs w:val="24"/>
        </w:rPr>
        <w:t>Journal of Further and Higher Education</w:t>
      </w:r>
      <w:r w:rsidRPr="00B90A97">
        <w:rPr>
          <w:sz w:val="24"/>
          <w:szCs w:val="24"/>
        </w:rPr>
        <w:t>, 45(8), pp. 1049–1063.</w:t>
      </w:r>
    </w:p>
    <w:p w14:paraId="25759B19" w14:textId="77777777" w:rsidR="00B90A97" w:rsidRPr="00B90A97" w:rsidRDefault="00B90A97" w:rsidP="00B90A97">
      <w:pPr>
        <w:spacing w:line="360" w:lineRule="auto"/>
        <w:rPr>
          <w:sz w:val="24"/>
          <w:szCs w:val="24"/>
        </w:rPr>
      </w:pPr>
      <w:r w:rsidRPr="00B90A97">
        <w:rPr>
          <w:sz w:val="24"/>
          <w:szCs w:val="24"/>
        </w:rPr>
        <w:t xml:space="preserve">Callender, C. and Thompson, J. (2022) ‘Student financial hardship and the impact on learning engagement’, </w:t>
      </w:r>
      <w:r w:rsidRPr="00B90A97">
        <w:rPr>
          <w:i/>
          <w:iCs/>
          <w:sz w:val="24"/>
          <w:szCs w:val="24"/>
        </w:rPr>
        <w:t>Studies in Higher Education</w:t>
      </w:r>
      <w:r w:rsidRPr="00B90A97">
        <w:rPr>
          <w:sz w:val="24"/>
          <w:szCs w:val="24"/>
        </w:rPr>
        <w:t>, 47(6), pp. 1187–1202.</w:t>
      </w:r>
    </w:p>
    <w:p w14:paraId="2BCBCBC0" w14:textId="77777777" w:rsidR="00B90A97" w:rsidRPr="00B90A97" w:rsidRDefault="00B90A97" w:rsidP="00B90A97">
      <w:pPr>
        <w:spacing w:line="360" w:lineRule="auto"/>
        <w:rPr>
          <w:sz w:val="24"/>
          <w:szCs w:val="24"/>
        </w:rPr>
      </w:pPr>
      <w:r w:rsidRPr="00B90A97">
        <w:rPr>
          <w:sz w:val="24"/>
          <w:szCs w:val="24"/>
        </w:rPr>
        <w:t>Education Act 1996. London: HMSO.</w:t>
      </w:r>
    </w:p>
    <w:p w14:paraId="44544B08" w14:textId="77777777" w:rsidR="00B90A97" w:rsidRPr="00B90A97" w:rsidRDefault="00B90A97" w:rsidP="00B90A97">
      <w:pPr>
        <w:spacing w:line="360" w:lineRule="auto"/>
        <w:rPr>
          <w:sz w:val="24"/>
          <w:szCs w:val="24"/>
        </w:rPr>
      </w:pPr>
      <w:r w:rsidRPr="00B90A97">
        <w:rPr>
          <w:sz w:val="24"/>
          <w:szCs w:val="24"/>
        </w:rPr>
        <w:t>Equality Act 2010. London: HMSO.</w:t>
      </w:r>
    </w:p>
    <w:p w14:paraId="70CF5A47" w14:textId="77777777" w:rsidR="00B90A97" w:rsidRPr="00B90A97" w:rsidRDefault="00B90A97" w:rsidP="00B90A97">
      <w:pPr>
        <w:spacing w:line="360" w:lineRule="auto"/>
        <w:rPr>
          <w:sz w:val="24"/>
          <w:szCs w:val="24"/>
        </w:rPr>
      </w:pPr>
      <w:r w:rsidRPr="00B90A97">
        <w:rPr>
          <w:sz w:val="24"/>
          <w:szCs w:val="24"/>
        </w:rPr>
        <w:t>Human Rights Act 1998. London: HMSO.</w:t>
      </w:r>
    </w:p>
    <w:p w14:paraId="5DC756F8" w14:textId="77777777" w:rsidR="00B90A97" w:rsidRPr="00B90A97" w:rsidRDefault="00B90A97" w:rsidP="00B90A97">
      <w:pPr>
        <w:spacing w:line="360" w:lineRule="auto"/>
        <w:rPr>
          <w:sz w:val="24"/>
          <w:szCs w:val="24"/>
        </w:rPr>
      </w:pPr>
      <w:r w:rsidRPr="00B90A97">
        <w:rPr>
          <w:sz w:val="24"/>
          <w:szCs w:val="24"/>
        </w:rPr>
        <w:t xml:space="preserve">McEwen, C. (2024) ‘Advancing inclusive practices in higher education’, </w:t>
      </w:r>
      <w:r w:rsidRPr="00B90A97">
        <w:rPr>
          <w:i/>
          <w:iCs/>
          <w:sz w:val="24"/>
          <w:szCs w:val="24"/>
        </w:rPr>
        <w:t>Management in Education</w:t>
      </w:r>
      <w:r w:rsidRPr="00B90A97">
        <w:rPr>
          <w:sz w:val="24"/>
          <w:szCs w:val="24"/>
        </w:rPr>
        <w:t>, 38(2), pp. 72–80.</w:t>
      </w:r>
    </w:p>
    <w:p w14:paraId="436047A1" w14:textId="77777777" w:rsidR="00B90A97" w:rsidRPr="00B90A97" w:rsidRDefault="00B90A97" w:rsidP="00B90A97">
      <w:pPr>
        <w:spacing w:line="360" w:lineRule="auto"/>
        <w:rPr>
          <w:sz w:val="24"/>
          <w:szCs w:val="24"/>
        </w:rPr>
      </w:pPr>
      <w:proofErr w:type="spellStart"/>
      <w:r w:rsidRPr="00B90A97">
        <w:rPr>
          <w:sz w:val="24"/>
          <w:szCs w:val="24"/>
        </w:rPr>
        <w:t>Moriña</w:t>
      </w:r>
      <w:proofErr w:type="spellEnd"/>
      <w:r w:rsidRPr="00B90A97">
        <w:rPr>
          <w:sz w:val="24"/>
          <w:szCs w:val="24"/>
        </w:rPr>
        <w:t xml:space="preserve">, A. (2023) ‘Inclusive curriculum design in higher education: moving beyond individual adjustments’, </w:t>
      </w:r>
      <w:r w:rsidRPr="00B90A97">
        <w:rPr>
          <w:i/>
          <w:iCs/>
          <w:sz w:val="24"/>
          <w:szCs w:val="24"/>
        </w:rPr>
        <w:t>Higher Education Research and Development</w:t>
      </w:r>
      <w:r w:rsidRPr="00B90A97">
        <w:rPr>
          <w:sz w:val="24"/>
          <w:szCs w:val="24"/>
        </w:rPr>
        <w:t>, 42(4), pp. 789–803.</w:t>
      </w:r>
    </w:p>
    <w:p w14:paraId="5FA8B5AA" w14:textId="77777777" w:rsidR="00B90A97" w:rsidRPr="00B90A97" w:rsidRDefault="00B90A97" w:rsidP="00B90A97">
      <w:pPr>
        <w:spacing w:line="360" w:lineRule="auto"/>
        <w:rPr>
          <w:sz w:val="24"/>
          <w:szCs w:val="24"/>
        </w:rPr>
      </w:pPr>
      <w:proofErr w:type="spellStart"/>
      <w:r w:rsidRPr="00B90A97">
        <w:rPr>
          <w:sz w:val="24"/>
          <w:szCs w:val="24"/>
        </w:rPr>
        <w:t>Sibieta</w:t>
      </w:r>
      <w:proofErr w:type="spellEnd"/>
      <w:r w:rsidRPr="00B90A97">
        <w:rPr>
          <w:sz w:val="24"/>
          <w:szCs w:val="24"/>
        </w:rPr>
        <w:t xml:space="preserve">, L., Miles, J., Boliver, V. and </w:t>
      </w:r>
      <w:proofErr w:type="spellStart"/>
      <w:r w:rsidRPr="00B90A97">
        <w:rPr>
          <w:sz w:val="24"/>
          <w:szCs w:val="24"/>
        </w:rPr>
        <w:t>Hazelkorn</w:t>
      </w:r>
      <w:proofErr w:type="spellEnd"/>
      <w:r w:rsidRPr="00B90A97">
        <w:rPr>
          <w:sz w:val="24"/>
          <w:szCs w:val="24"/>
        </w:rPr>
        <w:t xml:space="preserve">, E. (2024) </w:t>
      </w:r>
      <w:r w:rsidRPr="00B90A97">
        <w:rPr>
          <w:i/>
          <w:iCs/>
          <w:sz w:val="24"/>
          <w:szCs w:val="24"/>
        </w:rPr>
        <w:t>Understanding inequity in tertiary education in Wales</w:t>
      </w:r>
      <w:r w:rsidRPr="00B90A97">
        <w:rPr>
          <w:sz w:val="24"/>
          <w:szCs w:val="24"/>
        </w:rPr>
        <w:t>. Cardiff: Wales Centre for Public Policy.</w:t>
      </w:r>
    </w:p>
    <w:p w14:paraId="664E3437" w14:textId="77777777" w:rsidR="00B90A97" w:rsidRPr="00B90A97" w:rsidRDefault="00B90A97" w:rsidP="00B90A97">
      <w:pPr>
        <w:spacing w:line="360" w:lineRule="auto"/>
        <w:rPr>
          <w:sz w:val="24"/>
          <w:szCs w:val="24"/>
        </w:rPr>
      </w:pPr>
      <w:r w:rsidRPr="00B90A97">
        <w:rPr>
          <w:sz w:val="24"/>
          <w:szCs w:val="24"/>
        </w:rPr>
        <w:t xml:space="preserve">Thomas, G. and Loxley, A. (2022) ‘Inclusion, policy enactment and unintended consequences’, </w:t>
      </w:r>
      <w:r w:rsidRPr="00B90A97">
        <w:rPr>
          <w:i/>
          <w:iCs/>
          <w:sz w:val="24"/>
          <w:szCs w:val="24"/>
        </w:rPr>
        <w:t>British Journal of Educational Studies</w:t>
      </w:r>
      <w:r w:rsidRPr="00B90A97">
        <w:rPr>
          <w:sz w:val="24"/>
          <w:szCs w:val="24"/>
        </w:rPr>
        <w:t>, 70(3), pp. 345–361.</w:t>
      </w:r>
    </w:p>
    <w:p w14:paraId="61360CAD" w14:textId="77777777" w:rsidR="00B90A97" w:rsidRPr="00B90A97" w:rsidRDefault="00B90A97" w:rsidP="00B90A97">
      <w:pPr>
        <w:spacing w:line="360" w:lineRule="auto"/>
        <w:rPr>
          <w:sz w:val="24"/>
          <w:szCs w:val="24"/>
        </w:rPr>
      </w:pPr>
      <w:r w:rsidRPr="00B90A97">
        <w:rPr>
          <w:sz w:val="24"/>
          <w:szCs w:val="24"/>
        </w:rPr>
        <w:t xml:space="preserve">University of Wales Trinity Saint David (2024) </w:t>
      </w:r>
      <w:r w:rsidRPr="00B90A97">
        <w:rPr>
          <w:i/>
          <w:iCs/>
          <w:sz w:val="24"/>
          <w:szCs w:val="24"/>
        </w:rPr>
        <w:t>Strategic Equality Plan 2024–2028</w:t>
      </w:r>
      <w:r w:rsidRPr="00B90A97">
        <w:rPr>
          <w:sz w:val="24"/>
          <w:szCs w:val="24"/>
        </w:rPr>
        <w:t>. Carmarthen: UWTSD.</w:t>
      </w:r>
    </w:p>
    <w:p w14:paraId="71913BDC" w14:textId="77777777" w:rsidR="00B90A97" w:rsidRPr="00B90A97" w:rsidRDefault="00B90A97" w:rsidP="00B90A97">
      <w:pPr>
        <w:spacing w:line="360" w:lineRule="auto"/>
        <w:rPr>
          <w:sz w:val="24"/>
          <w:szCs w:val="24"/>
        </w:rPr>
      </w:pPr>
      <w:r w:rsidRPr="00B90A97">
        <w:rPr>
          <w:sz w:val="24"/>
          <w:szCs w:val="24"/>
        </w:rPr>
        <w:t xml:space="preserve">University of Wales Trinity Saint David (2024) </w:t>
      </w:r>
      <w:r w:rsidRPr="00B90A97">
        <w:rPr>
          <w:i/>
          <w:iCs/>
          <w:sz w:val="24"/>
          <w:szCs w:val="24"/>
        </w:rPr>
        <w:t>Academic Quality Handbook</w:t>
      </w:r>
      <w:r w:rsidRPr="00B90A97">
        <w:rPr>
          <w:sz w:val="24"/>
          <w:szCs w:val="24"/>
        </w:rPr>
        <w:t>. Carmarthen: UWTSD.</w:t>
      </w:r>
    </w:p>
    <w:p w14:paraId="6BB26027" w14:textId="77777777" w:rsidR="00B90A97" w:rsidRPr="00B90A97" w:rsidRDefault="00B90A97" w:rsidP="00B90A97">
      <w:pPr>
        <w:spacing w:line="360" w:lineRule="auto"/>
        <w:rPr>
          <w:sz w:val="24"/>
          <w:szCs w:val="24"/>
        </w:rPr>
      </w:pPr>
      <w:r w:rsidRPr="00B90A97">
        <w:rPr>
          <w:sz w:val="24"/>
          <w:szCs w:val="24"/>
        </w:rPr>
        <w:t xml:space="preserve">Welsh Government (2015) </w:t>
      </w:r>
      <w:r w:rsidRPr="00B90A97">
        <w:rPr>
          <w:i/>
          <w:iCs/>
          <w:sz w:val="24"/>
          <w:szCs w:val="24"/>
        </w:rPr>
        <w:t>Wellbeing of Future Generations (Wales) Act 2015</w:t>
      </w:r>
      <w:r w:rsidRPr="00B90A97">
        <w:rPr>
          <w:sz w:val="24"/>
          <w:szCs w:val="24"/>
        </w:rPr>
        <w:t>. Cardiff: Welsh Government.</w:t>
      </w:r>
    </w:p>
    <w:p w14:paraId="351FB47A" w14:textId="77777777" w:rsidR="00B90A97" w:rsidRPr="00B90A97" w:rsidRDefault="00B90A97" w:rsidP="00B90A97">
      <w:pPr>
        <w:spacing w:line="360" w:lineRule="auto"/>
        <w:rPr>
          <w:sz w:val="24"/>
          <w:szCs w:val="24"/>
        </w:rPr>
      </w:pPr>
      <w:r w:rsidRPr="00B90A97">
        <w:rPr>
          <w:sz w:val="24"/>
          <w:szCs w:val="24"/>
        </w:rPr>
        <w:lastRenderedPageBreak/>
        <w:t xml:space="preserve">Welsh Government (2023) </w:t>
      </w:r>
      <w:r w:rsidRPr="00B90A97">
        <w:rPr>
          <w:i/>
          <w:iCs/>
          <w:sz w:val="24"/>
          <w:szCs w:val="24"/>
        </w:rPr>
        <w:t>Professional Standards for Further Education Teachers, Work Based Learning Practitioners and Adult Learning Practitioners in Wales</w:t>
      </w:r>
      <w:r w:rsidRPr="00B90A97">
        <w:rPr>
          <w:sz w:val="24"/>
          <w:szCs w:val="24"/>
        </w:rPr>
        <w:t>. Cardiff: Welsh Government.</w:t>
      </w:r>
    </w:p>
    <w:p w14:paraId="5ED3AC06" w14:textId="36DA7EC7" w:rsidR="004B33A7" w:rsidRPr="00B90A97" w:rsidRDefault="004B33A7" w:rsidP="00B90A97">
      <w:pPr>
        <w:spacing w:line="360" w:lineRule="auto"/>
        <w:rPr>
          <w:sz w:val="24"/>
          <w:szCs w:val="24"/>
        </w:rPr>
      </w:pPr>
    </w:p>
    <w:p w14:paraId="41075A74" w14:textId="77777777" w:rsidR="004B33A7" w:rsidRDefault="004B33A7" w:rsidP="004B33A7">
      <w:pPr>
        <w:rPr>
          <w:rFonts w:asciiTheme="minorBidi" w:hAnsiTheme="minorBidi"/>
          <w:sz w:val="24"/>
          <w:szCs w:val="24"/>
        </w:rPr>
      </w:pPr>
    </w:p>
    <w:p w14:paraId="3EAE3D8F" w14:textId="7752BA9F" w:rsidR="004B33A7" w:rsidRPr="004B33A7" w:rsidRDefault="004B33A7" w:rsidP="004B33A7">
      <w:pPr>
        <w:rPr>
          <w:rFonts w:asciiTheme="minorBidi" w:hAnsiTheme="minorBidi"/>
          <w:sz w:val="24"/>
          <w:szCs w:val="24"/>
        </w:rPr>
      </w:pPr>
      <w:r>
        <w:rPr>
          <w:rFonts w:asciiTheme="minorBidi" w:hAnsiTheme="minorBidi"/>
          <w:sz w:val="24"/>
          <w:szCs w:val="24"/>
        </w:rPr>
        <w:t xml:space="preserve"> </w:t>
      </w:r>
    </w:p>
    <w:sectPr w:rsidR="004B33A7" w:rsidRPr="004B33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A7"/>
    <w:rsid w:val="000B03AE"/>
    <w:rsid w:val="00103E43"/>
    <w:rsid w:val="001063A2"/>
    <w:rsid w:val="00184521"/>
    <w:rsid w:val="003509E8"/>
    <w:rsid w:val="0035572A"/>
    <w:rsid w:val="00360C66"/>
    <w:rsid w:val="00385B11"/>
    <w:rsid w:val="0044049C"/>
    <w:rsid w:val="004B33A7"/>
    <w:rsid w:val="004D782D"/>
    <w:rsid w:val="005306D0"/>
    <w:rsid w:val="005A270B"/>
    <w:rsid w:val="00703E2E"/>
    <w:rsid w:val="00761B63"/>
    <w:rsid w:val="00850EAF"/>
    <w:rsid w:val="00862B9F"/>
    <w:rsid w:val="008652D3"/>
    <w:rsid w:val="008D6914"/>
    <w:rsid w:val="0092544D"/>
    <w:rsid w:val="009A627D"/>
    <w:rsid w:val="00B82FF1"/>
    <w:rsid w:val="00B90A97"/>
    <w:rsid w:val="00BD079C"/>
    <w:rsid w:val="00D27F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3916"/>
  <w15:chartTrackingRefBased/>
  <w15:docId w15:val="{A133BC34-3EDE-4873-851B-1E7D7D67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3A7"/>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4B33A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4B33A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4B33A7"/>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B33A7"/>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4B33A7"/>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4B33A7"/>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4B33A7"/>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4B33A7"/>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4B33A7"/>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3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3A7"/>
    <w:rPr>
      <w:rFonts w:eastAsiaTheme="majorEastAsia" w:cstheme="majorBidi"/>
      <w:color w:val="272727" w:themeColor="text1" w:themeTint="D8"/>
    </w:rPr>
  </w:style>
  <w:style w:type="paragraph" w:styleId="Title">
    <w:name w:val="Title"/>
    <w:basedOn w:val="Normal"/>
    <w:next w:val="Normal"/>
    <w:link w:val="TitleChar"/>
    <w:uiPriority w:val="10"/>
    <w:qFormat/>
    <w:rsid w:val="004B33A7"/>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B3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3A7"/>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B3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A7"/>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4B33A7"/>
    <w:rPr>
      <w:i/>
      <w:iCs/>
      <w:color w:val="404040" w:themeColor="text1" w:themeTint="BF"/>
    </w:rPr>
  </w:style>
  <w:style w:type="paragraph" w:styleId="ListParagraph">
    <w:name w:val="List Paragraph"/>
    <w:basedOn w:val="Normal"/>
    <w:uiPriority w:val="34"/>
    <w:qFormat/>
    <w:rsid w:val="004B33A7"/>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4B33A7"/>
    <w:rPr>
      <w:i/>
      <w:iCs/>
      <w:color w:val="0F4761" w:themeColor="accent1" w:themeShade="BF"/>
    </w:rPr>
  </w:style>
  <w:style w:type="paragraph" w:styleId="IntenseQuote">
    <w:name w:val="Intense Quote"/>
    <w:basedOn w:val="Normal"/>
    <w:next w:val="Normal"/>
    <w:link w:val="IntenseQuoteChar"/>
    <w:uiPriority w:val="30"/>
    <w:qFormat/>
    <w:rsid w:val="004B33A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4B33A7"/>
    <w:rPr>
      <w:i/>
      <w:iCs/>
      <w:color w:val="0F4761" w:themeColor="accent1" w:themeShade="BF"/>
    </w:rPr>
  </w:style>
  <w:style w:type="character" w:styleId="IntenseReference">
    <w:name w:val="Intense Reference"/>
    <w:basedOn w:val="DefaultParagraphFont"/>
    <w:uiPriority w:val="32"/>
    <w:qFormat/>
    <w:rsid w:val="004B33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3452</Words>
  <Characters>19678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Sophie Bailey</cp:lastModifiedBy>
  <cp:revision>2</cp:revision>
  <dcterms:created xsi:type="dcterms:W3CDTF">2026-01-30T12:33:00Z</dcterms:created>
  <dcterms:modified xsi:type="dcterms:W3CDTF">2026-01-30T12:33:00Z</dcterms:modified>
</cp:coreProperties>
</file>