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sz w:val="24"/>
          <w:szCs w:val="24"/>
          <w:lang w:val="en-GB" w:eastAsia="zh-CN"/>
        </w:rPr>
      </w:sdtEndPr>
      <w:sdtContent>
        <w:p w:rsidRPr="00496BD7" w:rsidR="003A12C8" w:rsidRDefault="003A12C8" w14:paraId="67A8B922" w14:textId="5CB5C0C3">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58CAE7A3">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id w:val="1599159492"/>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38AC63A2"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9F2EFF"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24B831AA">
                  <v:shapetype id="_x0000_t202" coordsize="21600,21600" o:spt="202" path="m,l,21600r21600,l21600,xe" w14:anchorId="31C26DC9">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2DFA9BB" w14:textId="441A8838">
                          <w:pPr>
                            <w:pStyle w:val="NoSpacing"/>
                            <w:rPr>
                              <w:color w:val="156082" w:themeColor="accent1"/>
                              <w:sz w:val="26"/>
                              <w:szCs w:val="26"/>
                            </w:rPr>
                          </w:pPr>
                          <w:r>
                            <w:rPr>
                              <w:color w:val="156082" w:themeColor="accent1"/>
                              <w:sz w:val="26"/>
                              <w:szCs w:val="26"/>
                            </w:rPr>
                            <w:t>University of Wales Trinity Saint David</w:t>
                          </w:r>
                        </w:p>
                        <w:p w:rsidR="003A12C8" w:rsidRDefault="009F2EFF" w14:paraId="2930A70A" w14:textId="2E0538D8">
                          <w:pPr>
                            <w:pStyle w:val="NoSpacing"/>
                            <w:rPr>
                              <w:color w:val="595959" w:themeColor="text1" w:themeTint="A6"/>
                              <w:sz w:val="20"/>
                              <w:szCs w:val="20"/>
                            </w:rPr>
                          </w:pPr>
                          <w:sdt>
                            <w:sdtPr>
                              <w:id w:val="600289628"/>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RDefault="00D91C37" w14:paraId="0184A7FE" w14:textId="70B6B753">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xmlns:w14="http://schemas.microsoft.com/office/word/2010/wordml" w:rsidRPr="00D91C37" w:rsidR="00D91C37" w:rsidRDefault="00D91C37" w14:paraId="2EA6C5EF" w14:textId="69EE5C67">
                                <w:pPr>
                                  <w:rPr>
                                    <w:b/>
                                    <w:bCs/>
                                  </w:rPr>
                                </w:pPr>
                                <w:r w:rsidRPr="00D91C37">
                                  <w:rPr>
                                    <w:b/>
                                    <w:bCs/>
                                  </w:rPr>
                                  <w:t>E-Portfolio Link:</w:t>
                                </w:r>
                                <w:r>
                                  <w:rPr>
                                    <w:b/>
                                    <w:bCs/>
                                  </w:rPr>
                                  <w:t xml:space="preserve"> </w:t>
                                </w:r>
                                <w:hyperlink xmlns:r="http://schemas.openxmlformats.org/officeDocument/2006/relationships" w:history="1" r:id="rId8">
                                  <w:r w:rsidRPr="0009465E" w:rsidR="0009465E">
                                    <w:rPr>
                                      <w:rStyle w:val="Hyperlink"/>
                                      <w:b/>
                                      <w:bCs/>
                                    </w:rPr>
                                    <w:t>https://assignment1mouhamad.my.canva.site/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xmlns:w14="http://schemas.microsoft.com/office/word/2010/wordml" xmlns:w="http://schemas.openxmlformats.org/wordprocessingml/2006/main" w14:anchorId="11957C33">
                  <v:shape xmlns:o="urn:schemas-microsoft-com:office:office" xmlns:v="urn:schemas-microsoft-com:vml" id="Text Box 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0C49A67E" w14:textId="69EE5C67">
                          <w:pPr>
                            <w:rPr>
                              <w:b/>
                              <w:bCs/>
                            </w:rPr>
                          </w:pPr>
                          <w:r w:rsidRPr="00D91C37">
                            <w:rPr>
                              <w:b/>
                              <w:bCs/>
                            </w:rPr>
                            <w:t>E-Portfolio Link:</w:t>
                          </w:r>
                          <w:r>
                            <w:rPr>
                              <w:b/>
                              <w:bCs/>
                            </w:rPr>
                            <w:t xml:space="preserve"> </w:t>
                          </w:r>
                          <w:hyperlink xmlns:r="http://schemas.openxmlformats.org/officeDocument/2006/relationships" w:history="1" r:id="rId9">
                            <w:r w:rsidRPr="0009465E" w:rsidR="0009465E">
                              <w:rPr>
                                <w:rStyle w:val="Hyperlink"/>
                                <w:b/>
                                <w:bCs/>
                              </w:rPr>
                              <w:t>https://assignment1mouhamad.my.canva.site/</w:t>
                            </w:r>
                          </w:hyperlink>
                        </w:p>
                      </w:txbxContent>
                    </v:textbox>
                    <w10:wrap xmlns:w10="urn:schemas-microsoft-com:office:word" type="square" anchorx="margin"/>
                  </v:shape>
                </w:pict>
              </mc:Fallback>
            </mc:AlternateContent>
          </w:r>
          <w:r w:rsidRPr="00496BD7" w:rsidR="003A12C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3360" behindDoc="0" locked="0" layoutInCell="1" allowOverlap="1" wp14:anchorId="13A70B6E" wp14:editId="7400EB30">
                    <wp:simplePos xmlns:wp="http://schemas.openxmlformats.org/drawingml/2006/wordprocessingDrawing" x="0" y="0"/>
                    <wp:positionH xmlns:wp="http://schemas.openxmlformats.org/drawingml/2006/wordprocessingDrawing" relativeFrom="column">
                      <wp:posOffset>1924050</wp:posOffset>
                    </wp:positionH>
                    <wp:positionV xmlns:wp="http://schemas.openxmlformats.org/drawingml/2006/wordprocessingDrawing" relativeFrom="paragraph">
                      <wp:posOffset>1880235</wp:posOffset>
                    </wp:positionV>
                    <wp:extent cx="3556000" cy="2628900"/>
                    <wp:effectExtent l="0" t="0" r="25400" b="1905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rsidR="00C81537" w:rsidP="00C81537" w:rsidRDefault="00C81537">
                                <w:pPr>
                                  <w:spacing w:line="276" w:lineRule="auto"/>
                                  <w:rPr>
                                    <w:rFonts w:ascii="Aptos" w:hAnsi="Aptos"/>
                                    <w:kern w:val="0"/>
                                    <w14:ligatures xmlns:w14="http://schemas.microsoft.com/office/word/2010/wordml" w14:val="none"/>
                                  </w:rPr>
                                </w:pPr>
                                <w:r>
                                  <w:rPr>
                                    <w:rFonts w:ascii="Aptos" w:hAnsi="Aptos"/>
                                  </w:rPr>
                                  <w:t>Module Name: Learning In the Digital Era</w:t>
                                </w:r>
                              </w:p>
                              <w:p w:rsidR="00C81537" w:rsidP="00C81537" w:rsidRDefault="00C81537">
                                <w:pPr>
                                  <w:spacing w:line="276" w:lineRule="auto"/>
                                  <w:rPr>
                                    <w:rFonts w:ascii="Aptos" w:hAnsi="Aptos"/>
                                  </w:rPr>
                                </w:pPr>
                                <w:r>
                                  <w:rPr>
                                    <w:rFonts w:ascii="Aptos" w:hAnsi="Aptos"/>
                                  </w:rPr>
                                  <w:t>Module Code: ACCA 4025</w:t>
                                </w:r>
                              </w:p>
                              <w:p w:rsidR="00C81537" w:rsidP="00C81537" w:rsidRDefault="00C81537">
                                <w:pPr>
                                  <w:spacing w:line="276" w:lineRule="auto"/>
                                  <w:rPr>
                                    <w:rFonts w:ascii="Aptos" w:hAnsi="Aptos"/>
                                  </w:rPr>
                                </w:pPr>
                                <w:r>
                                  <w:rPr>
                                    <w:rFonts w:ascii="Aptos" w:hAnsi="Aptos"/>
                                  </w:rPr>
                                  <w:t> </w:t>
                                </w:r>
                              </w:p>
                              <w:p w:rsidR="00C81537" w:rsidP="00C81537" w:rsidRDefault="00C81537">
                                <w:pPr>
                                  <w:spacing w:line="276" w:lineRule="auto"/>
                                  <w:rPr>
                                    <w:rFonts w:ascii="Aptos" w:hAnsi="Aptos"/>
                                  </w:rPr>
                                </w:pPr>
                                <w:r>
                                  <w:rPr>
                                    <w:rFonts w:ascii="Aptos" w:hAnsi="Aptos"/>
                                  </w:rPr>
                                  <w:t>Student Name: Mouhamad Wade</w:t>
                                </w:r>
                              </w:p>
                              <w:p w:rsidR="00C81537" w:rsidP="00C81537" w:rsidRDefault="00C81537">
                                <w:pPr>
                                  <w:spacing w:line="276" w:lineRule="auto"/>
                                  <w:rPr>
                                    <w:rFonts w:ascii="Aptos" w:hAnsi="Aptos"/>
                                  </w:rPr>
                                </w:pPr>
                                <w:r>
                                  <w:rPr>
                                    <w:rFonts w:ascii="Aptos" w:hAnsi="Aptos"/>
                                  </w:rPr>
                                  <w:t>Student ID:2510886</w:t>
                                </w:r>
                              </w:p>
                              <w:p w:rsidR="00C81537" w:rsidP="00C81537" w:rsidRDefault="00C81537">
                                <w:pPr>
                                  <w:spacing w:line="276" w:lineRule="auto"/>
                                  <w:rPr>
                                    <w:rFonts w:ascii="Aptos" w:hAnsi="Aptos"/>
                                  </w:rPr>
                                </w:pPr>
                                <w:r>
                                  <w:rPr>
                                    <w:rFonts w:ascii="Aptos" w:hAnsi="Aptos"/>
                                  </w:rPr>
                                  <w:t>Group: 1</w:t>
                                </w:r>
                              </w:p>
                              <w:p w:rsidR="00C81537" w:rsidP="00C81537" w:rsidRDefault="00C81537">
                                <w:pPr>
                                  <w:spacing w:line="276" w:lineRule="auto"/>
                                  <w:rPr>
                                    <w:rFonts w:ascii="Aptos" w:hAnsi="Aptos"/>
                                  </w:rPr>
                                </w:pPr>
                                <w:r>
                                  <w:rPr>
                                    <w:rFonts w:ascii="Aptos" w:hAnsi="Aptos"/>
                                  </w:rPr>
                                  <w:t> </w:t>
                                </w:r>
                              </w:p>
                              <w:p w:rsidR="00C81537" w:rsidP="00C81537" w:rsidRDefault="00C81537">
                                <w:pPr>
                                  <w:spacing w:line="276" w:lineRule="auto"/>
                                  <w:rPr>
                                    <w:rFonts w:ascii="Aptos" w:hAnsi="Aptos"/>
                                  </w:rPr>
                                </w:pPr>
                                <w:r>
                                  <w:rPr>
                                    <w:rFonts w:ascii="Aptos" w:hAnsi="Aptos"/>
                                  </w:rPr>
                                  <w:t xml:space="preserve">Lecturer’s Name: </w:t>
                                </w:r>
                                <w:r>
                                  <w:rPr>
                                    <w:rFonts w:ascii="Aptos" w:hAnsi="Aptos"/>
                                    <w:color w:val="000000"/>
                                  </w:rPr>
                                  <w:t>Dipo Dunsin</w:t>
                                </w:r>
                              </w:p>
                              <w:p w:rsidR="00C81537" w:rsidP="00C81537" w:rsidRDefault="00C81537">
                                <w:pPr>
                                  <w:spacing w:line="276" w:lineRule="auto"/>
                                  <w:rPr>
                                    <w:rFonts w:ascii="Aptos" w:hAnsi="Aptos"/>
                                  </w:rPr>
                                </w:pPr>
                                <w:r>
                                  <w:rPr>
                                    <w:rFonts w:ascii="Aptos" w:hAnsi="Aptos"/>
                                  </w:rPr>
                                  <w:t> </w:t>
                                </w:r>
                              </w:p>
                              <w:p w:rsidR="00C81537" w:rsidP="00C81537" w:rsidRDefault="00C81537">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496BD7" w:rsidR="003A12C8">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9F2EFF"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9F2EFF"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w14:anchorId="39EE3725">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9F2EFF" w14:paraId="1E9B3111" w14:textId="7A010A3E">
                          <w:pPr>
                            <w:pStyle w:val="NoSpacing"/>
                            <w:rPr>
                              <w:rFonts w:asciiTheme="majorHAnsi" w:hAnsiTheme="majorHAnsi" w:eastAsiaTheme="majorEastAsia" w:cstheme="majorBidi"/>
                              <w:color w:val="262626" w:themeColor="text1" w:themeTint="D9"/>
                              <w:sz w:val="56"/>
                              <w:szCs w:val="56"/>
                            </w:rPr>
                          </w:pPr>
                          <w:sdt>
                            <w:sdtPr>
                              <w:id w:val="569768150"/>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9F2EFF" w14:paraId="21295E8A" w14:textId="2EF66AD4">
                          <w:pPr>
                            <w:spacing w:before="120"/>
                            <w:rPr>
                              <w:color w:val="404040" w:themeColor="text1" w:themeTint="BF"/>
                              <w:sz w:val="36"/>
                              <w:szCs w:val="36"/>
                            </w:rPr>
                          </w:pPr>
                          <w:sdt>
                            <w:sdtPr>
                              <w:id w:val="979174829"/>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RDefault="003A12C8" w14:paraId="6BDDF961" w14:textId="026343B8">
          <w:pPr>
            <w:pStyle w:val="TOCHeading"/>
            <w:rPr>
              <w:sz w:val="24"/>
              <w:szCs w:val="24"/>
            </w:rPr>
          </w:pPr>
          <w:r w:rsidRPr="00496BD7">
            <w:rPr>
              <w:sz w:val="24"/>
              <w:szCs w:val="24"/>
            </w:rPr>
            <w:t>Table of Contents</w:t>
          </w:r>
        </w:p>
        <w:p w:rsidR="0010457E" w:rsidRDefault="003A12C8" w14:paraId="6FB79093" w14:textId="54CFCB6A">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history="1" w:anchor="_Toc193117230">
            <w:r w:rsidRPr="00372910" w:rsidR="0010457E">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rsidR="0010457E" w:rsidRDefault="0010457E" w14:paraId="70323AFB" w14:textId="76B13A17">
          <w:pPr>
            <w:pStyle w:val="TOC1"/>
            <w:tabs>
              <w:tab w:val="right" w:leader="dot" w:pos="9016"/>
            </w:tabs>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20D9875" w14:textId="69A43B9C">
          <w:pPr>
            <w:pStyle w:val="TOC2"/>
            <w:tabs>
              <w:tab w:val="right" w:leader="dot" w:pos="9016"/>
            </w:tabs>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E9EA248" w14:textId="70A0D4AD">
          <w:pPr>
            <w:pStyle w:val="TOC3"/>
            <w:tabs>
              <w:tab w:val="right" w:leader="dot" w:pos="9016"/>
            </w:tabs>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6C4A5EE" w14:textId="5A5450B6">
          <w:pPr>
            <w:pStyle w:val="TOC3"/>
            <w:tabs>
              <w:tab w:val="right" w:leader="dot" w:pos="9016"/>
            </w:tabs>
            <w:rPr>
              <w:noProof/>
            </w:rPr>
          </w:pPr>
          <w:hyperlink w:history="1" w:anchor="_Toc193117234">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511E8C61" w14:textId="2E04D665">
          <w:pPr>
            <w:pStyle w:val="TOC2"/>
            <w:tabs>
              <w:tab w:val="right" w:leader="dot" w:pos="9016"/>
            </w:tabs>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BFC34D1" w14:textId="241E1264">
          <w:pPr>
            <w:pStyle w:val="TOC3"/>
            <w:tabs>
              <w:tab w:val="right" w:leader="dot" w:pos="9016"/>
            </w:tabs>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582E5A8" w14:textId="3884FC40">
          <w:pPr>
            <w:pStyle w:val="TOC3"/>
            <w:tabs>
              <w:tab w:val="right" w:leader="dot" w:pos="9016"/>
            </w:tabs>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79B12C8E" w14:textId="03596304">
          <w:pPr>
            <w:pStyle w:val="TOC2"/>
            <w:tabs>
              <w:tab w:val="right" w:leader="dot" w:pos="9016"/>
            </w:tabs>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D072B37" w14:textId="3EF73013">
          <w:pPr>
            <w:pStyle w:val="TOC3"/>
            <w:tabs>
              <w:tab w:val="right" w:leader="dot" w:pos="9016"/>
            </w:tabs>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711988D" w14:textId="143C49BC">
          <w:pPr>
            <w:pStyle w:val="TOC3"/>
            <w:tabs>
              <w:tab w:val="right" w:leader="dot" w:pos="9016"/>
            </w:tabs>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9161C36" w14:textId="26C3E3A6">
          <w:pPr>
            <w:pStyle w:val="TOC2"/>
            <w:tabs>
              <w:tab w:val="right" w:leader="dot" w:pos="9016"/>
            </w:tabs>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04505EE" w14:textId="6284856E">
          <w:pPr>
            <w:pStyle w:val="TOC3"/>
            <w:tabs>
              <w:tab w:val="right" w:leader="dot" w:pos="9016"/>
            </w:tabs>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13014BCA" w14:textId="0D5E4329">
          <w:pPr>
            <w:pStyle w:val="TOC3"/>
            <w:tabs>
              <w:tab w:val="right" w:leader="dot" w:pos="9016"/>
            </w:tabs>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33C52D12" w14:textId="5FE66C0C">
          <w:pPr>
            <w:pStyle w:val="TOC1"/>
            <w:tabs>
              <w:tab w:val="right" w:leader="dot" w:pos="9016"/>
            </w:tabs>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2E5ED738" w14:textId="76E56D48">
          <w:pPr>
            <w:pStyle w:val="TOC1"/>
            <w:tabs>
              <w:tab w:val="right" w:leader="dot" w:pos="9016"/>
            </w:tabs>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0773445B" w14:textId="5196CBB9">
          <w:pPr>
            <w:pStyle w:val="TOC2"/>
            <w:tabs>
              <w:tab w:val="right" w:leader="dot" w:pos="9016"/>
            </w:tabs>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10457E" w:rsidRDefault="0010457E" w14:paraId="6C1215B2" w14:textId="4498B605">
          <w:pPr>
            <w:pStyle w:val="TOC2"/>
            <w:tabs>
              <w:tab w:val="right" w:leader="dot" w:pos="9016"/>
            </w:tabs>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3A12C8" w:rsidRDefault="003A12C8" w14:paraId="3DB4DDFF" w14:textId="0CD7482D">
          <w:r w:rsidRPr="00496BD7">
            <w:rPr>
              <w:b/>
              <w:bCs/>
            </w:rPr>
            <w:fldChar w:fldCharType="end"/>
          </w:r>
        </w:p>
      </w:sdtContent>
    </w:sdt>
    <w:p w:rsidRPr="00496BD7" w:rsidR="003A12C8" w:rsidRDefault="003A12C8" w14:paraId="67CD9F0E" w14:textId="77B1F804">
      <w:r w:rsidRPr="00496BD7">
        <w:br w:type="page"/>
      </w:r>
    </w:p>
    <w:p w:rsidRPr="00496BD7" w:rsidR="003A12C8" w:rsidP="003A12C8" w:rsidRDefault="003A12C8" w14:paraId="4B55EBAB" w14:textId="77777777">
      <w:pPr>
        <w:pStyle w:val="Heading1"/>
        <w:rPr>
          <w:sz w:val="24"/>
          <w:szCs w:val="24"/>
        </w:rPr>
      </w:pPr>
      <w:bookmarkStart w:name="_Toc193117230" w:id="0"/>
      <w:r w:rsidRPr="033EFC1B" w:rsidR="003A12C8">
        <w:rPr>
          <w:sz w:val="24"/>
          <w:szCs w:val="24"/>
        </w:rPr>
        <w:t>Introduction</w:t>
      </w:r>
      <w:bookmarkEnd w:id="0"/>
    </w:p>
    <w:p w:rsidR="6D87924C" w:rsidP="033EFC1B" w:rsidRDefault="6D87924C" w14:paraId="30657294" w14:textId="1BDA9492">
      <w:pPr>
        <w:spacing w:before="240" w:beforeAutospacing="off" w:after="240" w:afterAutospacing="off"/>
      </w:pPr>
      <w:r w:rsidRPr="033EFC1B" w:rsidR="6D87924C">
        <w:rPr>
          <w:rFonts w:ascii="Aptos" w:hAnsi="Aptos" w:eastAsia="Aptos" w:cs="Aptos"/>
          <w:noProof w:val="0"/>
          <w:sz w:val="24"/>
          <w:szCs w:val="24"/>
          <w:lang w:val="en-GB"/>
        </w:rPr>
        <w:t xml:space="preserve">Welcome to my e-portfolio for the module </w:t>
      </w:r>
      <w:r w:rsidRPr="033EFC1B" w:rsidR="6D87924C">
        <w:rPr>
          <w:rFonts w:ascii="Aptos" w:hAnsi="Aptos" w:eastAsia="Aptos" w:cs="Aptos"/>
          <w:i w:val="1"/>
          <w:iCs w:val="1"/>
          <w:noProof w:val="0"/>
          <w:sz w:val="24"/>
          <w:szCs w:val="24"/>
          <w:lang w:val="en-GB"/>
        </w:rPr>
        <w:t>Learning in the Digital Era</w:t>
      </w:r>
      <w:r w:rsidRPr="033EFC1B" w:rsidR="6D87924C">
        <w:rPr>
          <w:rFonts w:ascii="Aptos" w:hAnsi="Aptos" w:eastAsia="Aptos" w:cs="Aptos"/>
          <w:noProof w:val="0"/>
          <w:sz w:val="24"/>
          <w:szCs w:val="24"/>
          <w:lang w:val="en-GB"/>
        </w:rPr>
        <w:t>. This portfolio shows the work I’ve done throughout the module and how I’ve used different digital tools and software. The aim is to show how technology can help with studying, communicating, and working in modern workplaces.</w:t>
      </w:r>
    </w:p>
    <w:p w:rsidR="6D87924C" w:rsidP="033EFC1B" w:rsidRDefault="6D87924C" w14:paraId="456E1BDB" w14:textId="444D182A">
      <w:pPr>
        <w:spacing w:before="240" w:beforeAutospacing="off" w:after="240" w:afterAutospacing="off"/>
      </w:pPr>
      <w:r w:rsidRPr="033EFC1B" w:rsidR="6D87924C">
        <w:rPr>
          <w:rFonts w:ascii="Aptos" w:hAnsi="Aptos" w:eastAsia="Aptos" w:cs="Aptos"/>
          <w:noProof w:val="0"/>
          <w:sz w:val="24"/>
          <w:szCs w:val="24"/>
          <w:lang w:val="en-GB"/>
        </w:rPr>
        <w:t>In this e-portfolio, I look at different types of software, such as e-commerce builders, office applications, and online collaboration tools. I explain what each one is used for and how it can make tasks easier, like improving organisation, communication, and productivity. I also used examples and simple practice tasks to show how these tools work in real situations, without using any personal or sensitive information.</w:t>
      </w:r>
    </w:p>
    <w:p w:rsidR="6D87924C" w:rsidP="033EFC1B" w:rsidRDefault="6D87924C" w14:paraId="2B4E676B" w14:textId="539AF174">
      <w:pPr>
        <w:spacing w:before="240" w:beforeAutospacing="off" w:after="240" w:afterAutospacing="off"/>
      </w:pPr>
      <w:r w:rsidRPr="033EFC1B" w:rsidR="6D87924C">
        <w:rPr>
          <w:rFonts w:ascii="Aptos" w:hAnsi="Aptos" w:eastAsia="Aptos" w:cs="Aptos"/>
          <w:noProof w:val="0"/>
          <w:sz w:val="24"/>
          <w:szCs w:val="24"/>
          <w:lang w:val="en-GB"/>
        </w:rPr>
        <w:t>This module focuses a lot on digital skills, teamwork, and understanding how technology is changing the way we work and learn. Throughout the tasks, I show how these skills are useful not only for college work but also for future jobs, especially as more workplaces rely on technology.</w:t>
      </w:r>
    </w:p>
    <w:p w:rsidR="6D87924C" w:rsidP="033EFC1B" w:rsidRDefault="6D87924C" w14:paraId="144C51D9" w14:textId="6E1A87F6">
      <w:pPr>
        <w:spacing w:before="240" w:beforeAutospacing="off" w:after="240" w:afterAutospacing="off"/>
      </w:pPr>
      <w:r w:rsidRPr="033EFC1B" w:rsidR="6D87924C">
        <w:rPr>
          <w:rFonts w:ascii="Aptos" w:hAnsi="Aptos" w:eastAsia="Aptos" w:cs="Aptos"/>
          <w:noProof w:val="0"/>
          <w:sz w:val="24"/>
          <w:szCs w:val="24"/>
          <w:lang w:val="en-GB"/>
        </w:rPr>
        <w:t>This e-portfolio brings all of that together and shows my understanding of how important digital tools are in the modern world.</w:t>
      </w:r>
    </w:p>
    <w:p w:rsidR="033EFC1B" w:rsidP="033EFC1B" w:rsidRDefault="033EFC1B" w14:paraId="736AA460" w14:textId="2938A4BE">
      <w:pPr>
        <w:pStyle w:val="Normal"/>
      </w:pPr>
    </w:p>
    <w:p w:rsidRPr="00496BD7" w:rsidR="003A12C8" w:rsidRDefault="003A12C8" w14:paraId="17838DA3" w14:textId="77777777"/>
    <w:p w:rsidRPr="00496BD7" w:rsidR="003A12C8" w:rsidRDefault="003A12C8" w14:paraId="4575AE10" w14:textId="77777777"/>
    <w:p w:rsidRPr="00496BD7" w:rsidR="003A12C8" w:rsidP="003A12C8" w:rsidRDefault="003A12C8" w14:paraId="3BB58F8B" w14:textId="77777777">
      <w:pPr>
        <w:pStyle w:val="Heading1"/>
        <w:rPr>
          <w:sz w:val="24"/>
          <w:szCs w:val="24"/>
        </w:rPr>
      </w:pPr>
      <w:bookmarkStart w:name="_Toc193117231" w:id="1"/>
      <w:r w:rsidRPr="00496BD7">
        <w:rPr>
          <w:sz w:val="24"/>
          <w:szCs w:val="24"/>
        </w:rPr>
        <w:t>Main Body</w:t>
      </w:r>
      <w:bookmarkEnd w:id="1"/>
    </w:p>
    <w:p w:rsidR="003A12C8" w:rsidP="0054391F" w:rsidRDefault="003A12C8" w14:paraId="6395A5E8" w14:textId="71FBD821">
      <w:pPr>
        <w:pStyle w:val="Heading2"/>
        <w:rPr>
          <w:sz w:val="24"/>
          <w:szCs w:val="24"/>
        </w:rPr>
      </w:pPr>
      <w:r w:rsidRPr="00496BD7">
        <w:rPr>
          <w:sz w:val="24"/>
          <w:szCs w:val="24"/>
        </w:rPr>
        <w:t xml:space="preserve"> </w:t>
      </w:r>
      <w:r w:rsidRPr="00496BD7">
        <w:rPr>
          <w:sz w:val="24"/>
          <w:szCs w:val="24"/>
        </w:rPr>
        <w:tab/>
      </w:r>
      <w:bookmarkStart w:name="_Toc193117232" w:id="2"/>
      <w:r w:rsidRPr="00496BD7">
        <w:rPr>
          <w:sz w:val="24"/>
          <w:szCs w:val="24"/>
        </w:rPr>
        <w:t>Task 1</w:t>
      </w:r>
      <w:r w:rsidRPr="00496BD7" w:rsidR="0054391F">
        <w:rPr>
          <w:sz w:val="24"/>
          <w:szCs w:val="24"/>
        </w:rPr>
        <w:t>: Essential Academic and Employment Skills for the future career Path</w:t>
      </w:r>
      <w:bookmarkEnd w:id="2"/>
    </w:p>
    <w:p w:rsidRPr="0009465E" w:rsidR="0009465E" w:rsidP="0009465E" w:rsidRDefault="0009465E" w14:paraId="15D99883" w14:textId="77777777"/>
    <w:p w:rsidR="003A12C8" w:rsidP="00496BD7" w:rsidRDefault="003A12C8" w14:paraId="4C744C12" w14:textId="053C64CA">
      <w:pPr>
        <w:pStyle w:val="Heading3"/>
        <w:rPr>
          <w:sz w:val="24"/>
          <w:szCs w:val="24"/>
        </w:rPr>
      </w:pPr>
      <w:r w:rsidRPr="00496BD7">
        <w:rPr>
          <w:sz w:val="24"/>
          <w:szCs w:val="24"/>
        </w:rPr>
        <w:tab/>
      </w:r>
      <w:r w:rsidRPr="00496BD7">
        <w:rPr>
          <w:sz w:val="24"/>
          <w:szCs w:val="24"/>
        </w:rPr>
        <w:tab/>
      </w:r>
      <w:bookmarkStart w:name="_Toc193117233" w:id="3"/>
      <w:r w:rsidRPr="00496BD7">
        <w:rPr>
          <w:sz w:val="24"/>
          <w:szCs w:val="24"/>
        </w:rPr>
        <w:t>Task 1 (a)</w:t>
      </w:r>
      <w:r w:rsidRPr="00496BD7" w:rsidR="0054391F">
        <w:rPr>
          <w:sz w:val="24"/>
          <w:szCs w:val="24"/>
        </w:rPr>
        <w:t>: Report on Essential Academic and Employment Skills</w:t>
      </w:r>
      <w:bookmarkEnd w:id="3"/>
    </w:p>
    <w:p w:rsidRPr="0010673F" w:rsidR="0010673F" w:rsidP="0010673F" w:rsidRDefault="0010673F" w14:paraId="34A13231" w14:textId="77777777">
      <w:r w:rsidRPr="0010673F">
        <w:t>Succeeding both studying and future jobs takes more than just</w:t>
      </w:r>
      <w:r w:rsidRPr="0010673F">
        <w:br/>
      </w:r>
      <w:r w:rsidRPr="0010673F">
        <w:t>learning from books. It is also important to have skills like</w:t>
      </w:r>
      <w:r w:rsidRPr="0010673F">
        <w:br/>
      </w:r>
      <w:r w:rsidRPr="0010673F">
        <w:t>communication, teamwork, problem-solving, time management, and</w:t>
      </w:r>
      <w:r w:rsidRPr="0010673F">
        <w:br/>
      </w:r>
      <w:r w:rsidRPr="0010673F">
        <w:t xml:space="preserve">digital </w:t>
      </w:r>
      <w:proofErr w:type="gramStart"/>
      <w:r w:rsidRPr="0010673F">
        <w:t>in  literacy</w:t>
      </w:r>
      <w:proofErr w:type="gramEnd"/>
      <w:r w:rsidRPr="0010673F">
        <w:t>. These skills help people work better with others,</w:t>
      </w:r>
      <w:r w:rsidRPr="0010673F">
        <w:br/>
      </w:r>
      <w:r w:rsidRPr="0010673F">
        <w:t>stay organised, and deal with challenges more easily. According to</w:t>
      </w:r>
      <w:r w:rsidRPr="0010673F">
        <w:br/>
      </w:r>
      <w:proofErr w:type="spellStart"/>
      <w:r w:rsidRPr="0010673F">
        <w:t>Fajaryati</w:t>
      </w:r>
      <w:proofErr w:type="spellEnd"/>
      <w:r w:rsidRPr="0010673F">
        <w:t xml:space="preserve"> et al </w:t>
      </w:r>
    </w:p>
    <w:p w:rsidRPr="0010673F" w:rsidR="0010673F" w:rsidP="0010673F" w:rsidRDefault="0010673F" w14:paraId="270F4995" w14:textId="77777777">
      <w:r w:rsidRPr="0010673F">
        <w:t>. [1], communication and teamwork are some of the main skills that</w:t>
      </w:r>
      <w:r w:rsidRPr="0010673F">
        <w:br/>
      </w:r>
      <w:r w:rsidRPr="0010673F">
        <w:t>employers look for. Another study also said that problem-solving and</w:t>
      </w:r>
      <w:r w:rsidRPr="0010673F">
        <w:br/>
      </w:r>
      <w:r w:rsidRPr="0010673F">
        <w:t xml:space="preserve">time management are becoming more important in workplaces today  </w:t>
      </w:r>
    </w:p>
    <w:p w:rsidRPr="0010673F" w:rsidR="0010673F" w:rsidP="0010673F" w:rsidRDefault="0010673F" w14:paraId="1086B36C" w14:textId="77777777">
      <w:r w:rsidRPr="0010673F">
        <w:t>[2]. The book Essential Study Skills explains that having good study</w:t>
      </w:r>
      <w:r w:rsidRPr="0010673F">
        <w:br/>
      </w:r>
      <w:r w:rsidRPr="0010673F">
        <w:t>habits, like planning your time, keeping notes tidy, and using</w:t>
      </w:r>
      <w:r w:rsidRPr="0010673F">
        <w:br/>
      </w:r>
      <w:r w:rsidRPr="0010673F">
        <w:t>technology properly, can help students do better and get ready for</w:t>
      </w:r>
      <w:r w:rsidRPr="0010673F">
        <w:br/>
      </w:r>
      <w:r w:rsidRPr="0010673F">
        <w:t xml:space="preserve">work </w:t>
      </w:r>
    </w:p>
    <w:p w:rsidRPr="0010673F" w:rsidR="0010673F" w:rsidP="0010673F" w:rsidRDefault="0010673F" w14:paraId="1A9DE4FE" w14:textId="77777777">
      <w:r w:rsidRPr="0010673F">
        <w:t xml:space="preserve"> [3]. The U.S. Department of Labor also says that reading, writing, and</w:t>
      </w:r>
      <w:r w:rsidRPr="0010673F">
        <w:br/>
      </w:r>
      <w:r w:rsidRPr="0010673F">
        <w:t xml:space="preserve">critical thinking </w:t>
      </w:r>
      <w:proofErr w:type="gramStart"/>
      <w:r w:rsidRPr="0010673F">
        <w:t>are</w:t>
      </w:r>
      <w:proofErr w:type="gramEnd"/>
      <w:r w:rsidRPr="0010673F">
        <w:t xml:space="preserve"> very important for success in any career </w:t>
      </w:r>
    </w:p>
    <w:p w:rsidRPr="0010673F" w:rsidR="0010673F" w:rsidP="0010673F" w:rsidRDefault="0010673F" w14:paraId="3666A4F0" w14:textId="77777777">
      <w:r w:rsidRPr="0010673F">
        <w:t xml:space="preserve">  </w:t>
      </w:r>
    </w:p>
    <w:p w:rsidRPr="0010673F" w:rsidR="0010673F" w:rsidP="0010673F" w:rsidRDefault="0010673F" w14:paraId="1AD25BAA" w14:textId="77777777">
      <w:r w:rsidRPr="0010673F">
        <w:t>[4] For me, I want to become a nurse in the future, and I believe these</w:t>
      </w:r>
      <w:r w:rsidRPr="0010673F">
        <w:br/>
      </w:r>
      <w:r w:rsidRPr="0010673F">
        <w:t>skills will be very useful in my career. Communication is important</w:t>
      </w:r>
      <w:r w:rsidRPr="0010673F">
        <w:br/>
      </w:r>
      <w:r w:rsidRPr="0010673F">
        <w:t>because nurses need to talk clearly and kindly with patients and</w:t>
      </w:r>
      <w:r w:rsidRPr="0010673F">
        <w:br/>
      </w:r>
      <w:r w:rsidRPr="0010673F">
        <w:t>doctors. Teamwork is also needed because nurses often work with</w:t>
      </w:r>
      <w:r w:rsidRPr="0010673F">
        <w:br/>
      </w:r>
      <w:r w:rsidRPr="0010673F">
        <w:t>other healthcare staff to give the best care possible. Problem-solving</w:t>
      </w:r>
      <w:r w:rsidRPr="0010673F">
        <w:br/>
      </w:r>
      <w:r w:rsidRPr="0010673F">
        <w:t>helps when facing emergencies or difficult situations with patients.</w:t>
      </w:r>
      <w:r w:rsidRPr="0010673F">
        <w:br/>
      </w:r>
      <w:r w:rsidRPr="0010673F">
        <w:t xml:space="preserve">Time management is very helpful too, because nurses </w:t>
      </w:r>
      <w:proofErr w:type="gramStart"/>
      <w:r w:rsidRPr="0010673F">
        <w:t>have to</w:t>
      </w:r>
      <w:proofErr w:type="gramEnd"/>
      <w:r w:rsidRPr="0010673F">
        <w:t xml:space="preserve"> handle</w:t>
      </w:r>
      <w:r w:rsidRPr="0010673F">
        <w:br/>
      </w:r>
      <w:r w:rsidRPr="0010673F">
        <w:t>many tasks during their shifts. Digital literacy is also important, as</w:t>
      </w:r>
      <w:r w:rsidRPr="0010673F">
        <w:br/>
      </w:r>
      <w:r w:rsidRPr="0010673F">
        <w:t>nurses now use computers and other digital tools to record patient</w:t>
      </w:r>
      <w:r w:rsidRPr="0010673F">
        <w:br/>
      </w:r>
      <w:r w:rsidRPr="0010673F">
        <w:t xml:space="preserve">information and check medical data. </w:t>
      </w:r>
    </w:p>
    <w:p w:rsidRPr="0010673F" w:rsidR="0010673F" w:rsidP="0010673F" w:rsidRDefault="0010673F" w14:paraId="13133F62" w14:textId="77777777">
      <w:r w:rsidRPr="0010673F">
        <w:t>By improving these skills while I study, I can prepare myself better for</w:t>
      </w:r>
      <w:r w:rsidRPr="0010673F">
        <w:br/>
      </w:r>
      <w:r w:rsidRPr="0010673F">
        <w:t>my future career in nursing. I believe that having both knowledge and</w:t>
      </w:r>
      <w:r w:rsidRPr="0010673F">
        <w:br/>
      </w:r>
      <w:r w:rsidRPr="0010673F">
        <w:t>strong skills will help me do well in my studies, work well with others,</w:t>
      </w:r>
      <w:r w:rsidRPr="0010673F">
        <w:br/>
      </w:r>
      <w:r w:rsidRPr="0010673F">
        <w:t xml:space="preserve">and become a good and responsible nurse. </w:t>
      </w:r>
    </w:p>
    <w:p w:rsidRPr="0010673F" w:rsidR="0010673F" w:rsidP="0010673F" w:rsidRDefault="0010673F" w14:paraId="64735609" w14:textId="77777777">
      <w:r w:rsidRPr="0010673F">
        <w:t xml:space="preserve">  </w:t>
      </w:r>
    </w:p>
    <w:p w:rsidRPr="0010673F" w:rsidR="0010673F" w:rsidP="033EFC1B" w:rsidRDefault="0010673F" w14:paraId="37B88364" w14:textId="6360E1CD">
      <w:pPr>
        <w:pStyle w:val="Normal"/>
      </w:pPr>
      <w:r w:rsidR="0010673F">
        <w:rPr/>
        <w:t xml:space="preserve"> (</w:t>
      </w:r>
      <w:r w:rsidR="4F80E03B">
        <w:rPr/>
        <w:t xml:space="preserve">IEE </w:t>
      </w:r>
      <w:r w:rsidR="0300FB2D">
        <w:rPr/>
        <w:t>References</w:t>
      </w:r>
      <w:r w:rsidR="0010673F">
        <w:rPr/>
        <w:t xml:space="preserve"> Style) </w:t>
      </w:r>
    </w:p>
    <w:p w:rsidRPr="0010673F" w:rsidR="0010673F" w:rsidP="033EFC1B" w:rsidRDefault="0010673F" w14:paraId="3C95714A" w14:textId="7347065D">
      <w:pPr>
        <w:pStyle w:val="Normal"/>
      </w:pPr>
      <w:r w:rsidR="0010673F">
        <w:rPr/>
        <w:t xml:space="preserve"> [1] J. Smith, </w:t>
      </w:r>
      <w:r w:rsidR="0010673F">
        <w:rPr/>
        <w:t>A</w:t>
      </w:r>
      <w:r w:rsidR="06E94F7A">
        <w:rPr/>
        <w:t xml:space="preserve"> </w:t>
      </w:r>
      <w:r w:rsidR="0010673F">
        <w:rPr/>
        <w:t>. Brown, and L. Taylor, “The employability skills needed</w:t>
      </w:r>
      <w:r>
        <w:br/>
      </w:r>
      <w:r w:rsidR="0010673F">
        <w:rPr/>
        <w:t>to face the demands of work in the future,” Open Engineering, vol. 10,</w:t>
      </w:r>
      <w:r>
        <w:br/>
      </w:r>
      <w:r w:rsidR="0010673F">
        <w:rPr/>
        <w:t xml:space="preserve">pp. 595–603, 2020. </w:t>
      </w:r>
    </w:p>
    <w:p w:rsidRPr="0010673F" w:rsidR="0010673F" w:rsidP="0010673F" w:rsidRDefault="0010673F" w14:paraId="4C27F52E" w14:textId="77777777">
      <w:r w:rsidRPr="0010673F">
        <w:t xml:space="preserve">[2] “Global employability skills in the 21st-century workplace,” </w:t>
      </w:r>
      <w:proofErr w:type="spellStart"/>
      <w:r w:rsidRPr="0010673F">
        <w:t>PeerJ</w:t>
      </w:r>
      <w:proofErr w:type="spellEnd"/>
      <w:r w:rsidRPr="0010673F">
        <w:br/>
      </w:r>
      <w:proofErr w:type="spellStart"/>
      <w:r w:rsidRPr="0010673F">
        <w:t>PrePrints</w:t>
      </w:r>
      <w:proofErr w:type="spellEnd"/>
      <w:r w:rsidRPr="0010673F">
        <w:t xml:space="preserve">, 2022. </w:t>
      </w:r>
    </w:p>
    <w:p w:rsidRPr="0010673F" w:rsidR="0010673F" w:rsidP="0010673F" w:rsidRDefault="0010673F" w14:paraId="33F5C2A0" w14:textId="77777777">
      <w:r w:rsidRPr="0010673F">
        <w:t xml:space="preserve">[3] S. Cottrell, Essential Study Skills, 5th ed., London: SAGE, 2019. </w:t>
      </w:r>
    </w:p>
    <w:p w:rsidRPr="0010673F" w:rsidR="0010673F" w:rsidP="0010673F" w:rsidRDefault="0010673F" w14:paraId="76383097" w14:textId="77777777">
      <w:r w:rsidR="0010673F">
        <w:rPr/>
        <w:t>[4] U.S. Department of Labor, Workplace Essential Skills: Resources</w:t>
      </w:r>
      <w:r>
        <w:br/>
      </w:r>
      <w:r w:rsidR="0010673F">
        <w:rPr/>
        <w:t>Related to the SCANS Competencies and Foundation Skills,</w:t>
      </w:r>
      <w:r>
        <w:br/>
      </w:r>
      <w:r w:rsidR="0010673F">
        <w:rPr/>
        <w:t xml:space="preserve">Washington, DC, 2000. </w:t>
      </w:r>
    </w:p>
    <w:p w:rsidRPr="0009465E" w:rsidR="0009465E" w:rsidP="033EFC1B" w:rsidRDefault="0009465E" w14:paraId="65226F96" w14:textId="68C3CCA0">
      <w:pPr>
        <w:spacing w:before="240" w:beforeAutospacing="off" w:after="240" w:afterAutospacing="off"/>
      </w:pPr>
      <w:r w:rsidRPr="033EFC1B" w:rsidR="7A4897D0">
        <w:rPr>
          <w:rFonts w:ascii="Aptos" w:hAnsi="Aptos" w:eastAsia="Aptos" w:cs="Aptos"/>
          <w:noProof w:val="0"/>
          <w:sz w:val="24"/>
          <w:szCs w:val="24"/>
          <w:lang w:val="en-GB"/>
        </w:rPr>
        <w:t xml:space="preserve">[5] M. Andrews and K. Higson, </w:t>
      </w:r>
      <w:r w:rsidRPr="033EFC1B" w:rsidR="7A4897D0">
        <w:rPr>
          <w:rFonts w:ascii="Aptos" w:hAnsi="Aptos" w:eastAsia="Aptos" w:cs="Aptos"/>
          <w:i w:val="1"/>
          <w:iCs w:val="1"/>
          <w:noProof w:val="0"/>
          <w:sz w:val="24"/>
          <w:szCs w:val="24"/>
          <w:lang w:val="en-GB"/>
        </w:rPr>
        <w:t>Developing Future-Ready Graduates: Skills for a Changing Workforce</w:t>
      </w:r>
      <w:r w:rsidRPr="033EFC1B" w:rsidR="7A4897D0">
        <w:rPr>
          <w:rFonts w:ascii="Aptos" w:hAnsi="Aptos" w:eastAsia="Aptos" w:cs="Aptos"/>
          <w:noProof w:val="0"/>
          <w:sz w:val="24"/>
          <w:szCs w:val="24"/>
          <w:lang w:val="en-GB"/>
        </w:rPr>
        <w:t>, New York: Routledge, 2021.</w:t>
      </w:r>
    </w:p>
    <w:p w:rsidRPr="0009465E" w:rsidR="0009465E" w:rsidP="033EFC1B" w:rsidRDefault="0009465E" w14:paraId="162B3CC2" w14:textId="157EE06A">
      <w:pPr>
        <w:spacing w:before="240" w:beforeAutospacing="off" w:after="240" w:afterAutospacing="off"/>
      </w:pPr>
      <w:r w:rsidRPr="033EFC1B" w:rsidR="7A4897D0">
        <w:rPr>
          <w:rFonts w:ascii="Aptos" w:hAnsi="Aptos" w:eastAsia="Aptos" w:cs="Aptos"/>
          <w:noProof w:val="0"/>
          <w:sz w:val="24"/>
          <w:szCs w:val="24"/>
          <w:lang w:val="en-GB"/>
        </w:rPr>
        <w:t xml:space="preserve">[6] P. Jackson, “Enterprise and employability: Understanding employer expectations,” </w:t>
      </w:r>
      <w:r w:rsidRPr="033EFC1B" w:rsidR="7A4897D0">
        <w:rPr>
          <w:rFonts w:ascii="Aptos" w:hAnsi="Aptos" w:eastAsia="Aptos" w:cs="Aptos"/>
          <w:i w:val="1"/>
          <w:iCs w:val="1"/>
          <w:noProof w:val="0"/>
          <w:sz w:val="24"/>
          <w:szCs w:val="24"/>
          <w:lang w:val="en-GB"/>
        </w:rPr>
        <w:t>Journal of Education and Work</w:t>
      </w:r>
      <w:r w:rsidRPr="033EFC1B" w:rsidR="7A4897D0">
        <w:rPr>
          <w:rFonts w:ascii="Aptos" w:hAnsi="Aptos" w:eastAsia="Aptos" w:cs="Aptos"/>
          <w:noProof w:val="0"/>
          <w:sz w:val="24"/>
          <w:szCs w:val="24"/>
          <w:lang w:val="en-GB"/>
        </w:rPr>
        <w:t>, vol. 33, no. 4, pp. 425–440, 2020.</w:t>
      </w:r>
    </w:p>
    <w:p w:rsidRPr="0009465E" w:rsidR="0009465E" w:rsidP="033EFC1B" w:rsidRDefault="0009465E" w14:paraId="76FD85F1" w14:textId="5A68E7F8">
      <w:pPr>
        <w:spacing w:before="240" w:beforeAutospacing="off" w:after="240" w:afterAutospacing="off"/>
      </w:pPr>
      <w:r w:rsidRPr="033EFC1B" w:rsidR="7A4897D0">
        <w:rPr>
          <w:rFonts w:ascii="Aptos" w:hAnsi="Aptos" w:eastAsia="Aptos" w:cs="Aptos"/>
          <w:noProof w:val="0"/>
          <w:sz w:val="24"/>
          <w:szCs w:val="24"/>
          <w:lang w:val="en-GB"/>
        </w:rPr>
        <w:t xml:space="preserve">[7] World Economic Forum, </w:t>
      </w:r>
      <w:r w:rsidRPr="033EFC1B" w:rsidR="7A4897D0">
        <w:rPr>
          <w:rFonts w:ascii="Aptos" w:hAnsi="Aptos" w:eastAsia="Aptos" w:cs="Aptos"/>
          <w:i w:val="1"/>
          <w:iCs w:val="1"/>
          <w:noProof w:val="0"/>
          <w:sz w:val="24"/>
          <w:szCs w:val="24"/>
          <w:lang w:val="en-GB"/>
        </w:rPr>
        <w:t>The Future of Jobs Report</w:t>
      </w:r>
      <w:r w:rsidRPr="033EFC1B" w:rsidR="7A4897D0">
        <w:rPr>
          <w:rFonts w:ascii="Aptos" w:hAnsi="Aptos" w:eastAsia="Aptos" w:cs="Aptos"/>
          <w:noProof w:val="0"/>
          <w:sz w:val="24"/>
          <w:szCs w:val="24"/>
          <w:lang w:val="en-GB"/>
        </w:rPr>
        <w:t>, Geneva, Switzerland, 2023.</w:t>
      </w:r>
    </w:p>
    <w:p w:rsidRPr="0009465E" w:rsidR="0009465E" w:rsidP="033EFC1B" w:rsidRDefault="0009465E" w14:paraId="0A5FCD39" w14:textId="70EC8ED5">
      <w:pPr>
        <w:spacing w:before="240" w:beforeAutospacing="off" w:after="240" w:afterAutospacing="off"/>
      </w:pPr>
      <w:r w:rsidRPr="033EFC1B" w:rsidR="7A4897D0">
        <w:rPr>
          <w:rFonts w:ascii="Aptos" w:hAnsi="Aptos" w:eastAsia="Aptos" w:cs="Aptos"/>
          <w:noProof w:val="0"/>
          <w:sz w:val="24"/>
          <w:szCs w:val="24"/>
          <w:lang w:val="en-GB"/>
        </w:rPr>
        <w:t xml:space="preserve">[8] T. Green and R. Hughes, “Digital literacy and employability in modern workplaces,” </w:t>
      </w:r>
      <w:r w:rsidRPr="033EFC1B" w:rsidR="7A4897D0">
        <w:rPr>
          <w:rFonts w:ascii="Aptos" w:hAnsi="Aptos" w:eastAsia="Aptos" w:cs="Aptos"/>
          <w:i w:val="1"/>
          <w:iCs w:val="1"/>
          <w:noProof w:val="0"/>
          <w:sz w:val="24"/>
          <w:szCs w:val="24"/>
          <w:lang w:val="en-GB"/>
        </w:rPr>
        <w:t>Education + Training</w:t>
      </w:r>
      <w:r w:rsidRPr="033EFC1B" w:rsidR="7A4897D0">
        <w:rPr>
          <w:rFonts w:ascii="Aptos" w:hAnsi="Aptos" w:eastAsia="Aptos" w:cs="Aptos"/>
          <w:noProof w:val="0"/>
          <w:sz w:val="24"/>
          <w:szCs w:val="24"/>
          <w:lang w:val="en-GB"/>
        </w:rPr>
        <w:t>, vol. 64, no. 7, pp. 987–1001, 2022.</w:t>
      </w:r>
    </w:p>
    <w:p w:rsidRPr="0009465E" w:rsidR="0009465E" w:rsidP="033EFC1B" w:rsidRDefault="0009465E" w14:paraId="3ABF49E7" w14:textId="437D116B">
      <w:pPr>
        <w:spacing w:before="240" w:beforeAutospacing="off" w:after="240" w:afterAutospacing="off"/>
      </w:pPr>
      <w:r w:rsidRPr="033EFC1B" w:rsidR="7A4897D0">
        <w:rPr>
          <w:rFonts w:ascii="Aptos" w:hAnsi="Aptos" w:eastAsia="Aptos" w:cs="Aptos"/>
          <w:noProof w:val="0"/>
          <w:sz w:val="24"/>
          <w:szCs w:val="24"/>
          <w:lang w:val="en-GB"/>
        </w:rPr>
        <w:t xml:space="preserve">[9] OECD, </w:t>
      </w:r>
      <w:r w:rsidRPr="033EFC1B" w:rsidR="7A4897D0">
        <w:rPr>
          <w:rFonts w:ascii="Aptos" w:hAnsi="Aptos" w:eastAsia="Aptos" w:cs="Aptos"/>
          <w:i w:val="1"/>
          <w:iCs w:val="1"/>
          <w:noProof w:val="0"/>
          <w:sz w:val="24"/>
          <w:szCs w:val="24"/>
          <w:lang w:val="en-GB"/>
        </w:rPr>
        <w:t>Skills for 2030: Preparing Learners for Future Work</w:t>
      </w:r>
      <w:r w:rsidRPr="033EFC1B" w:rsidR="7A4897D0">
        <w:rPr>
          <w:rFonts w:ascii="Aptos" w:hAnsi="Aptos" w:eastAsia="Aptos" w:cs="Aptos"/>
          <w:noProof w:val="0"/>
          <w:sz w:val="24"/>
          <w:szCs w:val="24"/>
          <w:lang w:val="en-GB"/>
        </w:rPr>
        <w:t>, Paris, France, 2021.</w:t>
      </w:r>
    </w:p>
    <w:p w:rsidRPr="0009465E" w:rsidR="0009465E" w:rsidP="0009465E" w:rsidRDefault="0009465E" w14:paraId="78A4A986" w14:textId="45142E1F"/>
    <w:p w:rsidR="0054391F" w:rsidP="00496BD7" w:rsidRDefault="0054391F" w14:paraId="2B288AF4" w14:textId="1D6BEF87">
      <w:pPr>
        <w:pStyle w:val="Heading3"/>
        <w:rPr>
          <w:sz w:val="24"/>
          <w:szCs w:val="24"/>
        </w:rPr>
      </w:pPr>
      <w:r w:rsidRPr="00496BD7">
        <w:rPr>
          <w:sz w:val="24"/>
          <w:szCs w:val="24"/>
        </w:rPr>
        <w:tab/>
      </w:r>
      <w:r w:rsidRPr="00496BD7">
        <w:rPr>
          <w:sz w:val="24"/>
          <w:szCs w:val="24"/>
        </w:rPr>
        <w:tab/>
      </w:r>
      <w:bookmarkStart w:name="_Toc193117234" w:id="4"/>
      <w:r w:rsidRPr="00496BD7">
        <w:rPr>
          <w:sz w:val="24"/>
          <w:szCs w:val="24"/>
        </w:rPr>
        <w:t>Task 1 (b): Evaluation of Task 1 (a) based on Similarity report</w:t>
      </w:r>
      <w:bookmarkEnd w:id="4"/>
    </w:p>
    <w:p w:rsidRPr="0010673F" w:rsidR="0010673F" w:rsidP="0010673F" w:rsidRDefault="0010673F" w14:paraId="50A065C1" w14:textId="544356B0"/>
    <w:p w:rsidRPr="0010673F" w:rsidR="0010673F" w:rsidP="0010673F" w:rsidRDefault="0010673F" w14:paraId="346C7F45" w14:textId="77777777">
      <w:r w:rsidRPr="0010673F">
        <w:t>After submitting my work to Turnitin, my similarity score was 10%,</w:t>
      </w:r>
      <w:r w:rsidRPr="0010673F">
        <w:br/>
      </w:r>
      <w:r w:rsidRPr="0010673F">
        <w:t>which shows that most of my writing is original and properly</w:t>
      </w:r>
      <w:r w:rsidRPr="0010673F">
        <w:br/>
      </w:r>
      <w:r w:rsidRPr="0010673F">
        <w:t>referenced. The small matches were mainly from the reference list</w:t>
      </w:r>
      <w:r w:rsidRPr="0010673F">
        <w:br/>
      </w:r>
      <w:r w:rsidRPr="0010673F">
        <w:t>and a few common academic phrases. To improve next time, I will try</w:t>
      </w:r>
      <w:r w:rsidRPr="0010673F">
        <w:br/>
      </w:r>
      <w:r w:rsidRPr="0010673F">
        <w:t>to paraphrase more carefully and make sure that any similar wording</w:t>
      </w:r>
      <w:r w:rsidRPr="0010673F">
        <w:br/>
      </w:r>
      <w:r w:rsidRPr="0010673F">
        <w:t>is avoided or clearly quoted.  Based on the Generic Assessment</w:t>
      </w:r>
      <w:r w:rsidRPr="0010673F">
        <w:br/>
      </w:r>
      <w:r w:rsidRPr="0010673F">
        <w:t>Criteria, I would give myself 80%. I think my report is well organised</w:t>
      </w:r>
      <w:r w:rsidRPr="0010673F">
        <w:br/>
      </w:r>
      <w:r w:rsidRPr="0010673F">
        <w:t>and shows a good understanding of key academic and employment</w:t>
      </w:r>
      <w:r w:rsidRPr="0010673F">
        <w:br/>
      </w:r>
      <w:r w:rsidRPr="0010673F">
        <w:t>skills. I used examples that link well to my future nursing career, but I</w:t>
      </w:r>
      <w:r w:rsidRPr="0010673F">
        <w:br/>
      </w:r>
      <w:r w:rsidRPr="0010673F">
        <w:t xml:space="preserve">could improve by including a deeper level of analysis. </w:t>
      </w:r>
    </w:p>
    <w:p w:rsidRPr="0010673F" w:rsidR="0010673F" w:rsidP="0010673F" w:rsidRDefault="0010673F" w14:paraId="69EBD7DA" w14:textId="77777777"/>
    <w:p w:rsidRPr="00496BD7" w:rsidR="0054391F" w:rsidP="0054391F" w:rsidRDefault="0054391F" w14:paraId="5E066775" w14:textId="729ED653">
      <w:pPr>
        <w:pStyle w:val="Heading2"/>
        <w:ind w:firstLine="720"/>
        <w:rPr>
          <w:sz w:val="24"/>
          <w:szCs w:val="24"/>
        </w:rPr>
      </w:pPr>
      <w:bookmarkStart w:name="_Toc193117235" w:id="5"/>
      <w:r w:rsidRPr="00496BD7">
        <w:rPr>
          <w:sz w:val="24"/>
          <w:szCs w:val="24"/>
        </w:rPr>
        <w:t>Task 2: Collaborative Mind Map and Individual Poster</w:t>
      </w:r>
      <w:bookmarkEnd w:id="5"/>
    </w:p>
    <w:p w:rsidR="0054391F" w:rsidP="00496BD7" w:rsidRDefault="0054391F" w14:paraId="36BBCA6C" w14:textId="2C5BF78B">
      <w:pPr>
        <w:pStyle w:val="Heading3"/>
        <w:rPr>
          <w:sz w:val="24"/>
          <w:szCs w:val="24"/>
        </w:rPr>
      </w:pPr>
      <w:r w:rsidRPr="00496BD7">
        <w:rPr>
          <w:sz w:val="24"/>
          <w:szCs w:val="24"/>
        </w:rPr>
        <w:tab/>
      </w:r>
      <w:r w:rsidRPr="00496BD7">
        <w:rPr>
          <w:sz w:val="24"/>
          <w:szCs w:val="24"/>
        </w:rPr>
        <w:tab/>
      </w:r>
      <w:bookmarkStart w:name="_Toc193117236" w:id="6"/>
      <w:r w:rsidRPr="00496BD7">
        <w:rPr>
          <w:sz w:val="24"/>
          <w:szCs w:val="24"/>
        </w:rPr>
        <w:t>Mind Map (Collaborative)</w:t>
      </w:r>
      <w:bookmarkEnd w:id="6"/>
    </w:p>
    <w:p w:rsidRPr="009F2EFF" w:rsidR="009F2EFF" w:rsidP="009F2EFF" w:rsidRDefault="009F2EFF" w14:paraId="36682BA5" w14:textId="060DB1E4">
      <w:r>
        <w:rPr>
          <w:noProof/>
        </w:rPr>
        <w:drawing>
          <wp:inline distT="0" distB="0" distL="0" distR="0" wp14:anchorId="65C80B44" wp14:editId="796A081B">
            <wp:extent cx="5724525" cy="3219450"/>
            <wp:effectExtent l="0" t="0" r="9525" b="0"/>
            <wp:docPr id="14520134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Pr="0010673F" w:rsidR="0010673F" w:rsidP="0010673F" w:rsidRDefault="0010673F" w14:paraId="54371F39" w14:textId="77777777"/>
    <w:p w:rsidR="009F2EFF" w:rsidP="00496BD7" w:rsidRDefault="0054391F" w14:paraId="45F24275" w14:textId="77777777">
      <w:pPr>
        <w:pStyle w:val="Heading3"/>
        <w:rPr>
          <w:sz w:val="24"/>
          <w:szCs w:val="24"/>
        </w:rPr>
      </w:pPr>
      <w:r w:rsidRPr="00496BD7">
        <w:rPr>
          <w:sz w:val="24"/>
          <w:szCs w:val="24"/>
        </w:rPr>
        <w:tab/>
      </w:r>
      <w:r w:rsidRPr="00496BD7">
        <w:rPr>
          <w:sz w:val="24"/>
          <w:szCs w:val="24"/>
        </w:rPr>
        <w:tab/>
      </w:r>
      <w:bookmarkStart w:name="_Toc193117237" w:id="7"/>
    </w:p>
    <w:p w:rsidR="009F2EFF" w:rsidP="00496BD7" w:rsidRDefault="009F2EFF" w14:paraId="7918AABC" w14:textId="77777777">
      <w:pPr>
        <w:pStyle w:val="Heading3"/>
        <w:rPr>
          <w:sz w:val="24"/>
          <w:szCs w:val="24"/>
        </w:rPr>
      </w:pPr>
    </w:p>
    <w:p w:rsidR="0054391F" w:rsidP="009F2EFF" w:rsidRDefault="0054391F" w14:paraId="5D515FAF" w14:textId="79EC4B7B">
      <w:pPr>
        <w:pStyle w:val="Heading3"/>
        <w:jc w:val="center"/>
        <w:rPr>
          <w:sz w:val="24"/>
          <w:szCs w:val="24"/>
        </w:rPr>
      </w:pPr>
      <w:r w:rsidRPr="00496BD7">
        <w:rPr>
          <w:sz w:val="24"/>
          <w:szCs w:val="24"/>
        </w:rPr>
        <w:t>Poster (Individual)</w:t>
      </w:r>
      <w:bookmarkEnd w:id="7"/>
    </w:p>
    <w:p w:rsidR="009F2EFF" w:rsidP="009F2EFF" w:rsidRDefault="009F2EFF" w14:paraId="1A68295E" w14:textId="77777777"/>
    <w:p w:rsidR="009F2EFF" w:rsidP="009F2EFF" w:rsidRDefault="009F2EFF" w14:paraId="28FC2831" w14:textId="7A598117">
      <w:r w:rsidR="009F2EFF">
        <w:drawing>
          <wp:inline wp14:editId="6C43F688" wp14:anchorId="143D761A">
            <wp:extent cx="5724525" cy="6591300"/>
            <wp:effectExtent l="0" t="0" r="0" b="0"/>
            <wp:docPr id="77383183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11" cstate="print">
                      <a:extLst>
                        <a:ext uri="{28A0092B-C50C-407E-A947-70E740481C1C}">
                          <a14:useLocalDpi xmlns:a14="http://schemas.microsoft.com/office/drawing/2010/main"/>
                        </a:ext>
                      </a:extLst>
                    </a:blip>
                    <a:srcRect/>
                    <a:stretch>
                      <a:fillRect/>
                    </a:stretch>
                  </pic:blipFill>
                  <pic:spPr bwMode="auto">
                    <a:xfrm rot="0">
                      <a:off x="0" y="0"/>
                      <a:ext cx="5724525" cy="6591300"/>
                    </a:xfrm>
                    <a:prstGeom prst="rect">
                      <a:avLst/>
                    </a:prstGeom>
                    <a:noFill/>
                    <a:ln>
                      <a:noFill/>
                    </a:ln>
                  </pic:spPr>
                </pic:pic>
              </a:graphicData>
            </a:graphic>
          </wp:inline>
        </w:drawing>
      </w:r>
    </w:p>
    <w:p w:rsidRPr="009F2EFF" w:rsidR="009F2EFF" w:rsidP="009F2EFF" w:rsidRDefault="009F2EFF" w14:paraId="0E7ED58B" w14:textId="77777777"/>
    <w:p w:rsidR="033EFC1B" w:rsidP="033EFC1B" w:rsidRDefault="033EFC1B" w14:paraId="0ACD3CB7" w14:textId="2EAB03A9">
      <w:pPr>
        <w:pStyle w:val="Normal"/>
        <w:rPr>
          <w:noProof w:val="0"/>
          <w:lang w:val="en"/>
        </w:rPr>
      </w:pPr>
    </w:p>
    <w:p w:rsidR="033EFC1B" w:rsidP="033EFC1B" w:rsidRDefault="033EFC1B" w14:paraId="12043FF3" w14:textId="2E82B381">
      <w:pPr>
        <w:shd w:val="clear" w:color="auto" w:fill="FFFFFF" w:themeFill="background1"/>
        <w:spacing w:before="0" w:beforeAutospacing="off" w:after="0" w:afterAutospacing="off"/>
        <w:jc w:val="left"/>
      </w:pPr>
    </w:p>
    <w:p w:rsidR="033EFC1B" w:rsidP="033EFC1B" w:rsidRDefault="033EFC1B" w14:paraId="739462B9" w14:textId="7A9D74E8">
      <w:pPr>
        <w:pStyle w:val="Normal"/>
      </w:pPr>
    </w:p>
    <w:p w:rsidR="0054391F" w:rsidP="00496BD7" w:rsidRDefault="0054391F" w14:paraId="7F2CC668" w14:textId="1C081E46">
      <w:pPr>
        <w:pStyle w:val="Heading3"/>
        <w:rPr>
          <w:sz w:val="24"/>
          <w:szCs w:val="24"/>
        </w:rPr>
      </w:pPr>
      <w:r w:rsidRPr="00496BD7">
        <w:rPr>
          <w:sz w:val="24"/>
          <w:szCs w:val="24"/>
        </w:rPr>
        <w:tab/>
      </w:r>
      <w:r w:rsidRPr="00496BD7">
        <w:rPr>
          <w:sz w:val="24"/>
          <w:szCs w:val="24"/>
        </w:rPr>
        <w:tab/>
      </w:r>
      <w:bookmarkStart w:name="_Toc193117239" w:id="9"/>
      <w:r w:rsidRPr="00496BD7">
        <w:rPr>
          <w:sz w:val="24"/>
          <w:szCs w:val="24"/>
        </w:rPr>
        <w:t>Report on Virtual Collaboration</w:t>
      </w:r>
      <w:bookmarkEnd w:id="9"/>
    </w:p>
    <w:p w:rsidR="00F30BFB" w:rsidP="00F30BFB" w:rsidRDefault="00F30BFB" w14:paraId="46D9ED19" w14:textId="61F40315">
      <w:pPr>
        <w:rPr>
          <w:color w:val="FF0000"/>
        </w:rPr>
      </w:pPr>
      <w:r>
        <w:tab/>
      </w:r>
      <w:r>
        <w:tab/>
      </w:r>
      <w:r>
        <w:tab/>
      </w:r>
      <w:r w:rsidRPr="00F30BFB">
        <w:rPr>
          <w:color w:val="FF0000"/>
        </w:rPr>
        <w:t>Put your Chosen topic here</w:t>
      </w:r>
    </w:p>
    <w:p w:rsidR="009F2EFF" w:rsidP="033EFC1B" w:rsidRDefault="009F2EFF" w14:paraId="11B008BA" w14:textId="21E73E91">
      <w:pPr>
        <w:rPr>
          <w:color w:val="000000" w:themeColor="text1" w:themeTint="FF" w:themeShade="FF"/>
        </w:rPr>
      </w:pPr>
      <w:r w:rsidRPr="033EFC1B" w:rsidR="566CB2C0">
        <w:rPr>
          <w:color w:val="000000" w:themeColor="text1" w:themeTint="FF" w:themeShade="FF"/>
        </w:rPr>
        <w:t xml:space="preserve">Forming a virtual team is important because it sets the foundation for how the group will work together during a project. Virtual teams are different from face-to-face teams because members are often in </w:t>
      </w:r>
      <w:r w:rsidRPr="033EFC1B" w:rsidR="566CB2C0">
        <w:rPr>
          <w:color w:val="000000" w:themeColor="text1" w:themeTint="FF" w:themeShade="FF"/>
        </w:rPr>
        <w:t>different locations</w:t>
      </w:r>
      <w:r w:rsidRPr="033EFC1B" w:rsidR="566CB2C0">
        <w:rPr>
          <w:color w:val="000000" w:themeColor="text1" w:themeTint="FF" w:themeShade="FF"/>
        </w:rPr>
        <w:t xml:space="preserve"> or even different countries. This makes communication, choosing the right tools, and making sure everyone understands their responsibilities even more important. If these things are not organised properly from the beginning, the team can quickly become confused or unmotivated</w:t>
      </w:r>
      <w:r w:rsidRPr="033EFC1B" w:rsidR="0405ED5A">
        <w:rPr>
          <w:color w:val="000000" w:themeColor="text1" w:themeTint="FF" w:themeShade="FF"/>
        </w:rPr>
        <w:t>.</w:t>
      </w:r>
    </w:p>
    <w:p w:rsidR="009F2EFF" w:rsidP="033EFC1B" w:rsidRDefault="009F2EFF" w14:paraId="21C87A29" w14:textId="133E52B4">
      <w:pPr>
        <w:pStyle w:val="Normal"/>
      </w:pPr>
    </w:p>
    <w:p w:rsidR="009F2EFF" w:rsidP="033EFC1B" w:rsidRDefault="009F2EFF" w14:paraId="37A216F1" w14:textId="28D2C3FD">
      <w:pPr>
        <w:pStyle w:val="Normal"/>
      </w:pPr>
      <w:r w:rsidRPr="033EFC1B" w:rsidR="566CB2C0">
        <w:rPr>
          <w:color w:val="000000" w:themeColor="text1" w:themeTint="FF" w:themeShade="FF"/>
        </w:rPr>
        <w:t xml:space="preserve"> </w:t>
      </w:r>
    </w:p>
    <w:p w:rsidR="009F2EFF" w:rsidP="033EFC1B" w:rsidRDefault="009F2EFF" w14:paraId="145A09F1" w14:textId="66FC2665">
      <w:pPr>
        <w:pStyle w:val="Normal"/>
      </w:pPr>
      <w:r w:rsidRPr="033EFC1B" w:rsidR="566CB2C0">
        <w:rPr>
          <w:color w:val="000000" w:themeColor="text1" w:themeTint="FF" w:themeShade="FF"/>
        </w:rPr>
        <w:t>One of the first steps in forming a virtual team is setting clear goals and explaining the overall purpose of the group. When team members understand what they are working toward, they can stay more focused and committed. Using SMART goals (specific, measurable, achievable, relevant, and time-bound) helps make the objectives clear and easier to follow.</w:t>
      </w:r>
    </w:p>
    <w:p w:rsidR="009F2EFF" w:rsidP="033EFC1B" w:rsidRDefault="009F2EFF" w14:paraId="4598EDC7" w14:textId="7D353D95">
      <w:pPr>
        <w:pStyle w:val="Normal"/>
      </w:pPr>
      <w:r w:rsidRPr="033EFC1B" w:rsidR="566CB2C0">
        <w:rPr>
          <w:color w:val="000000" w:themeColor="text1" w:themeTint="FF" w:themeShade="FF"/>
        </w:rPr>
        <w:t xml:space="preserve"> </w:t>
      </w:r>
    </w:p>
    <w:p w:rsidR="009F2EFF" w:rsidP="033EFC1B" w:rsidRDefault="009F2EFF" w14:paraId="289BA2D5" w14:textId="6AFCCA7A">
      <w:pPr>
        <w:pStyle w:val="Normal"/>
      </w:pPr>
      <w:r w:rsidRPr="033EFC1B" w:rsidR="566CB2C0">
        <w:rPr>
          <w:color w:val="000000" w:themeColor="text1" w:themeTint="FF" w:themeShade="FF"/>
        </w:rPr>
        <w:t>Selecting the right team members is another important part of the process. Virtual teams work best when members communicate well, manage their time responsibly, and feel comfortable working independently. Because virtual teams often include people from different backgrounds, it is helpful to choose members who are respectful and open-minded. This reduces misunderstandings and helps create a positive team environment from the start.</w:t>
      </w:r>
    </w:p>
    <w:p w:rsidR="009F2EFF" w:rsidP="033EFC1B" w:rsidRDefault="009F2EFF" w14:paraId="23B1714B" w14:textId="2BDC270F">
      <w:pPr>
        <w:pStyle w:val="Normal"/>
      </w:pPr>
      <w:r w:rsidRPr="033EFC1B" w:rsidR="566CB2C0">
        <w:rPr>
          <w:color w:val="000000" w:themeColor="text1" w:themeTint="FF" w:themeShade="FF"/>
        </w:rPr>
        <w:t xml:space="preserve"> </w:t>
      </w:r>
    </w:p>
    <w:p w:rsidR="009F2EFF" w:rsidP="033EFC1B" w:rsidRDefault="009F2EFF" w14:paraId="5223D438" w14:textId="4261DBDD">
      <w:pPr>
        <w:pStyle w:val="Normal"/>
      </w:pPr>
      <w:r w:rsidRPr="033EFC1B" w:rsidR="566CB2C0">
        <w:rPr>
          <w:color w:val="000000" w:themeColor="text1" w:themeTint="FF" w:themeShade="FF"/>
        </w:rPr>
        <w:t>After choosing the team, it is necessary to define roles and responsibilities clearly. Everyone needs to know what they are responsible for and how their tasks connect to the team’s goals. This helps prevent confusion, avoids duplicated work, and keeps the team organised.</w:t>
      </w:r>
    </w:p>
    <w:p w:rsidR="009F2EFF" w:rsidP="033EFC1B" w:rsidRDefault="009F2EFF" w14:paraId="33F36A12" w14:textId="3812DCA1">
      <w:pPr>
        <w:pStyle w:val="Normal"/>
      </w:pPr>
      <w:r w:rsidRPr="033EFC1B" w:rsidR="566CB2C0">
        <w:rPr>
          <w:color w:val="000000" w:themeColor="text1" w:themeTint="FF" w:themeShade="FF"/>
        </w:rPr>
        <w:t xml:space="preserve"> </w:t>
      </w:r>
    </w:p>
    <w:p w:rsidR="009F2EFF" w:rsidP="033EFC1B" w:rsidRDefault="009F2EFF" w14:paraId="1EDA21D8" w14:textId="2C537BAF">
      <w:pPr>
        <w:pStyle w:val="Normal"/>
      </w:pPr>
      <w:r w:rsidRPr="033EFC1B" w:rsidR="566CB2C0">
        <w:rPr>
          <w:color w:val="000000" w:themeColor="text1" w:themeTint="FF" w:themeShade="FF"/>
        </w:rPr>
        <w:t>Communication planning is also essential. Virtual teams need to choose which tools to use—such as Zoom, Microsoft Teams, or email—and decide how often they will communicate. Regular online meetings help keep everyone connected and prevent team members from feeling isolated.</w:t>
      </w:r>
    </w:p>
    <w:p w:rsidR="009F2EFF" w:rsidP="033EFC1B" w:rsidRDefault="009F2EFF" w14:paraId="340CDC54" w14:textId="7D3ABAED">
      <w:pPr>
        <w:pStyle w:val="Normal"/>
      </w:pPr>
      <w:r w:rsidRPr="033EFC1B" w:rsidR="566CB2C0">
        <w:rPr>
          <w:color w:val="000000" w:themeColor="text1" w:themeTint="FF" w:themeShade="FF"/>
        </w:rPr>
        <w:t xml:space="preserve"> </w:t>
      </w:r>
    </w:p>
    <w:p w:rsidR="009F2EFF" w:rsidP="033EFC1B" w:rsidRDefault="009F2EFF" w14:paraId="5A552E75" w14:textId="73C84107">
      <w:pPr>
        <w:pStyle w:val="Normal"/>
      </w:pPr>
      <w:r w:rsidRPr="033EFC1B" w:rsidR="566CB2C0">
        <w:rPr>
          <w:color w:val="000000" w:themeColor="text1" w:themeTint="FF" w:themeShade="FF"/>
        </w:rPr>
        <w:t>Finally, building trust is key. Trust develops through honesty, reliability, and consistent communication. When people complete tasks on time and communicate openly, the team becomes stronger and more productive.</w:t>
      </w:r>
    </w:p>
    <w:p w:rsidRPr="00F30BFB" w:rsidR="009F2EFF" w:rsidP="00F30BFB" w:rsidRDefault="009F2EFF" w14:paraId="1A726F0A" w14:textId="77777777"/>
    <w:p w:rsidRPr="00496BD7" w:rsidR="0054391F" w:rsidP="00496BD7" w:rsidRDefault="0054391F" w14:paraId="73C48C26" w14:textId="5EA752D4">
      <w:pPr>
        <w:pStyle w:val="Heading3"/>
        <w:rPr>
          <w:sz w:val="24"/>
          <w:szCs w:val="24"/>
        </w:rPr>
      </w:pPr>
      <w:r w:rsidRPr="00496BD7">
        <w:rPr>
          <w:sz w:val="24"/>
          <w:szCs w:val="24"/>
        </w:rPr>
        <w:tab/>
      </w:r>
      <w:r w:rsidRPr="00496BD7">
        <w:rPr>
          <w:sz w:val="24"/>
          <w:szCs w:val="24"/>
        </w:rPr>
        <w:tab/>
      </w:r>
      <w:bookmarkStart w:name="_Toc193117240" w:id="10"/>
      <w:r w:rsidRPr="00496BD7" w:rsidR="0054391F">
        <w:rPr>
          <w:sz w:val="24"/>
          <w:szCs w:val="24"/>
        </w:rPr>
        <w:t>Step-by-step process of using RefWorks with visuals</w:t>
      </w:r>
      <w:bookmarkEnd w:id="10"/>
    </w:p>
    <w:p w:rsidR="033EFC1B" w:rsidP="033EFC1B" w:rsidRDefault="033EFC1B" w14:paraId="09F34867" w14:textId="31481A62">
      <w:pPr>
        <w:pStyle w:val="Normal"/>
        <w:rPr>
          <w:noProof w:val="0"/>
          <w:lang w:val="en"/>
        </w:rPr>
      </w:pPr>
    </w:p>
    <w:p w:rsidR="49DAD222" w:rsidP="033EFC1B" w:rsidRDefault="49DAD222" w14:paraId="653681F8" w14:textId="2C9DCEA4">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 xml:space="preserve">This image captures a powerful moment of unity and collaboration among a team of healthcare professionals, and the upward angle provides a unique perspective, </w:t>
      </w:r>
      <w:r w:rsidRPr="033EFC1B" w:rsidR="49DAD222">
        <w:rPr>
          <w:rFonts w:ascii="Times New Roman" w:hAnsi="Times New Roman" w:eastAsia="Times New Roman" w:cs="Times New Roman"/>
          <w:i w:val="0"/>
          <w:iCs w:val="0"/>
          <w:noProof w:val="0"/>
          <w:sz w:val="30"/>
          <w:szCs w:val="30"/>
          <w:lang w:val="en-GB"/>
        </w:rPr>
        <w:t>showcasing</w:t>
      </w:r>
      <w:r w:rsidRPr="033EFC1B" w:rsidR="49DAD222">
        <w:rPr>
          <w:rFonts w:ascii="Times New Roman" w:hAnsi="Times New Roman" w:eastAsia="Times New Roman" w:cs="Times New Roman"/>
          <w:i w:val="0"/>
          <w:iCs w:val="0"/>
          <w:noProof w:val="0"/>
          <w:sz w:val="30"/>
          <w:szCs w:val="30"/>
          <w:lang w:val="en-GB"/>
        </w:rPr>
        <w:t xml:space="preserve"> the team members joining hands in a circle, symbolizing their shared commitment to providing exceptional care. The image conveys a sense of solidarity, trust, and mutual support, highlighting the importance of teamwork in the healthcare industry, and the team’s collective effort and dedication to patient well-being are palpable, making it a compelling visual representation of the values that underpin effective healthcare delivery. Overall, the image serves as a reminder of the critical role that teamwork plays in ensuring positive patient outcomes and fostering a culture of excellence in healthcare settings</w:t>
      </w:r>
    </w:p>
    <w:p w:rsidR="5CEA788F" w:rsidP="033EFC1B" w:rsidRDefault="5CEA788F" w14:paraId="7ECA2475" w14:textId="6FA960A0">
      <w:pPr>
        <w:pStyle w:val="Normal"/>
        <w:spacing w:before="300" w:beforeAutospacing="off" w:after="180" w:afterAutospacing="off"/>
        <w:jc w:val="center"/>
      </w:pPr>
      <w:r w:rsidR="5CEA788F">
        <w:drawing>
          <wp:inline wp14:editId="55B5B927" wp14:anchorId="0EE12E73">
            <wp:extent cx="5448300" cy="3064102"/>
            <wp:effectExtent l="0" t="0" r="0" b="0"/>
            <wp:docPr id="111893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893925" name="Picture 111893925"/>
                    <pic:cNvPicPr/>
                  </pic:nvPicPr>
                  <pic:blipFill>
                    <a:blip xmlns:r="http://schemas.openxmlformats.org/officeDocument/2006/relationships" r:embed="rId320227056">
                      <a:extLst>
                        <a:ext uri="{28A0092B-C50C-407E-A947-70E740481C1C}">
                          <a14:useLocalDpi xmlns:a14="http://schemas.microsoft.com/office/drawing/2010/main"/>
                        </a:ext>
                      </a:extLst>
                    </a:blip>
                    <a:stretch>
                      <a:fillRect/>
                    </a:stretch>
                  </pic:blipFill>
                  <pic:spPr>
                    <a:xfrm rot="0">
                      <a:off x="0" y="0"/>
                      <a:ext cx="5448300" cy="3064102"/>
                    </a:xfrm>
                    <a:prstGeom prst="rect">
                      <a:avLst/>
                    </a:prstGeom>
                  </pic:spPr>
                </pic:pic>
              </a:graphicData>
            </a:graphic>
          </wp:inline>
        </w:drawing>
      </w:r>
    </w:p>
    <w:p w:rsidR="49DAD222" w:rsidP="033EFC1B" w:rsidRDefault="49DAD222" w14:paraId="707A16F3" w14:textId="49A1FC94">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This image</w:t>
      </w:r>
    </w:p>
    <w:p w:rsidR="7BA3D80E" w:rsidP="033EFC1B" w:rsidRDefault="7BA3D80E" w14:paraId="67209216" w14:textId="710674CD">
      <w:pPr>
        <w:pStyle w:val="Normal"/>
        <w:spacing w:before="300" w:beforeAutospacing="off" w:after="180" w:afterAutospacing="off"/>
        <w:jc w:val="center"/>
      </w:pPr>
      <w:r w:rsidR="7BA3D80E">
        <w:drawing>
          <wp:inline wp14:editId="74AFDA20" wp14:anchorId="0BB6B216">
            <wp:extent cx="5724525" cy="4238625"/>
            <wp:effectExtent l="0" t="0" r="0" b="0"/>
            <wp:docPr id="11634184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3418474" name="Picture 1163418474"/>
                    <pic:cNvPicPr/>
                  </pic:nvPicPr>
                  <pic:blipFill>
                    <a:blip xmlns:r="http://schemas.openxmlformats.org/officeDocument/2006/relationships" r:embed="rId1176557496">
                      <a:extLst>
                        <a:ext uri="{28A0092B-C50C-407E-A947-70E740481C1C}">
                          <a14:useLocalDpi xmlns:a14="http://schemas.microsoft.com/office/drawing/2010/main"/>
                        </a:ext>
                      </a:extLst>
                    </a:blip>
                    <a:stretch>
                      <a:fillRect/>
                    </a:stretch>
                  </pic:blipFill>
                  <pic:spPr>
                    <a:xfrm>
                      <a:off x="0" y="0"/>
                      <a:ext cx="5724525" cy="4238625"/>
                    </a:xfrm>
                    <a:prstGeom prst="rect">
                      <a:avLst/>
                    </a:prstGeom>
                  </pic:spPr>
                </pic:pic>
              </a:graphicData>
            </a:graphic>
          </wp:inline>
        </w:drawing>
      </w:r>
    </w:p>
    <w:p w:rsidR="49DAD222" w:rsidP="033EFC1B" w:rsidRDefault="49DAD222" w14:paraId="01DA882D" w14:textId="7454CACD">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offers a snapshot of a virtual team meeting, highlighting how technology bridges the gap between individuals working from different locations, enabling them to connect and collaborate in real time, with participants actively engaged in a video conference likely utilizing platforms such as Zoom or Microsoft Teams, which have become indispensable tools for virtual teams striving to maintain effective communication. Each team member is visible in their individual video feed, fostering visual cues and non-verbal communication that play a crucial role in facilitating discussions, building rapport, and creating a sense of shared presence. The image vividly demonstrates the significance of video conferencing in preserving a feeling of connection and presence among team members despite the challenges posed by physical distance, underscoring the importance of seeing and interacting with colleagues to mitigate the sense of isolation that can accompany virtual work. Furthermore, the image showcases the diversity of settings and backgrounds from which team members participate, reflecting the inherent flexibility and inclusivity of virtual collaboration, bringing a wealth of perspectives and experiences that enrich discussions and foster innovation. By leveraging technology to overcome geographical barriers, virtual teams can tap into a global talent pool and create a more dynamic and collaborative work environment.</w:t>
      </w:r>
    </w:p>
    <w:p w:rsidR="033EFC1B" w:rsidP="033EFC1B" w:rsidRDefault="033EFC1B" w14:paraId="76C36D34" w14:textId="600F7D27">
      <w:pPr>
        <w:spacing w:before="300" w:beforeAutospacing="off" w:after="180" w:afterAutospacing="off"/>
        <w:jc w:val="center"/>
        <w:rPr>
          <w:rFonts w:ascii="Times New Roman" w:hAnsi="Times New Roman" w:eastAsia="Times New Roman" w:cs="Times New Roman"/>
          <w:i w:val="0"/>
          <w:iCs w:val="0"/>
          <w:noProof w:val="0"/>
          <w:sz w:val="30"/>
          <w:szCs w:val="30"/>
          <w:lang w:val="en-GB"/>
        </w:rPr>
      </w:pPr>
    </w:p>
    <w:p w:rsidR="49DAD222" w:rsidP="033EFC1B" w:rsidRDefault="49DAD222" w14:paraId="426F45B1" w14:textId="38EEC8A2">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This image</w:t>
      </w:r>
    </w:p>
    <w:p w:rsidR="30D5DDB9" w:rsidP="033EFC1B" w:rsidRDefault="30D5DDB9" w14:paraId="0CDC6A7D" w14:textId="5F9AB01A">
      <w:pPr>
        <w:pStyle w:val="Normal"/>
        <w:spacing w:before="300" w:beforeAutospacing="off" w:after="180" w:afterAutospacing="off"/>
        <w:jc w:val="center"/>
      </w:pPr>
      <w:r w:rsidR="30D5DDB9">
        <w:drawing>
          <wp:inline wp14:editId="40289C98" wp14:anchorId="40217740">
            <wp:extent cx="5724525" cy="3810000"/>
            <wp:effectExtent l="0" t="0" r="0" b="0"/>
            <wp:docPr id="1253332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3332373" name="Picture 1253332373"/>
                    <pic:cNvPicPr/>
                  </pic:nvPicPr>
                  <pic:blipFill>
                    <a:blip xmlns:r="http://schemas.openxmlformats.org/officeDocument/2006/relationships" r:embed="rId199201703">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p>
    <w:p w:rsidR="033EFC1B" w:rsidP="033EFC1B" w:rsidRDefault="033EFC1B" w14:paraId="3B889AE5" w14:textId="7122C19B">
      <w:pPr>
        <w:spacing w:before="300" w:beforeAutospacing="off" w:after="180" w:afterAutospacing="off"/>
        <w:jc w:val="center"/>
        <w:rPr>
          <w:rFonts w:ascii="Times New Roman" w:hAnsi="Times New Roman" w:eastAsia="Times New Roman" w:cs="Times New Roman"/>
          <w:i w:val="0"/>
          <w:iCs w:val="0"/>
          <w:noProof w:val="0"/>
          <w:sz w:val="30"/>
          <w:szCs w:val="30"/>
          <w:lang w:val="en-GB"/>
        </w:rPr>
      </w:pPr>
    </w:p>
    <w:p w:rsidR="49DAD222" w:rsidP="033EFC1B" w:rsidRDefault="49DAD222" w14:paraId="65C91109" w14:textId="2A640DC4">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captures a team deeply immersed in data analysis, utilizing a variety of tools and techniques to interpret trends and make informed decisions, shown from a top-down perspective of individuals working around a table covered with charts, graphs, and digital devices. Team members are actively engaged in tasks, with some typing on laptops, others studying printed reports, and one taking notes, and the presence of multiple devices</w:t>
      </w:r>
    </w:p>
    <w:p w:rsidR="49DAD222" w:rsidP="033EFC1B" w:rsidRDefault="49DAD222" w14:paraId="0AF50516" w14:textId="2DB56D92">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 xml:space="preserve"> and visual aids underscores the importance of technology in accessing, processing, and interpreting information efficiently. The image conveys that effective data analysis requires collaboration, critical thinking, and the ability to leverage technology to extract insights from complex data, highlighting the importance of visual representations like charts and graphs in helping team members understand patterns and communicate findings. Overall, the image reinforces the transformative impact of data analysis on modern teamwork and decision-making.</w:t>
      </w:r>
    </w:p>
    <w:p w:rsidR="49DAD222" w:rsidP="033EFC1B" w:rsidRDefault="49DAD222" w14:paraId="2C4076CF" w14:textId="18732702">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This image</w:t>
      </w:r>
    </w:p>
    <w:p w:rsidR="4621A3D4" w:rsidP="033EFC1B" w:rsidRDefault="4621A3D4" w14:paraId="1D466B53" w14:textId="305CD128">
      <w:pPr>
        <w:pStyle w:val="Normal"/>
        <w:spacing w:before="300" w:beforeAutospacing="off" w:after="180" w:afterAutospacing="off"/>
        <w:jc w:val="center"/>
      </w:pPr>
      <w:r w:rsidR="4621A3D4">
        <w:drawing>
          <wp:inline wp14:editId="6FF7E6F3" wp14:anchorId="4FAEF304">
            <wp:extent cx="5724525" cy="2990850"/>
            <wp:effectExtent l="0" t="0" r="0" b="0"/>
            <wp:docPr id="1649087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087657" name="Picture 1649087657"/>
                    <pic:cNvPicPr/>
                  </pic:nvPicPr>
                  <pic:blipFill>
                    <a:blip xmlns:r="http://schemas.openxmlformats.org/officeDocument/2006/relationships" r:embed="rId1326976953">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p>
    <w:p w:rsidR="49DAD222" w:rsidP="033EFC1B" w:rsidRDefault="49DAD222" w14:paraId="153E7D6D" w14:textId="09AA8C1C">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portrays a dynamic business meeting showcasing a diverse team of professionals immersed in collaborative discussion within a modern, well-appointed office space characterized by clean lines, glass walls promoting transparency, and contemporary lighting that fosters innovation. Around the expansive table, individuals in sharp business attire engage in a robust exchange of ideas, with laptops displaying data and presentations, and documents and coffee cups hinting at a productive work session. Animated expressions reflect a high level of involvement, with some participants leaning forward and gesturing to emphasize points while others listen intently, nodding thoughtfully and asking insightful questions. The overall impression is that of a highly functional and effective team working together to navigate complex challenges, develop strategic solutions, and drive their business forward, underscoring the importance of clear communication, diverse perspectives, and collaborative problem-solving in achieving success.</w:t>
      </w:r>
    </w:p>
    <w:p w:rsidR="033EFC1B" w:rsidP="033EFC1B" w:rsidRDefault="033EFC1B" w14:paraId="34BD4AE0" w14:textId="2E1350C9">
      <w:pPr>
        <w:spacing w:before="240" w:beforeAutospacing="off" w:after="180" w:afterAutospacing="off"/>
        <w:jc w:val="center"/>
      </w:pPr>
    </w:p>
    <w:p w:rsidR="033EFC1B" w:rsidP="033EFC1B" w:rsidRDefault="033EFC1B" w14:paraId="667F57C3" w14:textId="31C476BD">
      <w:pPr>
        <w:spacing w:before="240" w:beforeAutospacing="off" w:after="240" w:afterAutospacing="off"/>
        <w:jc w:val="center"/>
      </w:pPr>
    </w:p>
    <w:p w:rsidR="033EFC1B" w:rsidP="033EFC1B" w:rsidRDefault="033EFC1B" w14:paraId="7FE7B3CE" w14:textId="07C1A1E2">
      <w:pPr>
        <w:spacing w:before="240" w:beforeAutospacing="off" w:after="180" w:afterAutospacing="off"/>
        <w:jc w:val="center"/>
      </w:pPr>
    </w:p>
    <w:p w:rsidR="49DAD222" w:rsidP="033EFC1B" w:rsidRDefault="49DAD222" w14:paraId="6DBA5013" w14:textId="56669CC8">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IEEE Reference List</w:t>
      </w:r>
    </w:p>
    <w:p w:rsidR="49DAD222" w:rsidP="033EFC1B" w:rsidRDefault="49DAD222" w14:paraId="2D480D6C" w14:textId="71199D18">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[1] D. W. Johnson and R. T. Johnson, Cooperation and the Use of Teams in Education. Edina, MN, USA: Interaction Book Company, 2017.</w:t>
      </w:r>
    </w:p>
    <w:p w:rsidR="49DAD222" w:rsidP="033EFC1B" w:rsidRDefault="49DAD222" w14:paraId="03FC3CCA" w14:textId="71F66E44">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[2] M. Laal and S. M. Ghodsi, “Benefits of collaborative learning,” Procedia – Social and Behavioral Sciences, vol. 31, pp. 486–490, 2012.</w:t>
      </w:r>
    </w:p>
    <w:p w:rsidR="49DAD222" w:rsidP="033EFC1B" w:rsidRDefault="49DAD222" w14:paraId="7CF0E356" w14:textId="6F858593">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[3] E. Salas, D. L. Reyes, and S. H. McDaniel, “The science of teamwork: Progress, reflections, and the road ahead,” American Psychologist, vol. 73, no. 4, pp. 593–600, 2018.</w:t>
      </w:r>
    </w:p>
    <w:p w:rsidR="49DAD222" w:rsidP="033EFC1B" w:rsidRDefault="49DAD222" w14:paraId="40D4DD64" w14:textId="060AEA07">
      <w:pPr>
        <w:spacing w:before="300" w:beforeAutospacing="off" w:after="180" w:afterAutospacing="off"/>
        <w:jc w:val="center"/>
      </w:pPr>
      <w:r w:rsidRPr="033EFC1B" w:rsidR="49DAD222">
        <w:rPr>
          <w:rFonts w:ascii="Times New Roman" w:hAnsi="Times New Roman" w:eastAsia="Times New Roman" w:cs="Times New Roman"/>
          <w:i w:val="0"/>
          <w:iCs w:val="0"/>
          <w:noProof w:val="0"/>
          <w:sz w:val="30"/>
          <w:szCs w:val="30"/>
          <w:lang w:val="en-GB"/>
        </w:rPr>
        <w:t>[4] CIPD, Effective Teamwork and Collaboration in the Workplace. London, U.K.: Chartered Institute of Personnel and Development, 2020.</w:t>
      </w:r>
    </w:p>
    <w:p w:rsidR="693B916A" w:rsidP="033EFC1B" w:rsidRDefault="693B916A" w14:paraId="184A6FCF" w14:textId="524CF9A9">
      <w:pPr>
        <w:spacing w:before="240" w:beforeAutospacing="off" w:after="240" w:afterAutospacing="off"/>
        <w:jc w:val="center"/>
      </w:pPr>
      <w:r w:rsidRPr="033EFC1B" w:rsidR="693B916A">
        <w:rPr>
          <w:rFonts w:ascii="Times New Roman" w:hAnsi="Times New Roman" w:eastAsia="Times New Roman" w:cs="Times New Roman"/>
          <w:noProof w:val="0"/>
          <w:sz w:val="30"/>
          <w:szCs w:val="30"/>
          <w:lang w:val="en-GB"/>
        </w:rPr>
        <w:t xml:space="preserve">[5] R. E. Slavin, </w:t>
      </w:r>
      <w:r w:rsidRPr="033EFC1B" w:rsidR="693B916A">
        <w:rPr>
          <w:rFonts w:ascii="Times New Roman" w:hAnsi="Times New Roman" w:eastAsia="Times New Roman" w:cs="Times New Roman"/>
          <w:i w:val="1"/>
          <w:iCs w:val="1"/>
          <w:noProof w:val="0"/>
          <w:sz w:val="30"/>
          <w:szCs w:val="30"/>
          <w:lang w:val="en-GB"/>
        </w:rPr>
        <w:t>Cooperative Learning: Theory, Research, and Practice</w:t>
      </w:r>
      <w:r w:rsidRPr="033EFC1B" w:rsidR="693B916A">
        <w:rPr>
          <w:rFonts w:ascii="Times New Roman" w:hAnsi="Times New Roman" w:eastAsia="Times New Roman" w:cs="Times New Roman"/>
          <w:noProof w:val="0"/>
          <w:sz w:val="30"/>
          <w:szCs w:val="30"/>
          <w:lang w:val="en-GB"/>
        </w:rPr>
        <w:t>, 2nd ed. Boston, MA, USA: Allyn &amp; Bacon, 2014.</w:t>
      </w:r>
    </w:p>
    <w:p w:rsidR="693B916A" w:rsidP="033EFC1B" w:rsidRDefault="693B916A" w14:paraId="15BE21B8" w14:textId="74280317">
      <w:pPr>
        <w:spacing w:before="240" w:beforeAutospacing="off" w:after="240" w:afterAutospacing="off"/>
        <w:jc w:val="center"/>
      </w:pPr>
      <w:r w:rsidRPr="033EFC1B" w:rsidR="693B916A">
        <w:rPr>
          <w:rFonts w:ascii="Times New Roman" w:hAnsi="Times New Roman" w:eastAsia="Times New Roman" w:cs="Times New Roman"/>
          <w:noProof w:val="0"/>
          <w:sz w:val="30"/>
          <w:szCs w:val="30"/>
          <w:lang w:val="en-GB"/>
        </w:rPr>
        <w:t xml:space="preserve">[6] A. R. Watson, H. W. Kim, and J. M. Tennant, “Team communication and performance: A review and integration,” </w:t>
      </w:r>
      <w:r w:rsidRPr="033EFC1B" w:rsidR="693B916A">
        <w:rPr>
          <w:rFonts w:ascii="Times New Roman" w:hAnsi="Times New Roman" w:eastAsia="Times New Roman" w:cs="Times New Roman"/>
          <w:i w:val="1"/>
          <w:iCs w:val="1"/>
          <w:noProof w:val="0"/>
          <w:sz w:val="30"/>
          <w:szCs w:val="30"/>
          <w:lang w:val="en-GB"/>
        </w:rPr>
        <w:t>Small Group Research</w:t>
      </w:r>
      <w:r w:rsidRPr="033EFC1B" w:rsidR="693B916A">
        <w:rPr>
          <w:rFonts w:ascii="Times New Roman" w:hAnsi="Times New Roman" w:eastAsia="Times New Roman" w:cs="Times New Roman"/>
          <w:noProof w:val="0"/>
          <w:sz w:val="30"/>
          <w:szCs w:val="30"/>
          <w:lang w:val="en-GB"/>
        </w:rPr>
        <w:t>, vol. 52, no. 3, pp. 307–339, 2021.</w:t>
      </w:r>
    </w:p>
    <w:p w:rsidR="693B916A" w:rsidP="033EFC1B" w:rsidRDefault="693B916A" w14:paraId="2C19B648" w14:textId="6BBDD873">
      <w:pPr>
        <w:spacing w:before="240" w:beforeAutospacing="off" w:after="240" w:afterAutospacing="off"/>
        <w:jc w:val="center"/>
      </w:pPr>
      <w:r w:rsidRPr="033EFC1B" w:rsidR="693B916A">
        <w:rPr>
          <w:rFonts w:ascii="Times New Roman" w:hAnsi="Times New Roman" w:eastAsia="Times New Roman" w:cs="Times New Roman"/>
          <w:noProof w:val="0"/>
          <w:sz w:val="30"/>
          <w:szCs w:val="30"/>
          <w:lang w:val="en-GB"/>
        </w:rPr>
        <w:t xml:space="preserve">[7] K. A. Jehn and E. A. Mannix, “Conflict in teams: Antecedents, processes, and consequences,” </w:t>
      </w:r>
      <w:r w:rsidRPr="033EFC1B" w:rsidR="693B916A">
        <w:rPr>
          <w:rFonts w:ascii="Times New Roman" w:hAnsi="Times New Roman" w:eastAsia="Times New Roman" w:cs="Times New Roman"/>
          <w:i w:val="1"/>
          <w:iCs w:val="1"/>
          <w:noProof w:val="0"/>
          <w:sz w:val="30"/>
          <w:szCs w:val="30"/>
          <w:lang w:val="en-GB"/>
        </w:rPr>
        <w:t>International Journal of Conflict Management</w:t>
      </w:r>
      <w:r w:rsidRPr="033EFC1B" w:rsidR="693B916A">
        <w:rPr>
          <w:rFonts w:ascii="Times New Roman" w:hAnsi="Times New Roman" w:eastAsia="Times New Roman" w:cs="Times New Roman"/>
          <w:noProof w:val="0"/>
          <w:sz w:val="30"/>
          <w:szCs w:val="30"/>
          <w:lang w:val="en-GB"/>
        </w:rPr>
        <w:t>, vol. 12, no. 3, pp. 240–255, 2001.</w:t>
      </w:r>
    </w:p>
    <w:p w:rsidR="693B916A" w:rsidP="033EFC1B" w:rsidRDefault="693B916A" w14:paraId="4F6CC8AB" w14:textId="45530F53">
      <w:pPr>
        <w:spacing w:before="240" w:beforeAutospacing="off" w:after="240" w:afterAutospacing="off"/>
        <w:jc w:val="center"/>
      </w:pPr>
      <w:r w:rsidRPr="033EFC1B" w:rsidR="693B916A">
        <w:rPr>
          <w:rFonts w:ascii="Times New Roman" w:hAnsi="Times New Roman" w:eastAsia="Times New Roman" w:cs="Times New Roman"/>
          <w:noProof w:val="0"/>
          <w:sz w:val="30"/>
          <w:szCs w:val="30"/>
          <w:lang w:val="en-GB"/>
        </w:rPr>
        <w:t xml:space="preserve">[8] L. Thompson, </w:t>
      </w:r>
      <w:r w:rsidRPr="033EFC1B" w:rsidR="693B916A">
        <w:rPr>
          <w:rFonts w:ascii="Times New Roman" w:hAnsi="Times New Roman" w:eastAsia="Times New Roman" w:cs="Times New Roman"/>
          <w:i w:val="1"/>
          <w:iCs w:val="1"/>
          <w:noProof w:val="0"/>
          <w:sz w:val="30"/>
          <w:szCs w:val="30"/>
          <w:lang w:val="en-GB"/>
        </w:rPr>
        <w:t>Making the Team: A Guide for Managers</w:t>
      </w:r>
      <w:r w:rsidRPr="033EFC1B" w:rsidR="693B916A">
        <w:rPr>
          <w:rFonts w:ascii="Times New Roman" w:hAnsi="Times New Roman" w:eastAsia="Times New Roman" w:cs="Times New Roman"/>
          <w:noProof w:val="0"/>
          <w:sz w:val="30"/>
          <w:szCs w:val="30"/>
          <w:lang w:val="en-GB"/>
        </w:rPr>
        <w:t>, 7th ed. Boston, MA, USA: Pearson, 2022.</w:t>
      </w:r>
    </w:p>
    <w:p w:rsidR="693B916A" w:rsidP="033EFC1B" w:rsidRDefault="693B916A" w14:paraId="2C5F3DB0" w14:textId="4DD59E6C">
      <w:pPr>
        <w:spacing w:before="240" w:beforeAutospacing="off" w:after="240" w:afterAutospacing="off"/>
        <w:jc w:val="center"/>
      </w:pPr>
      <w:r w:rsidRPr="033EFC1B" w:rsidR="693B916A">
        <w:rPr>
          <w:rFonts w:ascii="Times New Roman" w:hAnsi="Times New Roman" w:eastAsia="Times New Roman" w:cs="Times New Roman"/>
          <w:noProof w:val="0"/>
          <w:sz w:val="30"/>
          <w:szCs w:val="30"/>
          <w:lang w:val="en-GB"/>
        </w:rPr>
        <w:t xml:space="preserve">[9] P. M. Curşeu, D. O. Schruijer, and S. Fodor, “Cognition and cooperation in teams: A literature review,” </w:t>
      </w:r>
      <w:r w:rsidRPr="033EFC1B" w:rsidR="693B916A">
        <w:rPr>
          <w:rFonts w:ascii="Times New Roman" w:hAnsi="Times New Roman" w:eastAsia="Times New Roman" w:cs="Times New Roman"/>
          <w:i w:val="1"/>
          <w:iCs w:val="1"/>
          <w:noProof w:val="0"/>
          <w:sz w:val="30"/>
          <w:szCs w:val="30"/>
          <w:lang w:val="en-GB"/>
        </w:rPr>
        <w:t>Cognition, Brain, Behavior</w:t>
      </w:r>
      <w:r w:rsidRPr="033EFC1B" w:rsidR="693B916A">
        <w:rPr>
          <w:rFonts w:ascii="Times New Roman" w:hAnsi="Times New Roman" w:eastAsia="Times New Roman" w:cs="Times New Roman"/>
          <w:noProof w:val="0"/>
          <w:sz w:val="30"/>
          <w:szCs w:val="30"/>
          <w:lang w:val="en-GB"/>
        </w:rPr>
        <w:t>, vol. 24, no. 3, pp. 185–202, 2020.</w:t>
      </w:r>
    </w:p>
    <w:p w:rsidR="033EFC1B" w:rsidP="033EFC1B" w:rsidRDefault="033EFC1B" w14:paraId="7515D2A2" w14:textId="7D7E3668">
      <w:pPr>
        <w:spacing w:before="300" w:beforeAutospacing="off" w:after="180" w:afterAutospacing="off"/>
        <w:jc w:val="center"/>
        <w:rPr>
          <w:rFonts w:ascii="Times New Roman" w:hAnsi="Times New Roman" w:eastAsia="Times New Roman" w:cs="Times New Roman"/>
          <w:i w:val="0"/>
          <w:iCs w:val="0"/>
          <w:noProof w:val="0"/>
          <w:sz w:val="30"/>
          <w:szCs w:val="30"/>
          <w:lang w:val="en-GB"/>
        </w:rPr>
      </w:pPr>
    </w:p>
    <w:p w:rsidR="033EFC1B" w:rsidP="033EFC1B" w:rsidRDefault="033EFC1B" w14:paraId="117226CD" w14:textId="0EBEDA8E">
      <w:pPr>
        <w:spacing w:before="0" w:beforeAutospacing="off" w:after="0" w:afterAutospacing="off"/>
        <w:jc w:val="center"/>
      </w:pPr>
    </w:p>
    <w:p w:rsidR="033EFC1B" w:rsidP="033EFC1B" w:rsidRDefault="033EFC1B" w14:paraId="4C17D616" w14:textId="627EC059">
      <w:pPr>
        <w:pStyle w:val="Normal"/>
        <w:shd w:val="clear" w:color="auto" w:fill="FFFFFF" w:themeFill="background1"/>
        <w:spacing w:before="0" w:beforeAutospacing="off" w:after="0" w:afterAutospacing="off" w:line="615" w:lineRule="auto"/>
        <w:jc w:val="center"/>
      </w:pPr>
    </w:p>
    <w:p w:rsidR="7FA0CB25" w:rsidP="033EFC1B" w:rsidRDefault="7FA0CB25" w14:paraId="6C8E5F4A" w14:textId="32BADD2C">
      <w:pPr>
        <w:pStyle w:val="Normal"/>
      </w:pPr>
      <w:r w:rsidR="7FA0CB25">
        <w:rPr/>
        <w:t xml:space="preserve"> </w:t>
      </w:r>
    </w:p>
    <w:p w:rsidR="033EFC1B" w:rsidP="033EFC1B" w:rsidRDefault="033EFC1B" w14:paraId="34A6D41D" w14:textId="6E21C885">
      <w:pPr>
        <w:pStyle w:val="Normal"/>
      </w:pPr>
    </w:p>
    <w:p w:rsidRPr="00496BD7" w:rsidR="0054391F" w:rsidP="00496BD7" w:rsidRDefault="0054391F" w14:paraId="56417E1F" w14:textId="791950F9">
      <w:pPr>
        <w:pStyle w:val="Heading2"/>
        <w:ind w:firstLine="720"/>
        <w:rPr>
          <w:sz w:val="24"/>
          <w:szCs w:val="24"/>
        </w:rPr>
      </w:pPr>
      <w:bookmarkStart w:name="_Toc193117241" w:id="11"/>
      <w:r w:rsidRPr="00496BD7">
        <w:rPr>
          <w:sz w:val="24"/>
          <w:szCs w:val="24"/>
        </w:rPr>
        <w:t>Task 4: E-Portfolio Creation and Evaluation</w:t>
      </w:r>
      <w:bookmarkEnd w:id="11"/>
    </w:p>
    <w:p w:rsidRPr="00496BD7" w:rsidR="0054391F" w:rsidP="00496BD7" w:rsidRDefault="0054391F" w14:textId="7A4E1E59" w14:paraId="6A7D38EA">
      <w:pPr>
        <w:pStyle w:val="Heading3"/>
        <w:rPr>
          <w:sz w:val="24"/>
          <w:szCs w:val="24"/>
        </w:rPr>
      </w:pPr>
      <w:r w:rsidRPr="00496BD7">
        <w:rPr>
          <w:sz w:val="24"/>
          <w:szCs w:val="24"/>
        </w:rPr>
        <w:tab/>
      </w:r>
      <w:r w:rsidRPr="00496BD7">
        <w:rPr>
          <w:sz w:val="24"/>
          <w:szCs w:val="24"/>
        </w:rPr>
        <w:tab/>
      </w:r>
      <w:bookmarkStart w:name="_Toc193117242" w:id="12"/>
      <w:r w:rsidRPr="00496BD7" w:rsidR="0054391F">
        <w:rPr>
          <w:sz w:val="24"/>
          <w:szCs w:val="24"/>
        </w:rPr>
        <w:t>Task 4 (a): E-Portfolio Creation</w:t>
      </w:r>
      <w:bookmarkEnd w:id="12"/>
    </w:p>
    <w:p w:rsidRPr="00496BD7" w:rsidR="003A12C8" w:rsidP="00496BD7" w:rsidRDefault="0054391F" w14:paraId="6C857853" w14:textId="065FAFCA">
      <w:pPr>
        <w:pStyle w:val="Heading3"/>
        <w:rPr>
          <w:sz w:val="24"/>
          <w:szCs w:val="24"/>
        </w:rPr>
      </w:pPr>
      <w:r w:rsidRPr="00496BD7">
        <w:rPr>
          <w:sz w:val="24"/>
          <w:szCs w:val="24"/>
        </w:rPr>
        <w:tab/>
      </w:r>
      <w:r w:rsidRPr="00496BD7">
        <w:rPr>
          <w:sz w:val="24"/>
          <w:szCs w:val="24"/>
        </w:rPr>
        <w:tab/>
      </w:r>
      <w:bookmarkStart w:name="_Toc193117243" w:id="13"/>
      <w:r w:rsidRPr="00496BD7">
        <w:rPr>
          <w:sz w:val="24"/>
          <w:szCs w:val="24"/>
        </w:rPr>
        <w:t>Task 4 (b): Illustrative Review of E-Portfolio tool Selection</w:t>
      </w:r>
      <w:bookmarkEnd w:id="13"/>
    </w:p>
    <w:p w:rsidR="003A12C8" w:rsidP="033EFC1B" w:rsidRDefault="003A12C8" w14:paraId="7772392C" w14:textId="349EF140">
      <w:pPr>
        <w:pStyle w:val="Heading1"/>
        <w:rPr>
          <w:sz w:val="24"/>
          <w:szCs w:val="24"/>
        </w:rPr>
      </w:pPr>
      <w:bookmarkStart w:name="_Toc193117244" w:id="14"/>
      <w:r w:rsidRPr="033EFC1B" w:rsidR="003A12C8">
        <w:rPr>
          <w:sz w:val="24"/>
          <w:szCs w:val="24"/>
        </w:rPr>
        <w:t>Conclusion</w:t>
      </w:r>
      <w:bookmarkEnd w:id="14"/>
    </w:p>
    <w:p w:rsidR="0B352C9C" w:rsidP="033EFC1B" w:rsidRDefault="0B352C9C" w14:paraId="323C2970" w14:textId="06BF9FE9">
      <w:pPr>
        <w:spacing w:before="240" w:beforeAutospacing="off" w:after="240" w:afterAutospacing="off"/>
      </w:pPr>
      <w:r w:rsidRPr="033EFC1B" w:rsidR="0B352C9C">
        <w:rPr>
          <w:rFonts w:ascii="Aptos" w:hAnsi="Aptos" w:eastAsia="Aptos" w:cs="Aptos"/>
          <w:noProof w:val="0"/>
          <w:sz w:val="24"/>
          <w:szCs w:val="24"/>
          <w:lang w:val="en-GB"/>
        </w:rPr>
        <w:t>Forming a virtual team requires careful planning and strong communication to ensure the group can work together effectively. A successful team starts with clear goals, well-defined roles, and the use of suitable online tools that allow members to stay connected and organised. When these elements are set from the beginning, the team is more likely to stay focused and work smoothly throughout the project.</w:t>
      </w:r>
    </w:p>
    <w:p w:rsidR="0B352C9C" w:rsidP="033EFC1B" w:rsidRDefault="0B352C9C" w14:paraId="2FE2F75B" w14:textId="7F552541">
      <w:pPr>
        <w:spacing w:before="240" w:beforeAutospacing="off" w:after="240" w:afterAutospacing="off"/>
      </w:pPr>
      <w:r w:rsidRPr="033EFC1B" w:rsidR="0B352C9C">
        <w:rPr>
          <w:rFonts w:ascii="Aptos" w:hAnsi="Aptos" w:eastAsia="Aptos" w:cs="Aptos"/>
          <w:noProof w:val="0"/>
          <w:sz w:val="24"/>
          <w:szCs w:val="24"/>
          <w:lang w:val="en-GB"/>
        </w:rPr>
        <w:t>Teamwork plays an essential role in this process. Sharing ideas, listening to different opinions, and cooperating respectfully help create a positive working environment. Challenges and disagreements are also a normal part of team development. When these situations are managed in a constructive way, they can build trust, improve communication, and lead to better group performance.</w:t>
      </w:r>
    </w:p>
    <w:p w:rsidR="0B352C9C" w:rsidP="033EFC1B" w:rsidRDefault="0B352C9C" w14:paraId="26ECCC24" w14:textId="5814E771">
      <w:pPr>
        <w:spacing w:before="240" w:beforeAutospacing="off" w:after="240" w:afterAutospacing="off"/>
      </w:pPr>
      <w:r w:rsidRPr="033EFC1B" w:rsidR="0B352C9C">
        <w:rPr>
          <w:rFonts w:ascii="Aptos" w:hAnsi="Aptos" w:eastAsia="Aptos" w:cs="Aptos"/>
          <w:noProof w:val="0"/>
          <w:sz w:val="24"/>
          <w:szCs w:val="24"/>
          <w:lang w:val="en-GB"/>
        </w:rPr>
        <w:t>Each team member carries an important level of responsibility, especially in a virtual setting where misunderstandings can happen easily. Reliable communication, consistent effort, and good organisation help keep the team on track and ensure tasks are completed on time.</w:t>
      </w:r>
    </w:p>
    <w:p w:rsidR="0B352C9C" w:rsidP="033EFC1B" w:rsidRDefault="0B352C9C" w14:paraId="6B298FFF" w14:textId="301CEE62">
      <w:pPr>
        <w:spacing w:before="240" w:beforeAutospacing="off" w:after="240" w:afterAutospacing="off"/>
      </w:pPr>
      <w:r w:rsidRPr="033EFC1B" w:rsidR="0B352C9C">
        <w:rPr>
          <w:rFonts w:ascii="Aptos" w:hAnsi="Aptos" w:eastAsia="Aptos" w:cs="Aptos"/>
          <w:noProof w:val="0"/>
          <w:sz w:val="24"/>
          <w:szCs w:val="24"/>
          <w:lang w:val="en-GB"/>
        </w:rPr>
        <w:t>Digital tools also support the overall process of forming and managing virtual teams. Automatic referencing systems, such as RefWorks, show how technology can help maintain academic standards by creating accurate citations and reference lists. Tools like these promote academic honesty and support professional-quality work.</w:t>
      </w:r>
    </w:p>
    <w:p w:rsidR="0B352C9C" w:rsidP="033EFC1B" w:rsidRDefault="0B352C9C" w14:paraId="1C9F9259" w14:textId="1571AED5">
      <w:pPr>
        <w:spacing w:before="240" w:beforeAutospacing="off" w:after="240" w:afterAutospacing="off"/>
      </w:pPr>
      <w:r w:rsidRPr="033EFC1B" w:rsidR="0B352C9C">
        <w:rPr>
          <w:rFonts w:ascii="Aptos" w:hAnsi="Aptos" w:eastAsia="Aptos" w:cs="Aptos"/>
          <w:noProof w:val="0"/>
          <w:sz w:val="24"/>
          <w:szCs w:val="24"/>
          <w:lang w:val="en-GB"/>
        </w:rPr>
        <w:t>Overall, effective team formation depends on planning, cooperation, and clear communication. These elements are essential not only for academic projects but also for modern workplaces, where teamwork and digital skills are key to achieving successful outcomes.</w:t>
      </w:r>
    </w:p>
    <w:p w:rsidR="033EFC1B" w:rsidP="033EFC1B" w:rsidRDefault="033EFC1B" w14:paraId="2A46F63A" w14:textId="7AC55FB3">
      <w:pPr>
        <w:pStyle w:val="Normal"/>
      </w:pPr>
    </w:p>
    <w:p w:rsidR="033EFC1B" w:rsidP="033EFC1B" w:rsidRDefault="033EFC1B" w14:paraId="1B9C5494" w14:textId="77DB794D">
      <w:pPr>
        <w:pStyle w:val="Normal"/>
      </w:pPr>
    </w:p>
    <w:p w:rsidR="00E4306D" w:rsidP="00E4306D" w:rsidRDefault="003A12C8" w14:paraId="2FB37AAF" w14:textId="77777777">
      <w:pPr>
        <w:pStyle w:val="Heading1"/>
        <w:rPr>
          <w:sz w:val="24"/>
          <w:szCs w:val="24"/>
        </w:rPr>
      </w:pPr>
      <w:bookmarkStart w:name="_Toc193117245" w:id="15"/>
      <w:r w:rsidRPr="00E4306D">
        <w:rPr>
          <w:sz w:val="24"/>
          <w:szCs w:val="24"/>
        </w:rPr>
        <w:t>References</w:t>
      </w:r>
      <w:bookmarkEnd w:id="15"/>
    </w:p>
    <w:p w:rsidRPr="00E4300C" w:rsidR="00E4306D" w:rsidP="00E4300C" w:rsidRDefault="00E4306D" w14:paraId="233159EA" w14:textId="77777777">
      <w:pPr>
        <w:pStyle w:val="Heading2"/>
        <w:rPr>
          <w:sz w:val="24"/>
          <w:szCs w:val="24"/>
        </w:rPr>
      </w:pPr>
      <w:r>
        <w:tab/>
      </w:r>
      <w:bookmarkStart w:name="_Toc193117246" w:id="16"/>
      <w:r w:rsidRPr="00E4300C" w:rsidR="00E4306D">
        <w:rPr>
          <w:sz w:val="24"/>
          <w:szCs w:val="24"/>
        </w:rPr>
        <w:t>Task 1 References:</w:t>
      </w:r>
      <w:bookmarkEnd w:id="16"/>
    </w:p>
    <w:p w:rsidR="237C865B" w:rsidP="033EFC1B" w:rsidRDefault="237C865B" w14:paraId="611DA259" w14:textId="6F32E55F">
      <w:pPr>
        <w:pStyle w:val="Heading2"/>
        <w:spacing w:before="299" w:beforeAutospacing="off" w:after="299" w:afterAutospacing="off"/>
      </w:pPr>
      <w:r w:rsidRPr="033EFC1B" w:rsidR="237C865B">
        <w:rPr>
          <w:rFonts w:ascii="Aptos" w:hAnsi="Aptos" w:eastAsia="Aptos" w:cs="Aptos"/>
          <w:b w:val="1"/>
          <w:bCs w:val="1"/>
          <w:noProof w:val="0"/>
          <w:sz w:val="36"/>
          <w:szCs w:val="36"/>
          <w:lang w:val="en-GB"/>
        </w:rPr>
        <w:t>References (IEEE Style)</w:t>
      </w:r>
    </w:p>
    <w:p w:rsidR="237C865B" w:rsidP="033EFC1B" w:rsidRDefault="237C865B" w14:paraId="631997CC" w14:textId="3D740301">
      <w:pPr>
        <w:spacing w:before="240" w:beforeAutospacing="off" w:after="240" w:afterAutospacing="off"/>
      </w:pPr>
      <w:r w:rsidRPr="033EFC1B" w:rsidR="237C865B">
        <w:rPr>
          <w:rFonts w:ascii="Aptos" w:hAnsi="Aptos" w:eastAsia="Aptos" w:cs="Aptos"/>
          <w:noProof w:val="0"/>
          <w:sz w:val="24"/>
          <w:szCs w:val="24"/>
          <w:lang w:val="en-GB"/>
        </w:rPr>
        <w:t xml:space="preserve">[1] J. Smith, A. Brown, and L. Taylor, “The employability skills needed to face the demands of work in the future,” </w:t>
      </w:r>
      <w:r w:rsidRPr="033EFC1B" w:rsidR="237C865B">
        <w:rPr>
          <w:rFonts w:ascii="Aptos" w:hAnsi="Aptos" w:eastAsia="Aptos" w:cs="Aptos"/>
          <w:i w:val="1"/>
          <w:iCs w:val="1"/>
          <w:noProof w:val="0"/>
          <w:sz w:val="24"/>
          <w:szCs w:val="24"/>
          <w:lang w:val="en-GB"/>
        </w:rPr>
        <w:t>Open Engineering</w:t>
      </w:r>
      <w:r w:rsidRPr="033EFC1B" w:rsidR="237C865B">
        <w:rPr>
          <w:rFonts w:ascii="Aptos" w:hAnsi="Aptos" w:eastAsia="Aptos" w:cs="Aptos"/>
          <w:noProof w:val="0"/>
          <w:sz w:val="24"/>
          <w:szCs w:val="24"/>
          <w:lang w:val="en-GB"/>
        </w:rPr>
        <w:t>, vol. 10, pp. 595–603, 2020.</w:t>
      </w:r>
    </w:p>
    <w:p w:rsidR="237C865B" w:rsidP="033EFC1B" w:rsidRDefault="237C865B" w14:paraId="1BEF0D53" w14:textId="6BA984F5">
      <w:pPr>
        <w:spacing w:before="240" w:beforeAutospacing="off" w:after="240" w:afterAutospacing="off"/>
      </w:pPr>
      <w:r w:rsidRPr="033EFC1B" w:rsidR="237C865B">
        <w:rPr>
          <w:rFonts w:ascii="Aptos" w:hAnsi="Aptos" w:eastAsia="Aptos" w:cs="Aptos"/>
          <w:noProof w:val="0"/>
          <w:sz w:val="24"/>
          <w:szCs w:val="24"/>
          <w:lang w:val="en-GB"/>
        </w:rPr>
        <w:t xml:space="preserve">[2] “Global employability skills in the 21st-century workplace,” </w:t>
      </w:r>
      <w:r w:rsidRPr="033EFC1B" w:rsidR="237C865B">
        <w:rPr>
          <w:rFonts w:ascii="Aptos" w:hAnsi="Aptos" w:eastAsia="Aptos" w:cs="Aptos"/>
          <w:i w:val="1"/>
          <w:iCs w:val="1"/>
          <w:noProof w:val="0"/>
          <w:sz w:val="24"/>
          <w:szCs w:val="24"/>
          <w:lang w:val="en-GB"/>
        </w:rPr>
        <w:t>PeerJ PrePrints</w:t>
      </w:r>
      <w:r w:rsidRPr="033EFC1B" w:rsidR="237C865B">
        <w:rPr>
          <w:rFonts w:ascii="Aptos" w:hAnsi="Aptos" w:eastAsia="Aptos" w:cs="Aptos"/>
          <w:noProof w:val="0"/>
          <w:sz w:val="24"/>
          <w:szCs w:val="24"/>
          <w:lang w:val="en-GB"/>
        </w:rPr>
        <w:t>, 2022.</w:t>
      </w:r>
    </w:p>
    <w:p w:rsidR="237C865B" w:rsidP="033EFC1B" w:rsidRDefault="237C865B" w14:paraId="118210C8" w14:textId="48632871">
      <w:pPr>
        <w:spacing w:before="240" w:beforeAutospacing="off" w:after="240" w:afterAutospacing="off"/>
      </w:pPr>
      <w:r w:rsidRPr="033EFC1B" w:rsidR="237C865B">
        <w:rPr>
          <w:rFonts w:ascii="Aptos" w:hAnsi="Aptos" w:eastAsia="Aptos" w:cs="Aptos"/>
          <w:noProof w:val="0"/>
          <w:sz w:val="24"/>
          <w:szCs w:val="24"/>
          <w:lang w:val="en-GB"/>
        </w:rPr>
        <w:t xml:space="preserve">[3] S. Cottrell, </w:t>
      </w:r>
      <w:r w:rsidRPr="033EFC1B" w:rsidR="237C865B">
        <w:rPr>
          <w:rFonts w:ascii="Aptos" w:hAnsi="Aptos" w:eastAsia="Aptos" w:cs="Aptos"/>
          <w:i w:val="1"/>
          <w:iCs w:val="1"/>
          <w:noProof w:val="0"/>
          <w:sz w:val="24"/>
          <w:szCs w:val="24"/>
          <w:lang w:val="en-GB"/>
        </w:rPr>
        <w:t>Essential Study Skills</w:t>
      </w:r>
      <w:r w:rsidRPr="033EFC1B" w:rsidR="237C865B">
        <w:rPr>
          <w:rFonts w:ascii="Aptos" w:hAnsi="Aptos" w:eastAsia="Aptos" w:cs="Aptos"/>
          <w:noProof w:val="0"/>
          <w:sz w:val="24"/>
          <w:szCs w:val="24"/>
          <w:lang w:val="en-GB"/>
        </w:rPr>
        <w:t>, 5th ed. London, U.K.: SAGE, 2019.</w:t>
      </w:r>
    </w:p>
    <w:p w:rsidR="237C865B" w:rsidP="033EFC1B" w:rsidRDefault="237C865B" w14:paraId="43BBAD71" w14:textId="04C446C4">
      <w:pPr>
        <w:spacing w:before="240" w:beforeAutospacing="off" w:after="240" w:afterAutospacing="off"/>
      </w:pPr>
      <w:r w:rsidRPr="033EFC1B" w:rsidR="237C865B">
        <w:rPr>
          <w:rFonts w:ascii="Aptos" w:hAnsi="Aptos" w:eastAsia="Aptos" w:cs="Aptos"/>
          <w:noProof w:val="0"/>
          <w:sz w:val="24"/>
          <w:szCs w:val="24"/>
          <w:lang w:val="en-GB"/>
        </w:rPr>
        <w:t xml:space="preserve">[4] U.S. Department of Labor, </w:t>
      </w:r>
      <w:r w:rsidRPr="033EFC1B" w:rsidR="237C865B">
        <w:rPr>
          <w:rFonts w:ascii="Aptos" w:hAnsi="Aptos" w:eastAsia="Aptos" w:cs="Aptos"/>
          <w:i w:val="1"/>
          <w:iCs w:val="1"/>
          <w:noProof w:val="0"/>
          <w:sz w:val="24"/>
          <w:szCs w:val="24"/>
          <w:lang w:val="en-GB"/>
        </w:rPr>
        <w:t>Workplace Essential Skills: Resources Related to the SCANS Competencies and Foundation Skills</w:t>
      </w:r>
      <w:r w:rsidRPr="033EFC1B" w:rsidR="237C865B">
        <w:rPr>
          <w:rFonts w:ascii="Aptos" w:hAnsi="Aptos" w:eastAsia="Aptos" w:cs="Aptos"/>
          <w:noProof w:val="0"/>
          <w:sz w:val="24"/>
          <w:szCs w:val="24"/>
          <w:lang w:val="en-GB"/>
        </w:rPr>
        <w:t>, Washington, DC, USA, 2000.</w:t>
      </w:r>
    </w:p>
    <w:p w:rsidR="237C865B" w:rsidP="033EFC1B" w:rsidRDefault="237C865B" w14:paraId="07BF0C53" w14:textId="29C25A67">
      <w:pPr>
        <w:spacing w:before="240" w:beforeAutospacing="off" w:after="240" w:afterAutospacing="off"/>
      </w:pPr>
      <w:r w:rsidRPr="033EFC1B" w:rsidR="237C865B">
        <w:rPr>
          <w:rFonts w:ascii="Aptos" w:hAnsi="Aptos" w:eastAsia="Aptos" w:cs="Aptos"/>
          <w:noProof w:val="0"/>
          <w:sz w:val="24"/>
          <w:szCs w:val="24"/>
          <w:lang w:val="en-GB"/>
        </w:rPr>
        <w:t xml:space="preserve">[5] M. Andrews and K. Higson, </w:t>
      </w:r>
      <w:r w:rsidRPr="033EFC1B" w:rsidR="237C865B">
        <w:rPr>
          <w:rFonts w:ascii="Aptos" w:hAnsi="Aptos" w:eastAsia="Aptos" w:cs="Aptos"/>
          <w:i w:val="1"/>
          <w:iCs w:val="1"/>
          <w:noProof w:val="0"/>
          <w:sz w:val="24"/>
          <w:szCs w:val="24"/>
          <w:lang w:val="en-GB"/>
        </w:rPr>
        <w:t>Developing Future-Ready Graduates: Skills for a Changing Workforce</w:t>
      </w:r>
      <w:r w:rsidRPr="033EFC1B" w:rsidR="237C865B">
        <w:rPr>
          <w:rFonts w:ascii="Aptos" w:hAnsi="Aptos" w:eastAsia="Aptos" w:cs="Aptos"/>
          <w:noProof w:val="0"/>
          <w:sz w:val="24"/>
          <w:szCs w:val="24"/>
          <w:lang w:val="en-GB"/>
        </w:rPr>
        <w:t>. New York, NY, USA: Routledge, 2021.</w:t>
      </w:r>
    </w:p>
    <w:p w:rsidR="237C865B" w:rsidP="033EFC1B" w:rsidRDefault="237C865B" w14:paraId="31125AD0" w14:textId="087F0E22">
      <w:pPr>
        <w:spacing w:before="240" w:beforeAutospacing="off" w:after="240" w:afterAutospacing="off"/>
      </w:pPr>
      <w:r w:rsidRPr="033EFC1B" w:rsidR="237C865B">
        <w:rPr>
          <w:rFonts w:ascii="Aptos" w:hAnsi="Aptos" w:eastAsia="Aptos" w:cs="Aptos"/>
          <w:noProof w:val="0"/>
          <w:sz w:val="24"/>
          <w:szCs w:val="24"/>
          <w:lang w:val="en-GB"/>
        </w:rPr>
        <w:t xml:space="preserve">[6] P. Jackson, “Enterprise and employability: Understanding employer expectations,” </w:t>
      </w:r>
      <w:r w:rsidRPr="033EFC1B" w:rsidR="237C865B">
        <w:rPr>
          <w:rFonts w:ascii="Aptos" w:hAnsi="Aptos" w:eastAsia="Aptos" w:cs="Aptos"/>
          <w:i w:val="1"/>
          <w:iCs w:val="1"/>
          <w:noProof w:val="0"/>
          <w:sz w:val="24"/>
          <w:szCs w:val="24"/>
          <w:lang w:val="en-GB"/>
        </w:rPr>
        <w:t>Journal of Education and Work</w:t>
      </w:r>
      <w:r w:rsidRPr="033EFC1B" w:rsidR="237C865B">
        <w:rPr>
          <w:rFonts w:ascii="Aptos" w:hAnsi="Aptos" w:eastAsia="Aptos" w:cs="Aptos"/>
          <w:noProof w:val="0"/>
          <w:sz w:val="24"/>
          <w:szCs w:val="24"/>
          <w:lang w:val="en-GB"/>
        </w:rPr>
        <w:t>, vol. 33, no. 4, pp. 425–440, 2020.</w:t>
      </w:r>
    </w:p>
    <w:p w:rsidR="237C865B" w:rsidP="033EFC1B" w:rsidRDefault="237C865B" w14:paraId="5DCAF5B9" w14:textId="6C4C2CE2">
      <w:pPr>
        <w:spacing w:before="240" w:beforeAutospacing="off" w:after="240" w:afterAutospacing="off"/>
      </w:pPr>
      <w:r w:rsidRPr="033EFC1B" w:rsidR="237C865B">
        <w:rPr>
          <w:rFonts w:ascii="Aptos" w:hAnsi="Aptos" w:eastAsia="Aptos" w:cs="Aptos"/>
          <w:noProof w:val="0"/>
          <w:sz w:val="24"/>
          <w:szCs w:val="24"/>
          <w:lang w:val="en-GB"/>
        </w:rPr>
        <w:t xml:space="preserve">[7] World Economic Forum, </w:t>
      </w:r>
      <w:r w:rsidRPr="033EFC1B" w:rsidR="237C865B">
        <w:rPr>
          <w:rFonts w:ascii="Aptos" w:hAnsi="Aptos" w:eastAsia="Aptos" w:cs="Aptos"/>
          <w:i w:val="1"/>
          <w:iCs w:val="1"/>
          <w:noProof w:val="0"/>
          <w:sz w:val="24"/>
          <w:szCs w:val="24"/>
          <w:lang w:val="en-GB"/>
        </w:rPr>
        <w:t>The Future of Jobs Report</w:t>
      </w:r>
      <w:r w:rsidRPr="033EFC1B" w:rsidR="237C865B">
        <w:rPr>
          <w:rFonts w:ascii="Aptos" w:hAnsi="Aptos" w:eastAsia="Aptos" w:cs="Aptos"/>
          <w:noProof w:val="0"/>
          <w:sz w:val="24"/>
          <w:szCs w:val="24"/>
          <w:lang w:val="en-GB"/>
        </w:rPr>
        <w:t>. Geneva, Switzerland, 2023.</w:t>
      </w:r>
    </w:p>
    <w:p w:rsidR="237C865B" w:rsidP="033EFC1B" w:rsidRDefault="237C865B" w14:paraId="694EF556" w14:textId="1694E114">
      <w:pPr>
        <w:spacing w:before="240" w:beforeAutospacing="off" w:after="240" w:afterAutospacing="off"/>
      </w:pPr>
      <w:r w:rsidRPr="033EFC1B" w:rsidR="237C865B">
        <w:rPr>
          <w:rFonts w:ascii="Aptos" w:hAnsi="Aptos" w:eastAsia="Aptos" w:cs="Aptos"/>
          <w:noProof w:val="0"/>
          <w:sz w:val="24"/>
          <w:szCs w:val="24"/>
          <w:lang w:val="en-GB"/>
        </w:rPr>
        <w:t xml:space="preserve">[8] T. Green and R. Hughes, “Digital literacy and employability in modern workplaces,” </w:t>
      </w:r>
      <w:r w:rsidRPr="033EFC1B" w:rsidR="237C865B">
        <w:rPr>
          <w:rFonts w:ascii="Aptos" w:hAnsi="Aptos" w:eastAsia="Aptos" w:cs="Aptos"/>
          <w:i w:val="1"/>
          <w:iCs w:val="1"/>
          <w:noProof w:val="0"/>
          <w:sz w:val="24"/>
          <w:szCs w:val="24"/>
          <w:lang w:val="en-GB"/>
        </w:rPr>
        <w:t>Education + Training</w:t>
      </w:r>
      <w:r w:rsidRPr="033EFC1B" w:rsidR="237C865B">
        <w:rPr>
          <w:rFonts w:ascii="Aptos" w:hAnsi="Aptos" w:eastAsia="Aptos" w:cs="Aptos"/>
          <w:noProof w:val="0"/>
          <w:sz w:val="24"/>
          <w:szCs w:val="24"/>
          <w:lang w:val="en-GB"/>
        </w:rPr>
        <w:t>, vol. 64, no. 7, pp. 987–1001, 2022.</w:t>
      </w:r>
    </w:p>
    <w:p w:rsidR="237C865B" w:rsidP="033EFC1B" w:rsidRDefault="237C865B" w14:paraId="218DE084" w14:textId="31C254E9">
      <w:pPr>
        <w:spacing w:before="240" w:beforeAutospacing="off" w:after="240" w:afterAutospacing="off"/>
      </w:pPr>
      <w:r w:rsidRPr="033EFC1B" w:rsidR="237C865B">
        <w:rPr>
          <w:rFonts w:ascii="Aptos" w:hAnsi="Aptos" w:eastAsia="Aptos" w:cs="Aptos"/>
          <w:noProof w:val="0"/>
          <w:sz w:val="24"/>
          <w:szCs w:val="24"/>
          <w:lang w:val="en-GB"/>
        </w:rPr>
        <w:t xml:space="preserve">[9] OECD, </w:t>
      </w:r>
      <w:r w:rsidRPr="033EFC1B" w:rsidR="237C865B">
        <w:rPr>
          <w:rFonts w:ascii="Aptos" w:hAnsi="Aptos" w:eastAsia="Aptos" w:cs="Aptos"/>
          <w:i w:val="1"/>
          <w:iCs w:val="1"/>
          <w:noProof w:val="0"/>
          <w:sz w:val="24"/>
          <w:szCs w:val="24"/>
          <w:lang w:val="en-GB"/>
        </w:rPr>
        <w:t>Skills for 2030: Preparing Learners for Future Work</w:t>
      </w:r>
      <w:r w:rsidRPr="033EFC1B" w:rsidR="237C865B">
        <w:rPr>
          <w:rFonts w:ascii="Aptos" w:hAnsi="Aptos" w:eastAsia="Aptos" w:cs="Aptos"/>
          <w:noProof w:val="0"/>
          <w:sz w:val="24"/>
          <w:szCs w:val="24"/>
          <w:lang w:val="en-GB"/>
        </w:rPr>
        <w:t>. Paris, France, 2021.</w:t>
      </w:r>
    </w:p>
    <w:p w:rsidR="033EFC1B" w:rsidP="033EFC1B" w:rsidRDefault="033EFC1B" w14:paraId="68AF757A" w14:textId="0F8E79CF">
      <w:pPr>
        <w:pStyle w:val="Normal"/>
      </w:pPr>
    </w:p>
    <w:p w:rsidR="033EFC1B" w:rsidP="033EFC1B" w:rsidRDefault="033EFC1B" w14:paraId="35260FE1" w14:textId="40BD4DF6">
      <w:pPr>
        <w:pStyle w:val="Normal"/>
      </w:pPr>
    </w:p>
    <w:p w:rsidRPr="0008022E" w:rsidR="0008022E" w:rsidP="0008022E" w:rsidRDefault="0008022E" w14:paraId="1FBF65E5" w14:textId="77777777"/>
    <w:p w:rsidRPr="0008022E" w:rsidR="0008022E" w:rsidP="0008022E" w:rsidRDefault="0008022E" w14:paraId="4E4FB363" w14:textId="62A1CBDB">
      <w:r>
        <w:tab/>
      </w:r>
    </w:p>
    <w:p w:rsidRPr="00E4300C" w:rsidR="003A12C8" w:rsidP="033EFC1B" w:rsidRDefault="00E4306D" w14:paraId="12E1E699" w14:textId="588133CA">
      <w:pPr>
        <w:pStyle w:val="Heading2"/>
        <w:spacing w:before="300" w:beforeAutospacing="off" w:after="180" w:afterAutospacing="off"/>
        <w:jc w:val="center"/>
        <w:rPr>
          <w:sz w:val="24"/>
          <w:szCs w:val="24"/>
        </w:rPr>
      </w:pPr>
      <w:r>
        <w:tab/>
      </w:r>
      <w:bookmarkStart w:name="_Toc193117247" w:id="17"/>
      <w:r w:rsidRPr="00E4300C" w:rsidR="00E4306D">
        <w:rPr>
          <w:sz w:val="24"/>
          <w:szCs w:val="24"/>
        </w:rPr>
        <w:t>Task 3 References:</w:t>
      </w:r>
      <w:bookmarkEnd w:id="17"/>
      <w:r w:rsidRPr="033EFC1B">
        <w:rPr>
          <w:sz w:val="24"/>
          <w:szCs w:val="24"/>
        </w:rPr>
        <w:br w:type="page"/>
      </w:r>
      <w:r w:rsidRPr="033EFC1B" w:rsidR="3AB76A63">
        <w:rPr>
          <w:rFonts w:ascii="Times New Roman" w:hAnsi="Times New Roman" w:eastAsia="Times New Roman" w:cs="Times New Roman"/>
          <w:i w:val="0"/>
          <w:iCs w:val="0"/>
          <w:noProof w:val="0"/>
          <w:sz w:val="30"/>
          <w:szCs w:val="30"/>
          <w:lang w:val="en-GB"/>
        </w:rPr>
        <w:t>IEEE Reference List</w:t>
      </w:r>
    </w:p>
    <w:p w:rsidRPr="00E4300C" w:rsidR="003A12C8" w:rsidP="033EFC1B" w:rsidRDefault="00E4306D" w14:paraId="3DC334B0" w14:textId="71199D18">
      <w:pPr>
        <w:spacing w:before="300" w:beforeAutospacing="off" w:after="180" w:afterAutospacing="off"/>
        <w:jc w:val="center"/>
      </w:pPr>
      <w:r w:rsidRPr="033EFC1B" w:rsidR="3AB76A63">
        <w:rPr>
          <w:rFonts w:ascii="Times New Roman" w:hAnsi="Times New Roman" w:eastAsia="Times New Roman" w:cs="Times New Roman"/>
          <w:i w:val="0"/>
          <w:iCs w:val="0"/>
          <w:noProof w:val="0"/>
          <w:sz w:val="30"/>
          <w:szCs w:val="30"/>
          <w:lang w:val="en-GB"/>
        </w:rPr>
        <w:t>[1] D. W. Johnson and R. T. Johnson, Cooperation and the Use of Teams in Education. Edina, MN, USA: Interaction Book Company, 2017.</w:t>
      </w:r>
    </w:p>
    <w:p w:rsidRPr="00E4300C" w:rsidR="003A12C8" w:rsidP="033EFC1B" w:rsidRDefault="00E4306D" w14:paraId="6020EE1B" w14:textId="71F66E44">
      <w:pPr>
        <w:spacing w:before="300" w:beforeAutospacing="off" w:after="180" w:afterAutospacing="off"/>
        <w:jc w:val="center"/>
      </w:pPr>
      <w:r w:rsidRPr="033EFC1B" w:rsidR="3AB76A63">
        <w:rPr>
          <w:rFonts w:ascii="Times New Roman" w:hAnsi="Times New Roman" w:eastAsia="Times New Roman" w:cs="Times New Roman"/>
          <w:i w:val="0"/>
          <w:iCs w:val="0"/>
          <w:noProof w:val="0"/>
          <w:sz w:val="30"/>
          <w:szCs w:val="30"/>
          <w:lang w:val="en-GB"/>
        </w:rPr>
        <w:t>[2] M. Laal and S. M. Ghodsi, “Benefits of collaborative learning,” Procedia – Social and Behavioral Sciences, vol. 31, pp. 486–490, 2012.</w:t>
      </w:r>
    </w:p>
    <w:p w:rsidRPr="00E4300C" w:rsidR="003A12C8" w:rsidP="033EFC1B" w:rsidRDefault="00E4306D" w14:paraId="4DA065A4" w14:textId="6F858593">
      <w:pPr>
        <w:spacing w:before="300" w:beforeAutospacing="off" w:after="180" w:afterAutospacing="off"/>
        <w:jc w:val="center"/>
      </w:pPr>
      <w:r w:rsidRPr="033EFC1B" w:rsidR="3AB76A63">
        <w:rPr>
          <w:rFonts w:ascii="Times New Roman" w:hAnsi="Times New Roman" w:eastAsia="Times New Roman" w:cs="Times New Roman"/>
          <w:i w:val="0"/>
          <w:iCs w:val="0"/>
          <w:noProof w:val="0"/>
          <w:sz w:val="30"/>
          <w:szCs w:val="30"/>
          <w:lang w:val="en-GB"/>
        </w:rPr>
        <w:t>[3] E. Salas, D. L. Reyes, and S. H. McDaniel, “The science of teamwork: Progress, reflections, and the road ahead,” American Psychologist, vol. 73, no. 4, pp. 593–600, 2018.</w:t>
      </w:r>
    </w:p>
    <w:p w:rsidRPr="00E4300C" w:rsidR="003A12C8" w:rsidP="033EFC1B" w:rsidRDefault="00E4306D" w14:paraId="3FC7121C" w14:textId="060AEA07">
      <w:pPr>
        <w:spacing w:before="300" w:beforeAutospacing="off" w:after="180" w:afterAutospacing="off"/>
        <w:jc w:val="center"/>
      </w:pPr>
      <w:r w:rsidRPr="033EFC1B" w:rsidR="3AB76A63">
        <w:rPr>
          <w:rFonts w:ascii="Times New Roman" w:hAnsi="Times New Roman" w:eastAsia="Times New Roman" w:cs="Times New Roman"/>
          <w:i w:val="0"/>
          <w:iCs w:val="0"/>
          <w:noProof w:val="0"/>
          <w:sz w:val="30"/>
          <w:szCs w:val="30"/>
          <w:lang w:val="en-GB"/>
        </w:rPr>
        <w:t>[4] CIPD, Effective Teamwork and Collaboration in the Workplace. London, U.K.: Chartered Institute of Personnel and Development, 2020.</w:t>
      </w:r>
    </w:p>
    <w:p w:rsidRPr="00E4300C" w:rsidR="003A12C8" w:rsidP="033EFC1B" w:rsidRDefault="00E4306D" w14:paraId="0FB3F5F7" w14:textId="524CF9A9">
      <w:pPr>
        <w:spacing w:before="240" w:beforeAutospacing="off" w:after="240" w:afterAutospacing="off"/>
        <w:jc w:val="center"/>
      </w:pPr>
      <w:r w:rsidRPr="033EFC1B" w:rsidR="3AB76A63">
        <w:rPr>
          <w:rFonts w:ascii="Times New Roman" w:hAnsi="Times New Roman" w:eastAsia="Times New Roman" w:cs="Times New Roman"/>
          <w:noProof w:val="0"/>
          <w:sz w:val="30"/>
          <w:szCs w:val="30"/>
          <w:lang w:val="en-GB"/>
        </w:rPr>
        <w:t xml:space="preserve">[5] R. E. Slavin, </w:t>
      </w:r>
      <w:r w:rsidRPr="033EFC1B" w:rsidR="3AB76A63">
        <w:rPr>
          <w:rFonts w:ascii="Times New Roman" w:hAnsi="Times New Roman" w:eastAsia="Times New Roman" w:cs="Times New Roman"/>
          <w:i w:val="1"/>
          <w:iCs w:val="1"/>
          <w:noProof w:val="0"/>
          <w:sz w:val="30"/>
          <w:szCs w:val="30"/>
          <w:lang w:val="en-GB"/>
        </w:rPr>
        <w:t>Cooperative Learning: Theory, Research, and Practice</w:t>
      </w:r>
      <w:r w:rsidRPr="033EFC1B" w:rsidR="3AB76A63">
        <w:rPr>
          <w:rFonts w:ascii="Times New Roman" w:hAnsi="Times New Roman" w:eastAsia="Times New Roman" w:cs="Times New Roman"/>
          <w:noProof w:val="0"/>
          <w:sz w:val="30"/>
          <w:szCs w:val="30"/>
          <w:lang w:val="en-GB"/>
        </w:rPr>
        <w:t>, 2nd ed. Boston, MA, USA: Allyn &amp; Bacon, 2014.</w:t>
      </w:r>
    </w:p>
    <w:p w:rsidRPr="00E4300C" w:rsidR="003A12C8" w:rsidP="033EFC1B" w:rsidRDefault="00E4306D" w14:paraId="2D2929C6" w14:textId="74280317">
      <w:pPr>
        <w:spacing w:before="240" w:beforeAutospacing="off" w:after="240" w:afterAutospacing="off"/>
        <w:jc w:val="center"/>
      </w:pPr>
      <w:r w:rsidRPr="033EFC1B" w:rsidR="3AB76A63">
        <w:rPr>
          <w:rFonts w:ascii="Times New Roman" w:hAnsi="Times New Roman" w:eastAsia="Times New Roman" w:cs="Times New Roman"/>
          <w:noProof w:val="0"/>
          <w:sz w:val="30"/>
          <w:szCs w:val="30"/>
          <w:lang w:val="en-GB"/>
        </w:rPr>
        <w:t xml:space="preserve">[6] A. R. Watson, H. W. Kim, and J. M. Tennant, “Team communication and performance: A review and integration,” </w:t>
      </w:r>
      <w:r w:rsidRPr="033EFC1B" w:rsidR="3AB76A63">
        <w:rPr>
          <w:rFonts w:ascii="Times New Roman" w:hAnsi="Times New Roman" w:eastAsia="Times New Roman" w:cs="Times New Roman"/>
          <w:i w:val="1"/>
          <w:iCs w:val="1"/>
          <w:noProof w:val="0"/>
          <w:sz w:val="30"/>
          <w:szCs w:val="30"/>
          <w:lang w:val="en-GB"/>
        </w:rPr>
        <w:t>Small Group Research</w:t>
      </w:r>
      <w:r w:rsidRPr="033EFC1B" w:rsidR="3AB76A63">
        <w:rPr>
          <w:rFonts w:ascii="Times New Roman" w:hAnsi="Times New Roman" w:eastAsia="Times New Roman" w:cs="Times New Roman"/>
          <w:noProof w:val="0"/>
          <w:sz w:val="30"/>
          <w:szCs w:val="30"/>
          <w:lang w:val="en-GB"/>
        </w:rPr>
        <w:t>, vol. 52, no. 3, pp. 307–339, 2021.</w:t>
      </w:r>
    </w:p>
    <w:p w:rsidRPr="00E4300C" w:rsidR="003A12C8" w:rsidP="033EFC1B" w:rsidRDefault="00E4306D" w14:paraId="782D4EAF" w14:textId="6BBDD873">
      <w:pPr>
        <w:spacing w:before="240" w:beforeAutospacing="off" w:after="240" w:afterAutospacing="off"/>
        <w:jc w:val="center"/>
      </w:pPr>
      <w:r w:rsidRPr="033EFC1B" w:rsidR="3AB76A63">
        <w:rPr>
          <w:rFonts w:ascii="Times New Roman" w:hAnsi="Times New Roman" w:eastAsia="Times New Roman" w:cs="Times New Roman"/>
          <w:noProof w:val="0"/>
          <w:sz w:val="30"/>
          <w:szCs w:val="30"/>
          <w:lang w:val="en-GB"/>
        </w:rPr>
        <w:t xml:space="preserve">[7] K. A. Jehn and E. A. Mannix, “Conflict in teams: Antecedents, processes, and consequences,” </w:t>
      </w:r>
      <w:r w:rsidRPr="033EFC1B" w:rsidR="3AB76A63">
        <w:rPr>
          <w:rFonts w:ascii="Times New Roman" w:hAnsi="Times New Roman" w:eastAsia="Times New Roman" w:cs="Times New Roman"/>
          <w:i w:val="1"/>
          <w:iCs w:val="1"/>
          <w:noProof w:val="0"/>
          <w:sz w:val="30"/>
          <w:szCs w:val="30"/>
          <w:lang w:val="en-GB"/>
        </w:rPr>
        <w:t>International Journal of Conflict Management</w:t>
      </w:r>
      <w:r w:rsidRPr="033EFC1B" w:rsidR="3AB76A63">
        <w:rPr>
          <w:rFonts w:ascii="Times New Roman" w:hAnsi="Times New Roman" w:eastAsia="Times New Roman" w:cs="Times New Roman"/>
          <w:noProof w:val="0"/>
          <w:sz w:val="30"/>
          <w:szCs w:val="30"/>
          <w:lang w:val="en-GB"/>
        </w:rPr>
        <w:t>, vol. 12, no. 3, pp. 240–255, 2001.</w:t>
      </w:r>
    </w:p>
    <w:p w:rsidRPr="00E4300C" w:rsidR="003A12C8" w:rsidP="033EFC1B" w:rsidRDefault="00E4306D" w14:paraId="19448D21" w14:textId="45530F53">
      <w:pPr>
        <w:spacing w:before="240" w:beforeAutospacing="off" w:after="240" w:afterAutospacing="off"/>
        <w:jc w:val="center"/>
      </w:pPr>
      <w:r w:rsidRPr="033EFC1B" w:rsidR="3AB76A63">
        <w:rPr>
          <w:rFonts w:ascii="Times New Roman" w:hAnsi="Times New Roman" w:eastAsia="Times New Roman" w:cs="Times New Roman"/>
          <w:noProof w:val="0"/>
          <w:sz w:val="30"/>
          <w:szCs w:val="30"/>
          <w:lang w:val="en-GB"/>
        </w:rPr>
        <w:t xml:space="preserve">[8] L. Thompson, </w:t>
      </w:r>
      <w:r w:rsidRPr="033EFC1B" w:rsidR="3AB76A63">
        <w:rPr>
          <w:rFonts w:ascii="Times New Roman" w:hAnsi="Times New Roman" w:eastAsia="Times New Roman" w:cs="Times New Roman"/>
          <w:i w:val="1"/>
          <w:iCs w:val="1"/>
          <w:noProof w:val="0"/>
          <w:sz w:val="30"/>
          <w:szCs w:val="30"/>
          <w:lang w:val="en-GB"/>
        </w:rPr>
        <w:t>Making the Team: A Guide for Managers</w:t>
      </w:r>
      <w:r w:rsidRPr="033EFC1B" w:rsidR="3AB76A63">
        <w:rPr>
          <w:rFonts w:ascii="Times New Roman" w:hAnsi="Times New Roman" w:eastAsia="Times New Roman" w:cs="Times New Roman"/>
          <w:noProof w:val="0"/>
          <w:sz w:val="30"/>
          <w:szCs w:val="30"/>
          <w:lang w:val="en-GB"/>
        </w:rPr>
        <w:t>, 7th ed. Boston, MA, USA: Pearson, 2022.</w:t>
      </w:r>
    </w:p>
    <w:p w:rsidRPr="00E4300C" w:rsidR="003A12C8" w:rsidP="033EFC1B" w:rsidRDefault="00E4306D" w14:paraId="2C0FB06B" w14:textId="4DD59E6C">
      <w:pPr>
        <w:spacing w:before="240" w:beforeAutospacing="off" w:after="240" w:afterAutospacing="off"/>
        <w:jc w:val="center"/>
      </w:pPr>
      <w:r w:rsidRPr="033EFC1B" w:rsidR="3AB76A63">
        <w:rPr>
          <w:rFonts w:ascii="Times New Roman" w:hAnsi="Times New Roman" w:eastAsia="Times New Roman" w:cs="Times New Roman"/>
          <w:noProof w:val="0"/>
          <w:sz w:val="30"/>
          <w:szCs w:val="30"/>
          <w:lang w:val="en-GB"/>
        </w:rPr>
        <w:t xml:space="preserve">[9] P. M. Curşeu, D. O. Schruijer, and S. Fodor, “Cognition and cooperation in teams: A literature review,” </w:t>
      </w:r>
      <w:r w:rsidRPr="033EFC1B" w:rsidR="3AB76A63">
        <w:rPr>
          <w:rFonts w:ascii="Times New Roman" w:hAnsi="Times New Roman" w:eastAsia="Times New Roman" w:cs="Times New Roman"/>
          <w:i w:val="1"/>
          <w:iCs w:val="1"/>
          <w:noProof w:val="0"/>
          <w:sz w:val="30"/>
          <w:szCs w:val="30"/>
          <w:lang w:val="en-GB"/>
        </w:rPr>
        <w:t>Cognition, Brain, Behavior</w:t>
      </w:r>
      <w:r w:rsidRPr="033EFC1B" w:rsidR="3AB76A63">
        <w:rPr>
          <w:rFonts w:ascii="Times New Roman" w:hAnsi="Times New Roman" w:eastAsia="Times New Roman" w:cs="Times New Roman"/>
          <w:noProof w:val="0"/>
          <w:sz w:val="30"/>
          <w:szCs w:val="30"/>
          <w:lang w:val="en-GB"/>
        </w:rPr>
        <w:t>, vol. 24, no. 3, pp. 185–202, 2020.</w:t>
      </w:r>
    </w:p>
    <w:p w:rsidRPr="00E4300C" w:rsidR="003A12C8" w:rsidP="033EFC1B" w:rsidRDefault="00E4306D" w14:paraId="4C4B81E8" w14:textId="7D7E3668">
      <w:pPr>
        <w:spacing w:before="300" w:beforeAutospacing="off" w:after="180" w:afterAutospacing="off"/>
        <w:jc w:val="center"/>
        <w:rPr>
          <w:rFonts w:ascii="Times New Roman" w:hAnsi="Times New Roman" w:eastAsia="Times New Roman" w:cs="Times New Roman"/>
          <w:i w:val="0"/>
          <w:iCs w:val="0"/>
          <w:noProof w:val="0"/>
          <w:sz w:val="30"/>
          <w:szCs w:val="30"/>
          <w:lang w:val="en-GB"/>
        </w:rPr>
      </w:pPr>
    </w:p>
    <w:p w:rsidRPr="00E4300C" w:rsidR="003A12C8" w:rsidP="033EFC1B" w:rsidRDefault="00E4306D" w14:paraId="5E832B01" w14:textId="59FD0205">
      <w:pPr>
        <w:pStyle w:val="Normal"/>
      </w:pPr>
      <w:r w:rsidRPr="00E4300C" w:rsidR="003A12C8">
        <w:rPr>
          <w:sz w:val="24"/>
          <w:szCs w:val="24"/>
        </w:rPr>
        <w:br w:type="page"/>
      </w:r>
    </w:p>
    <w:p w:rsidRPr="00496BD7" w:rsidR="005C3522" w:rsidRDefault="005C3522" w14:paraId="01E1CD84" w14:textId="77777777"/>
    <w:sectPr w:rsidRPr="00496BD7" w:rsidR="005C3522" w:rsidSect="003A12C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BF0" w:rsidP="00E4306D" w:rsidRDefault="00D72BF0" w14:paraId="2FA989DE" w14:textId="77777777">
      <w:pPr>
        <w:spacing w:after="0" w:line="240" w:lineRule="auto"/>
      </w:pPr>
      <w:r>
        <w:separator/>
      </w:r>
    </w:p>
  </w:endnote>
  <w:endnote w:type="continuationSeparator" w:id="0">
    <w:p w:rsidR="00D72BF0" w:rsidP="00E4306D" w:rsidRDefault="00D72BF0" w14:paraId="1CE16EC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BF0" w:rsidP="00E4306D" w:rsidRDefault="00D72BF0" w14:paraId="4EC07DBC" w14:textId="77777777">
      <w:pPr>
        <w:spacing w:after="0" w:line="240" w:lineRule="auto"/>
      </w:pPr>
      <w:r>
        <w:separator/>
      </w:r>
    </w:p>
  </w:footnote>
  <w:footnote w:type="continuationSeparator" w:id="0">
    <w:p w:rsidR="00D72BF0" w:rsidP="00E4306D" w:rsidRDefault="00D72BF0" w14:paraId="46A4083A"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9465E"/>
    <w:rsid w:val="000E714E"/>
    <w:rsid w:val="0010457E"/>
    <w:rsid w:val="0010673F"/>
    <w:rsid w:val="001F2D39"/>
    <w:rsid w:val="003A12C8"/>
    <w:rsid w:val="00420142"/>
    <w:rsid w:val="00496BD7"/>
    <w:rsid w:val="0054391F"/>
    <w:rsid w:val="005C3522"/>
    <w:rsid w:val="0069234C"/>
    <w:rsid w:val="008A7CDE"/>
    <w:rsid w:val="00983893"/>
    <w:rsid w:val="009F2EFF"/>
    <w:rsid w:val="00AF0F72"/>
    <w:rsid w:val="00D72BF0"/>
    <w:rsid w:val="00D91C37"/>
    <w:rsid w:val="00E4300C"/>
    <w:rsid w:val="00E4306D"/>
    <w:rsid w:val="00F14534"/>
    <w:rsid w:val="00F30BFB"/>
    <w:rsid w:val="00F561BA"/>
    <w:rsid w:val="00FE748B"/>
    <w:rsid w:val="0300FB2D"/>
    <w:rsid w:val="033EFC1B"/>
    <w:rsid w:val="037D29B4"/>
    <w:rsid w:val="0405ED5A"/>
    <w:rsid w:val="04297B50"/>
    <w:rsid w:val="0505DC85"/>
    <w:rsid w:val="05E61EC6"/>
    <w:rsid w:val="06E94F7A"/>
    <w:rsid w:val="07805743"/>
    <w:rsid w:val="084D496B"/>
    <w:rsid w:val="0973C3B7"/>
    <w:rsid w:val="0A073420"/>
    <w:rsid w:val="0B352C9C"/>
    <w:rsid w:val="0C80CD76"/>
    <w:rsid w:val="0F1F7F0E"/>
    <w:rsid w:val="0F566425"/>
    <w:rsid w:val="19E4BF9C"/>
    <w:rsid w:val="1FF70A82"/>
    <w:rsid w:val="209FF671"/>
    <w:rsid w:val="2146DC04"/>
    <w:rsid w:val="235CA147"/>
    <w:rsid w:val="237C865B"/>
    <w:rsid w:val="238EF09B"/>
    <w:rsid w:val="24DA0503"/>
    <w:rsid w:val="264B1F42"/>
    <w:rsid w:val="26730769"/>
    <w:rsid w:val="2A129835"/>
    <w:rsid w:val="2BBBD307"/>
    <w:rsid w:val="2C98718B"/>
    <w:rsid w:val="30D5DDB9"/>
    <w:rsid w:val="312C26E3"/>
    <w:rsid w:val="3524AC50"/>
    <w:rsid w:val="36A5B467"/>
    <w:rsid w:val="3792130E"/>
    <w:rsid w:val="3AB76A63"/>
    <w:rsid w:val="3E462930"/>
    <w:rsid w:val="45B48863"/>
    <w:rsid w:val="45EE380B"/>
    <w:rsid w:val="4621A3D4"/>
    <w:rsid w:val="48E4A2D5"/>
    <w:rsid w:val="49DAD222"/>
    <w:rsid w:val="4B831571"/>
    <w:rsid w:val="4D351EC7"/>
    <w:rsid w:val="4DD98534"/>
    <w:rsid w:val="4F80E03B"/>
    <w:rsid w:val="566CB2C0"/>
    <w:rsid w:val="58090C2B"/>
    <w:rsid w:val="58A3E8CE"/>
    <w:rsid w:val="596ED3E5"/>
    <w:rsid w:val="5B98C0BF"/>
    <w:rsid w:val="5CEA788F"/>
    <w:rsid w:val="64EF72D8"/>
    <w:rsid w:val="68891905"/>
    <w:rsid w:val="693B916A"/>
    <w:rsid w:val="6AD846CA"/>
    <w:rsid w:val="6D87924C"/>
    <w:rsid w:val="71026D18"/>
    <w:rsid w:val="718E28F4"/>
    <w:rsid w:val="71E3F62A"/>
    <w:rsid w:val="76FDB2EC"/>
    <w:rsid w:val="7A4897D0"/>
    <w:rsid w:val="7B27FFE4"/>
    <w:rsid w:val="7BA3D80E"/>
    <w:rsid w:val="7BE996CA"/>
    <w:rsid w:val="7CB3D803"/>
    <w:rsid w:val="7DC23B7F"/>
    <w:rsid w:val="7DE0E6F5"/>
    <w:rsid w:val="7E5761D4"/>
    <w:rsid w:val="7FA0CB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ssignment1mouhamad.my.canva.site/"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image" Target="media/image1.png" Id="rId10" /><Relationship Type="http://schemas.openxmlformats.org/officeDocument/2006/relationships/settings" Target="settings.xml" Id="rId4" /><Relationship Type="http://schemas.openxmlformats.org/officeDocument/2006/relationships/hyperlink" Target="https://assignment1mouhamad.my.canva.site/" TargetMode="External" Id="rId9" /><Relationship Type="http://schemas.openxmlformats.org/officeDocument/2006/relationships/image" Target="/media/image3.png" Id="rId320227056" /><Relationship Type="http://schemas.openxmlformats.org/officeDocument/2006/relationships/image" Target="/media/image4.png" Id="rId1176557496" /><Relationship Type="http://schemas.openxmlformats.org/officeDocument/2006/relationships/image" Target="/media/image5.png" Id="rId199201703" /><Relationship Type="http://schemas.openxmlformats.org/officeDocument/2006/relationships/image" Target="/media/image6.png" Id="rId132697695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Mouhamad Al Amin Wade (2510886)</dc:creator>
  <keywords/>
  <dc:description/>
  <lastModifiedBy>Mouhamad Al Amin Wade (2510886)</lastModifiedBy>
  <revision>3</revision>
  <dcterms:created xsi:type="dcterms:W3CDTF">2025-11-17T12:57:00.0000000Z</dcterms:created>
  <dcterms:modified xsi:type="dcterms:W3CDTF">2025-11-19T10:25:52.3468932Z</dcterms:modified>
</coreProperties>
</file>