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EE0BF5" w14:textId="77777777" w:rsidR="00100956" w:rsidRDefault="00100956" w:rsidP="00E5114C">
      <w:pPr>
        <w:pStyle w:val="Title"/>
      </w:pPr>
      <w:r>
        <w:t xml:space="preserve">Criminal </w:t>
      </w:r>
      <w:r w:rsidR="00E5114C">
        <w:t>law</w:t>
      </w:r>
    </w:p>
    <w:p w14:paraId="542A5901" w14:textId="77777777" w:rsidR="00EE5014" w:rsidRDefault="00EE5014" w:rsidP="00E5114C">
      <w:pPr>
        <w:pStyle w:val="Title"/>
      </w:pPr>
      <w:r>
        <w:t>Does the legislation</w:t>
      </w:r>
      <w:r w:rsidR="008D33EA">
        <w:t xml:space="preserve"> in non-fatal offences</w:t>
      </w:r>
      <w:r>
        <w:t xml:space="preserve"> act</w:t>
      </w:r>
      <w:r w:rsidR="00DB5C1A">
        <w:t xml:space="preserve">s </w:t>
      </w:r>
      <w:r w:rsidR="008D33EA">
        <w:t>need to be updated?</w:t>
      </w:r>
    </w:p>
    <w:p w14:paraId="73F6A42E" w14:textId="77777777" w:rsidR="00E5114C" w:rsidRPr="00E5114C" w:rsidRDefault="00E5114C" w:rsidP="00E5114C"/>
    <w:p w14:paraId="14B3996D" w14:textId="22A5693A" w:rsidR="00EE5014" w:rsidRDefault="6BBE0427" w:rsidP="00574022">
      <w:pPr>
        <w:spacing w:line="480" w:lineRule="auto"/>
        <w:jc w:val="both"/>
      </w:pPr>
      <w:r>
        <w:t xml:space="preserve">Since 1861 society has developed through advances such as social media and technology, this has encouraged the law to develop and change to fit to our modern day crimes. </w:t>
      </w:r>
      <w:r w:rsidR="00574022">
        <w:t xml:space="preserve">This report will evaluate the non-fatal offences act and does it need to be reformed. </w:t>
      </w:r>
      <w:r>
        <w:t>The non-fatal offences act 1861 shows that the section 20 (</w:t>
      </w:r>
      <w:r w:rsidR="00082118" w:rsidRPr="00082118">
        <w:t>grievous</w:t>
      </w:r>
      <w:r>
        <w:t xml:space="preserve"> bodily harm) has the same length of prosecut</w:t>
      </w:r>
      <w:r w:rsidR="00082118">
        <w:t xml:space="preserve">ion time as section 47 (assault </w:t>
      </w:r>
      <w:r>
        <w:t xml:space="preserve">actual bodily harm). The law commission (2015) expresses that the report is ‘’unsatisfactory’’ and ‘’outdated’’, this is mentioned because the act is not specific to the new laws and some parts of the act are not relevant to modern day society.  </w:t>
      </w:r>
    </w:p>
    <w:p w14:paraId="1E11E8F0" w14:textId="343E9F56" w:rsidR="00E5114C" w:rsidRDefault="6BBE0427" w:rsidP="00574022">
      <w:pPr>
        <w:spacing w:line="480" w:lineRule="auto"/>
        <w:jc w:val="both"/>
      </w:pPr>
      <w:proofErr w:type="spellStart"/>
      <w:r>
        <w:t>Tabbush</w:t>
      </w:r>
      <w:proofErr w:type="spellEnd"/>
      <w:r>
        <w:t xml:space="preserve"> S (2014</w:t>
      </w:r>
      <w:r w:rsidR="00082118">
        <w:t>) discuses</w:t>
      </w:r>
      <w:r>
        <w:t xml:space="preserve"> that there are 100,000 prosecutions taken place a year and that is only for common assault crimes. This is relevant because it shows that the 1861 act needs to be updated to fit the new crimes that are taken place. In 1970 the law was to be reformed by the criminal law revision committee, the committee completed a draft which evolved into a report in 1985. In 1989 the report was brought forward to the law commission, the law commission then used the report that had been given to them to be developed it into a draft code. A draft bill and Consultation Paper was finally published in 1998 by the home office. The report has still not been examined by parliament but the home office is now writing a report on reform of the law of offences against a person.  Some may find the 1889 bill an improvement because it is written in plain English, this is an improvement because the 1861 act is in a Victorian manner, which may make the bill harder to read and understand in the c</w:t>
      </w:r>
      <w:r w:rsidR="00082118">
        <w:t>ourtroom. Eugenicos A (p26)</w:t>
      </w:r>
      <w:r>
        <w:t xml:space="preserve"> states 88% believe that there should be a reform but the law commission and others have attempt to improve the law 6 times and there has only been silence in return from the  Ministry of Justice.</w:t>
      </w:r>
    </w:p>
    <w:p w14:paraId="5836B3A7" w14:textId="4D63478D" w:rsidR="00382370" w:rsidRDefault="6BBE0427" w:rsidP="00574022">
      <w:pPr>
        <w:spacing w:line="480" w:lineRule="auto"/>
        <w:jc w:val="both"/>
      </w:pPr>
      <w:r>
        <w:lastRenderedPageBreak/>
        <w:t xml:space="preserve">One reason why the law should not be reformed is that there are areas that are still relevant such as section 24, which shows that a person can be prosecuted if they intend to annoy or harm an individual with poison. This is relevant for individuals in the </w:t>
      </w:r>
      <w:r w:rsidR="00082118">
        <w:t>hospital because this should keep patients</w:t>
      </w:r>
      <w:r w:rsidR="00C615BB">
        <w:t xml:space="preserve"> safe from </w:t>
      </w:r>
      <w:r>
        <w:t>any individual such as a doc</w:t>
      </w:r>
      <w:r w:rsidR="00082118">
        <w:t>tor or nurse from administering poison</w:t>
      </w:r>
      <w:r w:rsidR="003C08D1">
        <w:t xml:space="preserve"> this example is explained by </w:t>
      </w:r>
      <w:r w:rsidR="003C08D1" w:rsidRPr="003C08D1">
        <w:t xml:space="preserve">Eugenicos A (2017) </w:t>
      </w:r>
      <w:r w:rsidR="003C08D1">
        <w:t xml:space="preserve">.Eugenicos A </w:t>
      </w:r>
      <w:r>
        <w:t xml:space="preserve"> (2017, p.26) believes there are a lower number of people that want to reform. The writer has mentioned that the Criminal Bar Association and the bar association do not want to reform because they believe it would be pointless because we have already </w:t>
      </w:r>
      <w:r w:rsidR="00FD4E0F">
        <w:t>examined</w:t>
      </w:r>
      <w:r>
        <w:t xml:space="preserve"> other areas that are not involved into case laws such a</w:t>
      </w:r>
      <w:r w:rsidR="00C615BB">
        <w:t>s transferring HIV, some may see</w:t>
      </w:r>
      <w:r>
        <w:t xml:space="preserve"> the reform to</w:t>
      </w:r>
      <w:r w:rsidR="00C615BB">
        <w:t xml:space="preserve"> be a unnecessary waste of time such as the bar association (2015).</w:t>
      </w:r>
      <w:r>
        <w:t xml:space="preserve"> </w:t>
      </w:r>
    </w:p>
    <w:p w14:paraId="0FD0C6EF" w14:textId="51C4D775" w:rsidR="00382370" w:rsidRPr="00806EA9" w:rsidRDefault="6BBE0427" w:rsidP="00574022">
      <w:pPr>
        <w:spacing w:line="480" w:lineRule="auto"/>
        <w:jc w:val="both"/>
      </w:pPr>
      <w:r w:rsidRPr="00FD4E0F">
        <w:t xml:space="preserve">The criminal bar association </w:t>
      </w:r>
      <w:r w:rsidR="00FD4E0F">
        <w:t xml:space="preserve">(2015 </w:t>
      </w:r>
      <w:r w:rsidR="00FD4E0F" w:rsidRPr="00FD4E0F">
        <w:t>Para 3.15.</w:t>
      </w:r>
      <w:r w:rsidRPr="00FD4E0F">
        <w:t xml:space="preserve">) states </w:t>
      </w:r>
      <w:r w:rsidR="00FD4E0F" w:rsidRPr="00FD4E0F">
        <w:t>‘’</w:t>
      </w:r>
      <w:r w:rsidR="00FD4E0F" w:rsidRPr="00FD4E0F">
        <w:rPr>
          <w:i/>
          <w:iCs/>
        </w:rPr>
        <w:t>we</w:t>
      </w:r>
      <w:r w:rsidRPr="00FD4E0F">
        <w:rPr>
          <w:i/>
          <w:iCs/>
        </w:rPr>
        <w:t xml:space="preserve"> think that each type of harm in these provision is or can be dealt with by other offences.’’ </w:t>
      </w:r>
      <w:r w:rsidRPr="00FD4E0F">
        <w:t xml:space="preserve">This quote shows that the law does not need to </w:t>
      </w:r>
      <w:r w:rsidR="003C08D1" w:rsidRPr="00FD4E0F">
        <w:t>change</w:t>
      </w:r>
      <w:r w:rsidRPr="00FD4E0F">
        <w:t xml:space="preserve"> because offences are covered in other areas such as case law.</w:t>
      </w:r>
      <w:r>
        <w:t xml:space="preserve"> </w:t>
      </w:r>
      <w:r w:rsidR="0055400F">
        <w:t xml:space="preserve">The criminal bar association (2015) believe that they are not being unfair by mentioning that there is no need for change because the other areas what are not involved in the text are covered by other common laws and criminal liability so it is not unfair to the defendant to be faced with these charges. On 12 </w:t>
      </w:r>
      <w:r w:rsidR="00574022">
        <w:t>February</w:t>
      </w:r>
      <w:r w:rsidR="0055400F">
        <w:t xml:space="preserve"> 2015 t</w:t>
      </w:r>
      <w:r w:rsidR="00574022">
        <w:t xml:space="preserve">a report was published by the </w:t>
      </w:r>
      <w:r w:rsidR="0055400F">
        <w:t>criminal bar associatio</w:t>
      </w:r>
      <w:r w:rsidR="00574022">
        <w:t xml:space="preserve">n, in this report it shows a series of questions based on the view the criminal bar association have. The criminal bar association believe that the language in the report is not unsatisfactory because an individual in the court room will understand the meaning but the only difference is that there will be meanings used that are not used in everyday life, this is stated in the report. If there are any difficulties in the defendant understanding then the court will explain. If there had to be a reform then the bar association explains that they would replace section 20, the 1861 Act and section 47 with a single act that covers all bases and they would also remove some elements that are no longer relevant. </w:t>
      </w:r>
      <w:r w:rsidR="00C4517C">
        <w:t xml:space="preserve">The bar association (2015) believe that there does not need to be change to the assault and battery section because it is also covered by a case law called </w:t>
      </w:r>
      <w:r w:rsidR="00C4517C" w:rsidRPr="00C4517C">
        <w:t xml:space="preserve">Regina v. </w:t>
      </w:r>
      <w:proofErr w:type="spellStart"/>
      <w:r w:rsidR="00C4517C" w:rsidRPr="00C4517C">
        <w:t>Burstow</w:t>
      </w:r>
      <w:proofErr w:type="spellEnd"/>
      <w:r w:rsidR="00C4517C" w:rsidRPr="00C4517C">
        <w:t>; Regina v Ireland</w:t>
      </w:r>
      <w:r w:rsidR="00C4517C">
        <w:t xml:space="preserve">, this case law came to a conclusion on July 1997 by the house of Lords. </w:t>
      </w:r>
    </w:p>
    <w:p w14:paraId="41D5A087" w14:textId="77777777" w:rsidR="00E5114C" w:rsidRDefault="00E5114C" w:rsidP="00574022">
      <w:pPr>
        <w:spacing w:line="480" w:lineRule="auto"/>
        <w:jc w:val="both"/>
      </w:pPr>
    </w:p>
    <w:p w14:paraId="2C6B50F1" w14:textId="0B24D1FD" w:rsidR="002D4DCC" w:rsidRDefault="6BBE0427" w:rsidP="00574022">
      <w:pPr>
        <w:spacing w:line="480" w:lineRule="auto"/>
        <w:jc w:val="both"/>
      </w:pPr>
      <w:r>
        <w:t xml:space="preserve">The non-fatal offences act 1861 includes offences that are clearly not relevant to today’s society. For example, it is illegal not to supply the servants with food, clothing and water. The master or mistress must keep their servants protected or they will be guilty of misdemeanour (a minor wrong doing). </w:t>
      </w:r>
      <w:proofErr w:type="spellStart"/>
      <w:r>
        <w:t>Tabbush</w:t>
      </w:r>
      <w:proofErr w:type="spellEnd"/>
      <w:r>
        <w:t xml:space="preserve"> S</w:t>
      </w:r>
      <w:r w:rsidR="00B77395">
        <w:t xml:space="preserve"> (2014)</w:t>
      </w:r>
      <w:r>
        <w:t xml:space="preserve"> has mentioned that there are offences in the 1861 act mentions about impeding escape from a wreck, this shows that parts of </w:t>
      </w:r>
      <w:r w:rsidR="00C615BB">
        <w:t xml:space="preserve">the act are no longer </w:t>
      </w:r>
      <w:r w:rsidR="0055400F">
        <w:t>relevant</w:t>
      </w:r>
      <w:r>
        <w:t xml:space="preserve">. </w:t>
      </w:r>
      <w:proofErr w:type="spellStart"/>
      <w:r w:rsidRPr="00B77395">
        <w:t>Goymer</w:t>
      </w:r>
      <w:proofErr w:type="spellEnd"/>
      <w:r w:rsidRPr="00B77395">
        <w:t xml:space="preserve"> (2015)</w:t>
      </w:r>
      <w:r>
        <w:t xml:space="preserve"> expresses that the act is over 150 years old; this demonstrates that the act will not be up to date with new offences being committed such as a person transferring a sexual disease to another person and/or harassment online. </w:t>
      </w:r>
    </w:p>
    <w:p w14:paraId="3BF54D97" w14:textId="5A3ACE51" w:rsidR="000A444D" w:rsidRDefault="005B0F41" w:rsidP="00574022">
      <w:pPr>
        <w:spacing w:line="480" w:lineRule="auto"/>
        <w:jc w:val="both"/>
      </w:pPr>
      <w:r>
        <w:t xml:space="preserve">The current </w:t>
      </w:r>
      <w:r w:rsidR="00E670D7">
        <w:t>state of law has two options, option one is a lower case of an assault and is only punish</w:t>
      </w:r>
      <w:r w:rsidR="00C615BB">
        <w:t>able of up to six</w:t>
      </w:r>
      <w:r w:rsidR="00E670D7">
        <w:t xml:space="preserve"> months in jail for current common assault. This option is </w:t>
      </w:r>
      <w:r w:rsidR="00C615BB">
        <w:t>the cheapest option because the</w:t>
      </w:r>
      <w:r w:rsidR="00E670D7">
        <w:t xml:space="preserve"> trail </w:t>
      </w:r>
      <w:r w:rsidR="00C615BB">
        <w:t>will take place in the</w:t>
      </w:r>
      <w:r w:rsidR="00E670D7">
        <w:t xml:space="preserve"> </w:t>
      </w:r>
      <w:r w:rsidR="00E670D7" w:rsidRPr="00E670D7">
        <w:t>magistrates’ court</w:t>
      </w:r>
      <w:r w:rsidR="00C615BB">
        <w:t xml:space="preserve">. Option one usually processes in a quicker time period than option two </w:t>
      </w:r>
      <w:r w:rsidR="00E670D7">
        <w:t>but the problem is the offence does not actually charge the defendant with actual bodily injury, which means no harm caused.  Option two is a more serious offence because it usually takes place in the crown court. This makes the case a longer process, which then de</w:t>
      </w:r>
      <w:r w:rsidR="00C615BB">
        <w:t xml:space="preserve">velops the case into a higher expense </w:t>
      </w:r>
      <w:r w:rsidR="00E670D7">
        <w:t>than the trail taking place in the magis</w:t>
      </w:r>
      <w:r w:rsidR="00C615BB">
        <w:t>trates’ court.  This option is</w:t>
      </w:r>
      <w:r w:rsidR="00E670D7">
        <w:t xml:space="preserve"> more serious because the defendant can be charged with up to 5 years imprisonment. </w:t>
      </w:r>
      <w:r w:rsidR="00D050B7">
        <w:t xml:space="preserve">The law commission (2015) has suggested a summary to be added into the </w:t>
      </w:r>
      <w:r w:rsidR="00AB28C1">
        <w:t>act, the summary will be called</w:t>
      </w:r>
      <w:r w:rsidR="00D050B7">
        <w:t xml:space="preserve"> </w:t>
      </w:r>
      <w:r w:rsidR="00AB28C1">
        <w:t>‘</w:t>
      </w:r>
      <w:r w:rsidR="00AB28C1" w:rsidRPr="00AB28C1">
        <w:rPr>
          <w:i/>
        </w:rPr>
        <w:t>’</w:t>
      </w:r>
      <w:r w:rsidR="00D050B7" w:rsidRPr="00AB28C1">
        <w:rPr>
          <w:i/>
        </w:rPr>
        <w:t>offence of aggravated assault</w:t>
      </w:r>
      <w:r w:rsidR="00AB28C1" w:rsidRPr="00AB28C1">
        <w:rPr>
          <w:i/>
        </w:rPr>
        <w:t>’’</w:t>
      </w:r>
      <w:r w:rsidR="00D050B7">
        <w:t xml:space="preserve">. This new summary will be a huge improvement because it is a longer sentence for an individual that has only caused a minor injury but the </w:t>
      </w:r>
      <w:r w:rsidR="00C615BB">
        <w:t>defendant</w:t>
      </w:r>
      <w:r w:rsidR="00D050B7">
        <w:t xml:space="preserve"> will not have to serve a sentence up to 5 years but up to 12 months</w:t>
      </w:r>
      <w:r w:rsidR="00C615BB">
        <w:t xml:space="preserve"> instead</w:t>
      </w:r>
      <w:r w:rsidR="00D050B7">
        <w:t xml:space="preserve">. This new summary will </w:t>
      </w:r>
      <w:r w:rsidR="00C615BB">
        <w:t>stand between the</w:t>
      </w:r>
      <w:r w:rsidR="00D050B7">
        <w:t xml:space="preserve"> two options.</w:t>
      </w:r>
      <w:r w:rsidR="001113AA" w:rsidRPr="001113AA">
        <w:t xml:space="preserve"> Professor David Ormerod</w:t>
      </w:r>
      <w:r w:rsidR="00D050B7" w:rsidRPr="001113AA">
        <w:t xml:space="preserve"> </w:t>
      </w:r>
      <w:r w:rsidR="001113AA">
        <w:t xml:space="preserve">states that </w:t>
      </w:r>
      <w:r w:rsidR="001113AA" w:rsidRPr="001113AA">
        <w:rPr>
          <w:i/>
        </w:rPr>
        <w:t>‘’currently 73.5% of ABH cases tried in the Crown Court result in a sentence of 12 months</w:t>
      </w:r>
      <w:r w:rsidR="00CA6390" w:rsidRPr="00CA6390">
        <w:rPr>
          <w:i/>
        </w:rPr>
        <w:t xml:space="preserve"> or under where there is a conviction</w:t>
      </w:r>
      <w:r w:rsidR="001113AA" w:rsidRPr="001113AA">
        <w:rPr>
          <w:i/>
        </w:rPr>
        <w:t>’’</w:t>
      </w:r>
      <w:r w:rsidR="001113AA">
        <w:rPr>
          <w:i/>
        </w:rPr>
        <w:t xml:space="preserve"> </w:t>
      </w:r>
      <w:r w:rsidR="001113AA">
        <w:t xml:space="preserve">this shows that </w:t>
      </w:r>
      <w:r w:rsidR="00CA6390">
        <w:t xml:space="preserve">the government could save a huge amount of </w:t>
      </w:r>
      <w:proofErr w:type="gramStart"/>
      <w:r w:rsidR="00CA6390">
        <w:t>money</w:t>
      </w:r>
      <w:r w:rsidR="00B77395">
        <w:t xml:space="preserve">  (</w:t>
      </w:r>
      <w:proofErr w:type="gramEnd"/>
      <w:r w:rsidR="00B77395" w:rsidRPr="00B77395">
        <w:rPr>
          <w:highlight w:val="yellow"/>
        </w:rPr>
        <w:t>year and page)</w:t>
      </w:r>
      <w:r w:rsidR="00CA6390" w:rsidRPr="00B77395">
        <w:rPr>
          <w:highlight w:val="yellow"/>
        </w:rPr>
        <w:t>.</w:t>
      </w:r>
      <w:r w:rsidR="00CA6390">
        <w:t xml:space="preserve"> </w:t>
      </w:r>
    </w:p>
    <w:p w14:paraId="05C437B9" w14:textId="4D8DB900" w:rsidR="007A5D61" w:rsidRDefault="6BBE0427" w:rsidP="00574022">
      <w:pPr>
        <w:spacing w:line="480" w:lineRule="auto"/>
        <w:jc w:val="both"/>
      </w:pPr>
      <w:r>
        <w:lastRenderedPageBreak/>
        <w:t xml:space="preserve">The Law Commission have tried to address certain fragments of the law that they would like to change in the bill. One area that will be abolished in the new bill will be clause 14. Clause 14 is intention and recklessness; the Law Commission would like to abolish this section because they feel that is unnecessary. Section 26 will not be written in the new bill because this area is protected under the Modern Slavery Act 2015.  </w:t>
      </w:r>
      <w:proofErr w:type="spellStart"/>
      <w:r>
        <w:t>Eugenicos</w:t>
      </w:r>
      <w:proofErr w:type="spellEnd"/>
      <w:r>
        <w:t xml:space="preserve"> A </w:t>
      </w:r>
      <w:r w:rsidR="00B77395" w:rsidRPr="00B77395">
        <w:t>(2017</w:t>
      </w:r>
      <w:r w:rsidRPr="00B77395">
        <w:t>)</w:t>
      </w:r>
      <w:r>
        <w:t xml:space="preserve"> has suggested that clause 15 should be altered because it talks about psychiatric and physical injury but it does not mention diseases, this demonstrates that problems such as sexually transmitted diseases will not be covered. Another journal written by Adam Jackson and Tony Storey states that clauses one to four will be replacing section 18, 20 and 47 of the OAPA 1861. Clause one is about the intention of causing serious injury to another person. Next, there is clause two and this is recklessly causing serious injury to another person. Clause three states a person is to recklessly or intently cause injury to another person and the final one is clause four and this is to intently or recklessly apply any force or impact to another person. Clause four also shows if a person believes that there will be any force or impact is imminent. Jackson A and storey T (</w:t>
      </w:r>
      <w:r w:rsidR="00B77395">
        <w:t>2015)</w:t>
      </w:r>
      <w:r>
        <w:t xml:space="preserve"> believe that the 1861 act lacks correspondence between the vital mental element and the external elements. This shows that if a defendant is in court then the defendant can be prosecuted with a higher charge than what he/she should have had. </w:t>
      </w:r>
    </w:p>
    <w:p w14:paraId="29768AF9" w14:textId="77777777" w:rsidR="002D4DCC" w:rsidRDefault="002D4DCC" w:rsidP="00574022">
      <w:pPr>
        <w:spacing w:line="480" w:lineRule="auto"/>
        <w:jc w:val="both"/>
      </w:pPr>
    </w:p>
    <w:p w14:paraId="760B3EEC" w14:textId="77777777" w:rsidR="00E5114C" w:rsidRDefault="00E5114C" w:rsidP="00574022">
      <w:pPr>
        <w:spacing w:line="480" w:lineRule="auto"/>
        <w:jc w:val="both"/>
      </w:pPr>
      <w:r>
        <w:t>conclusion</w:t>
      </w:r>
    </w:p>
    <w:p w14:paraId="7963EB35" w14:textId="6C7C9F6C" w:rsidR="00100956" w:rsidRDefault="00DE14C6" w:rsidP="00574022">
      <w:pPr>
        <w:spacing w:line="480" w:lineRule="auto"/>
        <w:jc w:val="both"/>
      </w:pPr>
      <w:r>
        <w:t>A</w:t>
      </w:r>
      <w:r w:rsidR="00554445">
        <w:t xml:space="preserve">uthors </w:t>
      </w:r>
      <w:r w:rsidR="00382370">
        <w:t xml:space="preserve">such as </w:t>
      </w:r>
      <w:r w:rsidR="00554445" w:rsidRPr="00554445">
        <w:t>Jackson</w:t>
      </w:r>
      <w:r w:rsidR="00554445">
        <w:t xml:space="preserve"> A and storey T believe that the scoping consultation paper only represents the first few steps to achieve reform but there is a moderate constructive approve to the offence and this shows the new law should be taken forward to replace the old one. Some </w:t>
      </w:r>
      <w:r w:rsidR="00382370">
        <w:t>authors</w:t>
      </w:r>
      <w:r w:rsidR="00554445">
        <w:t xml:space="preserve"> such as </w:t>
      </w:r>
      <w:r w:rsidR="00B77395" w:rsidRPr="00554445">
        <w:t>Jackson</w:t>
      </w:r>
      <w:r w:rsidR="00B77395">
        <w:t>,</w:t>
      </w:r>
      <w:r w:rsidR="005F0DD3">
        <w:t xml:space="preserve"> </w:t>
      </w:r>
      <w:proofErr w:type="gramStart"/>
      <w:r w:rsidR="005F0DD3">
        <w:t>S</w:t>
      </w:r>
      <w:r w:rsidR="00B77395">
        <w:t xml:space="preserve">torey </w:t>
      </w:r>
      <w:r w:rsidR="00554445">
        <w:t xml:space="preserve"> and</w:t>
      </w:r>
      <w:proofErr w:type="gramEnd"/>
      <w:r w:rsidR="00554445">
        <w:t xml:space="preserve"> </w:t>
      </w:r>
      <w:r w:rsidR="00554445" w:rsidRPr="00554445">
        <w:t>Professor David Ormerod</w:t>
      </w:r>
      <w:r w:rsidR="00554445">
        <w:t xml:space="preserve"> would like there to be a reform but there are also others such As </w:t>
      </w:r>
      <w:r w:rsidR="00382370">
        <w:t>the</w:t>
      </w:r>
      <w:r w:rsidR="00382370" w:rsidRPr="00382370">
        <w:t xml:space="preserve"> Criminal Bar Association and the bar association </w:t>
      </w:r>
      <w:r w:rsidR="00554445">
        <w:t xml:space="preserve">would like the law to stay the same because it may be a </w:t>
      </w:r>
      <w:r w:rsidR="00382370">
        <w:t>waste</w:t>
      </w:r>
      <w:r w:rsidR="00554445">
        <w:t xml:space="preserve"> of time to change the law. </w:t>
      </w:r>
      <w:r w:rsidR="00C4517C">
        <w:t xml:space="preserve">The criminal car association believe that all areas are covered because of the creation of case law. This shows that there are some valid points to reform </w:t>
      </w:r>
      <w:r w:rsidR="00C4517C">
        <w:lastRenderedPageBreak/>
        <w:t>but others disagree. The research that has been found shows that all cases so far have dealt with either using non-fatal offences or case law so there has been no need for reform as of yet states the criminal bar association.</w:t>
      </w:r>
    </w:p>
    <w:p w14:paraId="231F62DF" w14:textId="77777777" w:rsidR="00100956" w:rsidRDefault="00224278" w:rsidP="00574022">
      <w:pPr>
        <w:pStyle w:val="Title"/>
        <w:spacing w:line="480" w:lineRule="auto"/>
        <w:jc w:val="both"/>
      </w:pPr>
      <w:r>
        <w:t>reference list</w:t>
      </w:r>
    </w:p>
    <w:p w14:paraId="5533F3E6" w14:textId="77777777" w:rsidR="001D6791" w:rsidRDefault="00397BF8" w:rsidP="00574022">
      <w:pPr>
        <w:spacing w:line="480" w:lineRule="auto"/>
        <w:jc w:val="both"/>
      </w:pPr>
      <w:r>
        <w:t>online</w:t>
      </w:r>
    </w:p>
    <w:p w14:paraId="4AE8D8B2" w14:textId="77777777" w:rsidR="001D6791" w:rsidRDefault="001D6791" w:rsidP="00574022">
      <w:pPr>
        <w:spacing w:line="480" w:lineRule="auto"/>
        <w:jc w:val="both"/>
      </w:pPr>
      <w:r w:rsidRPr="001D6791">
        <w:t xml:space="preserve">Professor Ormerod </w:t>
      </w:r>
      <w:r>
        <w:t>, D (2015),</w:t>
      </w:r>
      <w:r w:rsidRPr="001D6791">
        <w:t xml:space="preserve"> Offences against the Person</w:t>
      </w:r>
      <w:r>
        <w:t xml:space="preserve">(online), available at </w:t>
      </w:r>
      <w:hyperlink r:id="rId6" w:history="1">
        <w:r w:rsidRPr="00F83E4C">
          <w:rPr>
            <w:rStyle w:val="Hyperlink"/>
          </w:rPr>
          <w:t>https://www.lawcom.gov.uk/project/offences-against-the-person/</w:t>
        </w:r>
      </w:hyperlink>
      <w:r>
        <w:t>, accessed on 24</w:t>
      </w:r>
      <w:r w:rsidRPr="001D6791">
        <w:rPr>
          <w:vertAlign w:val="superscript"/>
        </w:rPr>
        <w:t>th</w:t>
      </w:r>
      <w:r>
        <w:t xml:space="preserve"> November 2017. </w:t>
      </w:r>
    </w:p>
    <w:p w14:paraId="1C52220B" w14:textId="77777777" w:rsidR="00224278" w:rsidRDefault="00397BF8" w:rsidP="00574022">
      <w:pPr>
        <w:spacing w:line="480" w:lineRule="auto"/>
        <w:jc w:val="both"/>
      </w:pPr>
      <w:r w:rsidRPr="00397BF8">
        <w:t>Tabbush S (2014)</w:t>
      </w:r>
      <w:r>
        <w:t>,</w:t>
      </w:r>
      <w:r w:rsidRPr="00397BF8">
        <w:t xml:space="preserve"> Reform of Offences Against the Person</w:t>
      </w:r>
      <w:r>
        <w:t xml:space="preserve">(online), available at </w:t>
      </w:r>
      <w:hyperlink r:id="rId7" w:history="1">
        <w:r w:rsidRPr="00F83E4C">
          <w:rPr>
            <w:rStyle w:val="Hyperlink"/>
          </w:rPr>
          <w:t>https://www.criminallawandjustice.co.uk/features/Reform-Offences-Against-Person</w:t>
        </w:r>
      </w:hyperlink>
      <w:r>
        <w:t xml:space="preserve">  , accessed on 24</w:t>
      </w:r>
      <w:r w:rsidRPr="00397BF8">
        <w:rPr>
          <w:vertAlign w:val="superscript"/>
        </w:rPr>
        <w:t>th</w:t>
      </w:r>
      <w:r>
        <w:t xml:space="preserve"> November 2017. </w:t>
      </w:r>
    </w:p>
    <w:p w14:paraId="2DF70FB3" w14:textId="77777777" w:rsidR="00AD3808" w:rsidRDefault="00F8116B" w:rsidP="00574022">
      <w:pPr>
        <w:spacing w:line="480" w:lineRule="auto"/>
        <w:jc w:val="both"/>
      </w:pPr>
      <w:r>
        <w:t>Legislation.gov.uk</w:t>
      </w:r>
      <w:r w:rsidR="00AD3808">
        <w:t xml:space="preserve"> (date unknown) offences against a person</w:t>
      </w:r>
      <w:r w:rsidR="005B0F41">
        <w:t xml:space="preserve"> (online)</w:t>
      </w:r>
      <w:r w:rsidR="00AD3808">
        <w:t xml:space="preserve">, available at </w:t>
      </w:r>
      <w:hyperlink r:id="rId8" w:history="1">
        <w:r w:rsidR="00AD3808" w:rsidRPr="00F83E4C">
          <w:rPr>
            <w:rStyle w:val="Hyperlink"/>
          </w:rPr>
          <w:t>http://www.legislation.gov.uk/ukpga/Vict/24-25/100/section/26</w:t>
        </w:r>
      </w:hyperlink>
      <w:r w:rsidR="00AD3808">
        <w:t xml:space="preserve"> accessed on 24th November 2017. </w:t>
      </w:r>
    </w:p>
    <w:p w14:paraId="08CD575B" w14:textId="77777777" w:rsidR="005B0F41" w:rsidRDefault="005B0F41" w:rsidP="00574022">
      <w:pPr>
        <w:spacing w:line="480" w:lineRule="auto"/>
        <w:jc w:val="both"/>
      </w:pPr>
      <w:proofErr w:type="spellStart"/>
      <w:r>
        <w:t>Goymer</w:t>
      </w:r>
      <w:proofErr w:type="spellEnd"/>
      <w:r>
        <w:t xml:space="preserve"> A (2015) </w:t>
      </w:r>
      <w:r w:rsidRPr="005B0F41">
        <w:t>Offences against the Person</w:t>
      </w:r>
      <w:r>
        <w:t xml:space="preserve"> (online) available at </w:t>
      </w:r>
      <w:hyperlink r:id="rId9" w:history="1">
        <w:r w:rsidRPr="00486F19">
          <w:rPr>
            <w:rStyle w:val="Hyperlink"/>
          </w:rPr>
          <w:t>https://www.lawcom.gov.uk/project/offences-against-the-person/</w:t>
        </w:r>
      </w:hyperlink>
      <w:r>
        <w:t xml:space="preserve"> accessed on 25</w:t>
      </w:r>
      <w:r w:rsidRPr="005B0F41">
        <w:rPr>
          <w:vertAlign w:val="superscript"/>
        </w:rPr>
        <w:t>th</w:t>
      </w:r>
      <w:r>
        <w:t xml:space="preserve"> November 2017.</w:t>
      </w:r>
    </w:p>
    <w:p w14:paraId="591F3817" w14:textId="77777777" w:rsidR="00806EA9" w:rsidRDefault="00831985" w:rsidP="00574022">
      <w:pPr>
        <w:spacing w:line="480" w:lineRule="auto"/>
        <w:jc w:val="both"/>
      </w:pPr>
      <w:r>
        <w:t xml:space="preserve">Eugenicos A (2017) </w:t>
      </w:r>
      <w:r w:rsidRPr="00831985">
        <w:t xml:space="preserve">Should We Reform the Offences Against the Person Act </w:t>
      </w:r>
      <w:proofErr w:type="gramStart"/>
      <w:r w:rsidRPr="00831985">
        <w:t>1861?</w:t>
      </w:r>
      <w:r>
        <w:t>,</w:t>
      </w:r>
      <w:proofErr w:type="gramEnd"/>
      <w:r w:rsidRPr="00831985">
        <w:t xml:space="preserve"> </w:t>
      </w:r>
      <w:r w:rsidRPr="00831985">
        <w:rPr>
          <w:u w:val="single"/>
        </w:rPr>
        <w:t>The Journal of Criminal Law 2017</w:t>
      </w:r>
      <w:r>
        <w:t>, Vol. 81, part 1 ,pp.</w:t>
      </w:r>
      <w:r w:rsidRPr="00831985">
        <w:t xml:space="preserve"> 26–32</w:t>
      </w:r>
    </w:p>
    <w:p w14:paraId="59E7CF65" w14:textId="77777777" w:rsidR="00831985" w:rsidRDefault="00382370" w:rsidP="00574022">
      <w:pPr>
        <w:spacing w:line="480" w:lineRule="auto"/>
        <w:jc w:val="both"/>
      </w:pPr>
      <w:r w:rsidRPr="00382370">
        <w:t>Jackson A and storey T</w:t>
      </w:r>
      <w:r>
        <w:t xml:space="preserve"> (2015) Reforming Offences Against the Person: In Defence of ‘Moderate’ Constructivism,</w:t>
      </w:r>
      <w:r w:rsidRPr="00382370">
        <w:t xml:space="preserve"> </w:t>
      </w:r>
      <w:r w:rsidRPr="00382370">
        <w:rPr>
          <w:u w:val="single"/>
        </w:rPr>
        <w:t>The Journal of Criminal Law 2015</w:t>
      </w:r>
      <w:r>
        <w:t xml:space="preserve">, Vol. 79 part </w:t>
      </w:r>
      <w:proofErr w:type="gramStart"/>
      <w:r>
        <w:t>6 ,</w:t>
      </w:r>
      <w:proofErr w:type="gramEnd"/>
      <w:r>
        <w:t xml:space="preserve"> pp.437–447 </w:t>
      </w:r>
    </w:p>
    <w:p w14:paraId="5563EF9C" w14:textId="56A1B974" w:rsidR="00806EA9" w:rsidRDefault="00806EA9" w:rsidP="00574022">
      <w:pPr>
        <w:spacing w:line="480" w:lineRule="auto"/>
        <w:jc w:val="both"/>
      </w:pPr>
      <w:r>
        <w:t>The criminal bar association (2015) PROPOSED REFORM OF THE OFFENCES AGAINST THE PERSON ACT 1861 CON</w:t>
      </w:r>
      <w:r w:rsidR="00082118">
        <w:t xml:space="preserve">SULTATION BY THE LAW COMMISSION, </w:t>
      </w:r>
      <w:r w:rsidR="00082118" w:rsidRPr="00082118">
        <w:t>12 February 2015</w:t>
      </w:r>
    </w:p>
    <w:p w14:paraId="1CB07A0B" w14:textId="1EBBF0D5" w:rsidR="00806EA9" w:rsidRDefault="00B77395" w:rsidP="00574022">
      <w:pPr>
        <w:spacing w:line="480" w:lineRule="auto"/>
        <w:jc w:val="both"/>
      </w:pPr>
      <w:r w:rsidRPr="00B77395">
        <w:rPr>
          <w:highlight w:val="yellow"/>
        </w:rPr>
        <w:t>Case list</w:t>
      </w:r>
      <w:bookmarkStart w:id="0" w:name="_GoBack"/>
      <w:bookmarkEnd w:id="0"/>
    </w:p>
    <w:p w14:paraId="2954FA86" w14:textId="77777777" w:rsidR="00806EA9" w:rsidRDefault="00DE14C6" w:rsidP="00574022">
      <w:pPr>
        <w:spacing w:line="480" w:lineRule="auto"/>
        <w:jc w:val="both"/>
      </w:pPr>
      <w:r>
        <w:lastRenderedPageBreak/>
        <w:t>(have not ordered yet)</w:t>
      </w:r>
    </w:p>
    <w:sectPr w:rsidR="00806EA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788FB8" w14:textId="77777777" w:rsidR="0073449A" w:rsidRDefault="0073449A" w:rsidP="005F0DD3">
      <w:pPr>
        <w:spacing w:after="0" w:line="240" w:lineRule="auto"/>
      </w:pPr>
      <w:r>
        <w:separator/>
      </w:r>
    </w:p>
  </w:endnote>
  <w:endnote w:type="continuationSeparator" w:id="0">
    <w:p w14:paraId="434E0DFC" w14:textId="77777777" w:rsidR="0073449A" w:rsidRDefault="0073449A" w:rsidP="005F0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82A6D4" w14:textId="77777777" w:rsidR="0073449A" w:rsidRDefault="0073449A" w:rsidP="005F0DD3">
      <w:pPr>
        <w:spacing w:after="0" w:line="240" w:lineRule="auto"/>
      </w:pPr>
      <w:r>
        <w:separator/>
      </w:r>
    </w:p>
  </w:footnote>
  <w:footnote w:type="continuationSeparator" w:id="0">
    <w:p w14:paraId="7E9989D2" w14:textId="77777777" w:rsidR="0073449A" w:rsidRDefault="0073449A" w:rsidP="005F0D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2D3EE" w14:textId="77777777" w:rsidR="005F0DD3" w:rsidRDefault="005F0DD3">
    <w:pPr>
      <w:pStyle w:val="Header"/>
    </w:pPr>
    <w:r>
      <w:t>Leteisha Dayman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956"/>
    <w:rsid w:val="00082118"/>
    <w:rsid w:val="000A444D"/>
    <w:rsid w:val="00100956"/>
    <w:rsid w:val="001113AA"/>
    <w:rsid w:val="0015229E"/>
    <w:rsid w:val="001D6791"/>
    <w:rsid w:val="00224278"/>
    <w:rsid w:val="002D4DCC"/>
    <w:rsid w:val="00305B82"/>
    <w:rsid w:val="00382370"/>
    <w:rsid w:val="00397BF8"/>
    <w:rsid w:val="003B0CC0"/>
    <w:rsid w:val="003C08D1"/>
    <w:rsid w:val="00536C24"/>
    <w:rsid w:val="0055400F"/>
    <w:rsid w:val="00554445"/>
    <w:rsid w:val="0056155B"/>
    <w:rsid w:val="00574022"/>
    <w:rsid w:val="005B0F41"/>
    <w:rsid w:val="005F0DD3"/>
    <w:rsid w:val="00656120"/>
    <w:rsid w:val="006F6C5D"/>
    <w:rsid w:val="0073449A"/>
    <w:rsid w:val="00742E46"/>
    <w:rsid w:val="007441D1"/>
    <w:rsid w:val="00797853"/>
    <w:rsid w:val="007A5D61"/>
    <w:rsid w:val="00806EA9"/>
    <w:rsid w:val="00831985"/>
    <w:rsid w:val="0087746E"/>
    <w:rsid w:val="008D33EA"/>
    <w:rsid w:val="009B795F"/>
    <w:rsid w:val="00A10B6D"/>
    <w:rsid w:val="00AB28C1"/>
    <w:rsid w:val="00AD3808"/>
    <w:rsid w:val="00AE7486"/>
    <w:rsid w:val="00B76AF0"/>
    <w:rsid w:val="00B77395"/>
    <w:rsid w:val="00C4517C"/>
    <w:rsid w:val="00C615BB"/>
    <w:rsid w:val="00CA6390"/>
    <w:rsid w:val="00D050B7"/>
    <w:rsid w:val="00D52BE1"/>
    <w:rsid w:val="00DB5C1A"/>
    <w:rsid w:val="00DC27B1"/>
    <w:rsid w:val="00DE14C6"/>
    <w:rsid w:val="00E5114C"/>
    <w:rsid w:val="00E670D7"/>
    <w:rsid w:val="00E864FB"/>
    <w:rsid w:val="00EE5014"/>
    <w:rsid w:val="00F72320"/>
    <w:rsid w:val="00F8116B"/>
    <w:rsid w:val="00FD4E0F"/>
    <w:rsid w:val="6BBE0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42A86"/>
  <w15:chartTrackingRefBased/>
  <w15:docId w15:val="{597C6964-C4D0-4A2C-B289-915FD899F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6791"/>
    <w:rPr>
      <w:color w:val="0563C1" w:themeColor="hyperlink"/>
      <w:u w:val="single"/>
    </w:rPr>
  </w:style>
  <w:style w:type="paragraph" w:styleId="Title">
    <w:name w:val="Title"/>
    <w:basedOn w:val="Normal"/>
    <w:next w:val="Normal"/>
    <w:link w:val="TitleChar"/>
    <w:uiPriority w:val="10"/>
    <w:qFormat/>
    <w:rsid w:val="00E511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14C"/>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15229E"/>
    <w:rPr>
      <w:color w:val="954F72" w:themeColor="followedHyperlink"/>
      <w:u w:val="single"/>
    </w:rPr>
  </w:style>
  <w:style w:type="paragraph" w:styleId="Header">
    <w:name w:val="header"/>
    <w:basedOn w:val="Normal"/>
    <w:link w:val="HeaderChar"/>
    <w:uiPriority w:val="99"/>
    <w:unhideWhenUsed/>
    <w:rsid w:val="005F0D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DD3"/>
  </w:style>
  <w:style w:type="paragraph" w:styleId="Footer">
    <w:name w:val="footer"/>
    <w:basedOn w:val="Normal"/>
    <w:link w:val="FooterChar"/>
    <w:uiPriority w:val="99"/>
    <w:unhideWhenUsed/>
    <w:rsid w:val="005F0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D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Vict/24-25/100/section/26" TargetMode="External"/><Relationship Id="rId3" Type="http://schemas.openxmlformats.org/officeDocument/2006/relationships/webSettings" Target="webSettings.xml"/><Relationship Id="rId7" Type="http://schemas.openxmlformats.org/officeDocument/2006/relationships/hyperlink" Target="https://www.criminallawandjustice.co.uk/features/Reform-Offences-Against-Pers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com.gov.uk/project/offences-against-the-pers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lawcom.gov.uk/project/offences-against-the-per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6</Pages>
  <Words>1594</Words>
  <Characters>9087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Leteisha Dayman (1703974)</dc:creator>
  <cp:keywords/>
  <dc:description/>
  <cp:lastModifiedBy>Leteisha Dayman (1703974)</cp:lastModifiedBy>
  <cp:revision>7</cp:revision>
  <dcterms:created xsi:type="dcterms:W3CDTF">2017-10-31T10:44:00Z</dcterms:created>
  <dcterms:modified xsi:type="dcterms:W3CDTF">2017-11-02T13:53:00Z</dcterms:modified>
</cp:coreProperties>
</file>