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47767" w14:textId="1CF5B22D" w:rsidR="002E22C9" w:rsidRPr="009062C0" w:rsidRDefault="002E22C9" w:rsidP="002E22C9">
      <w:pPr>
        <w:rPr>
          <w:rFonts w:ascii="Times New Roman" w:hAnsi="Times New Roman" w:cs="Times New Roman"/>
          <w:b/>
          <w:bCs/>
        </w:rPr>
      </w:pPr>
      <w:r w:rsidRPr="007635EA">
        <w:rPr>
          <w:rFonts w:ascii="Times New Roman" w:hAnsi="Times New Roman" w:cs="Times New Roman"/>
          <w:b/>
          <w:bCs/>
        </w:rPr>
        <w:t xml:space="preserve">Student Name: </w:t>
      </w:r>
      <w:r w:rsidR="00AA5671" w:rsidRPr="009062C0">
        <w:rPr>
          <w:rFonts w:cs="Arial"/>
          <w:b/>
          <w:bCs/>
        </w:rPr>
        <w:t>laurent Felix Ilboudo</w:t>
      </w:r>
    </w:p>
    <w:p w14:paraId="2A957C64" w14:textId="003BFE0B" w:rsidR="002E22C9" w:rsidRDefault="002E22C9" w:rsidP="002E22C9">
      <w:pPr>
        <w:rPr>
          <w:rFonts w:ascii="Times New Roman" w:hAnsi="Times New Roman" w:cs="Times New Roman"/>
          <w:b/>
          <w:bCs/>
        </w:rPr>
      </w:pPr>
      <w:r w:rsidRPr="007635EA">
        <w:rPr>
          <w:rFonts w:ascii="Times New Roman" w:hAnsi="Times New Roman" w:cs="Times New Roman"/>
          <w:b/>
          <w:bCs/>
        </w:rPr>
        <w:t xml:space="preserve">Student ID: </w:t>
      </w:r>
      <w:r w:rsidR="00AA5671">
        <w:rPr>
          <w:rFonts w:ascii="Times New Roman" w:hAnsi="Times New Roman" w:cs="Times New Roman"/>
          <w:b/>
          <w:bCs/>
        </w:rPr>
        <w:t>2425696</w:t>
      </w:r>
    </w:p>
    <w:p w14:paraId="246111DD" w14:textId="52BD9BF2" w:rsidR="00572AFD" w:rsidRPr="007635EA" w:rsidRDefault="00572AFD" w:rsidP="002E22C9">
      <w:pPr>
        <w:rPr>
          <w:rFonts w:ascii="Times New Roman" w:hAnsi="Times New Roman" w:cs="Times New Roman"/>
          <w:b/>
          <w:bCs/>
        </w:rPr>
      </w:pPr>
      <w:r>
        <w:rPr>
          <w:rFonts w:ascii="Times New Roman" w:hAnsi="Times New Roman" w:cs="Times New Roman"/>
          <w:b/>
          <w:bCs/>
        </w:rPr>
        <w:t>Lecturer Name</w:t>
      </w:r>
      <w:r w:rsidR="009E6C84">
        <w:rPr>
          <w:rFonts w:ascii="Times New Roman" w:hAnsi="Times New Roman" w:cs="Times New Roman"/>
          <w:b/>
          <w:bCs/>
        </w:rPr>
        <w:t xml:space="preserve">: Precious </w:t>
      </w:r>
      <w:proofErr w:type="spellStart"/>
      <w:r w:rsidR="00F87C34">
        <w:rPr>
          <w:rFonts w:ascii="Times New Roman" w:hAnsi="Times New Roman" w:cs="Times New Roman"/>
          <w:b/>
          <w:bCs/>
        </w:rPr>
        <w:t>I</w:t>
      </w:r>
      <w:r w:rsidR="00502228">
        <w:rPr>
          <w:rFonts w:ascii="Times New Roman" w:hAnsi="Times New Roman" w:cs="Times New Roman"/>
          <w:b/>
          <w:bCs/>
        </w:rPr>
        <w:t>gbinigie</w:t>
      </w:r>
      <w:proofErr w:type="spellEnd"/>
    </w:p>
    <w:p w14:paraId="11DA4AFD" w14:textId="77777777" w:rsidR="00734730" w:rsidRPr="007635EA" w:rsidRDefault="00734730" w:rsidP="00734730">
      <w:pPr>
        <w:rPr>
          <w:rFonts w:ascii="Times New Roman" w:hAnsi="Times New Roman" w:cs="Times New Roman"/>
          <w:b/>
          <w:bCs/>
        </w:rPr>
      </w:pPr>
      <w:r w:rsidRPr="007635EA">
        <w:rPr>
          <w:rFonts w:ascii="Times New Roman" w:hAnsi="Times New Roman" w:cs="Times New Roman"/>
          <w:b/>
          <w:bCs/>
        </w:rPr>
        <w:t xml:space="preserve">Module Code: </w:t>
      </w:r>
      <w:r>
        <w:rPr>
          <w:rFonts w:ascii="Times New Roman" w:hAnsi="Times New Roman" w:cs="Times New Roman"/>
        </w:rPr>
        <w:t>BMHP5021</w:t>
      </w:r>
    </w:p>
    <w:p w14:paraId="7E7B9543" w14:textId="77777777" w:rsidR="00734730" w:rsidRPr="007635EA" w:rsidRDefault="00734730" w:rsidP="00734730">
      <w:pPr>
        <w:rPr>
          <w:rFonts w:ascii="Times New Roman" w:hAnsi="Times New Roman" w:cs="Times New Roman"/>
        </w:rPr>
      </w:pPr>
      <w:r w:rsidRPr="007635EA">
        <w:rPr>
          <w:rFonts w:ascii="Times New Roman" w:hAnsi="Times New Roman" w:cs="Times New Roman"/>
          <w:b/>
          <w:bCs/>
        </w:rPr>
        <w:t xml:space="preserve">Module Title: </w:t>
      </w:r>
      <w:r w:rsidRPr="007635EA">
        <w:rPr>
          <w:rFonts w:ascii="Times New Roman" w:hAnsi="Times New Roman" w:cs="Times New Roman"/>
        </w:rPr>
        <w:t>Protecting and Supporting Families in Health and Care</w:t>
      </w:r>
    </w:p>
    <w:p w14:paraId="74C1D1E6" w14:textId="4D33FDD1" w:rsidR="002E22C9" w:rsidRPr="007635EA" w:rsidRDefault="002E22C9" w:rsidP="002E22C9">
      <w:pPr>
        <w:rPr>
          <w:rFonts w:ascii="Times New Roman" w:hAnsi="Times New Roman" w:cs="Times New Roman"/>
        </w:rPr>
      </w:pPr>
    </w:p>
    <w:p w14:paraId="7877A472" w14:textId="57B37640" w:rsidR="002E22C9" w:rsidRPr="007635EA" w:rsidRDefault="002E22C9" w:rsidP="002E22C9">
      <w:pPr>
        <w:spacing w:before="0" w:after="160" w:line="278" w:lineRule="auto"/>
        <w:jc w:val="center"/>
        <w:rPr>
          <w:rFonts w:ascii="Times New Roman" w:hAnsi="Times New Roman" w:cs="Times New Roman"/>
          <w:b/>
          <w:bCs/>
          <w:sz w:val="32"/>
          <w:szCs w:val="32"/>
          <w:u w:val="single"/>
        </w:rPr>
      </w:pPr>
    </w:p>
    <w:p w14:paraId="4EE22D6A" w14:textId="121A44AC" w:rsidR="002E22C9" w:rsidRPr="007635EA" w:rsidRDefault="002E22C9">
      <w:pPr>
        <w:spacing w:before="0" w:after="160" w:line="278" w:lineRule="auto"/>
        <w:jc w:val="left"/>
        <w:rPr>
          <w:rFonts w:ascii="Times New Roman" w:eastAsiaTheme="majorEastAsia" w:hAnsi="Times New Roman" w:cs="Times New Roman"/>
          <w:b/>
          <w:color w:val="000000" w:themeColor="text1"/>
          <w:sz w:val="32"/>
          <w:szCs w:val="40"/>
        </w:rPr>
      </w:pPr>
      <w:r w:rsidRPr="007635EA">
        <w:rPr>
          <w:rFonts w:ascii="Times New Roman" w:hAnsi="Times New Roman" w:cs="Times New Roman"/>
        </w:rPr>
        <w:br w:type="page"/>
      </w:r>
    </w:p>
    <w:sdt>
      <w:sdtPr>
        <w:rPr>
          <w:rFonts w:ascii="Times New Roman" w:eastAsiaTheme="minorHAnsi" w:hAnsi="Times New Roman" w:cs="Times New Roman"/>
          <w:color w:val="000000" w:themeColor="text1"/>
          <w:kern w:val="2"/>
          <w:sz w:val="24"/>
          <w:szCs w:val="24"/>
          <w:u w:val="single"/>
          <w14:ligatures w14:val="standardContextual"/>
        </w:rPr>
        <w:id w:val="928311550"/>
        <w:docPartObj>
          <w:docPartGallery w:val="Table of Contents"/>
          <w:docPartUnique/>
        </w:docPartObj>
      </w:sdtPr>
      <w:sdtEndPr>
        <w:rPr>
          <w:rFonts w:ascii="Arial" w:hAnsi="Arial" w:cs="Arial"/>
          <w:b/>
          <w:bCs/>
          <w:color w:val="auto"/>
          <w:sz w:val="22"/>
          <w:szCs w:val="22"/>
          <w:u w:val="none"/>
        </w:rPr>
      </w:sdtEndPr>
      <w:sdtContent>
        <w:p w14:paraId="0CFD617D" w14:textId="77777777" w:rsidR="00DC464E" w:rsidRPr="007635EA" w:rsidRDefault="00DC464E" w:rsidP="00DC464E">
          <w:pPr>
            <w:pStyle w:val="TOCHeading"/>
            <w:spacing w:line="360" w:lineRule="auto"/>
            <w:jc w:val="center"/>
            <w:rPr>
              <w:rFonts w:ascii="Times New Roman" w:hAnsi="Times New Roman" w:cs="Times New Roman"/>
              <w:color w:val="000000" w:themeColor="text1"/>
              <w:u w:val="single"/>
            </w:rPr>
          </w:pPr>
          <w:r w:rsidRPr="007635EA">
            <w:rPr>
              <w:rFonts w:ascii="Times New Roman" w:hAnsi="Times New Roman" w:cs="Times New Roman"/>
              <w:color w:val="000000" w:themeColor="text1"/>
              <w:u w:val="single"/>
            </w:rPr>
            <w:t>Table of Contents</w:t>
          </w:r>
        </w:p>
        <w:p w14:paraId="6F91B45A" w14:textId="77777777" w:rsidR="00DC464E" w:rsidRPr="00C83FFD" w:rsidRDefault="00DC464E" w:rsidP="00FD6BB2">
          <w:pPr>
            <w:pStyle w:val="TOC1"/>
            <w:tabs>
              <w:tab w:val="right" w:leader="dot" w:pos="9350"/>
            </w:tabs>
            <w:rPr>
              <w:rFonts w:eastAsiaTheme="minorEastAsia" w:cs="Arial"/>
              <w:sz w:val="22"/>
              <w:szCs w:val="22"/>
            </w:rPr>
          </w:pPr>
          <w:r w:rsidRPr="00C83FFD">
            <w:rPr>
              <w:rFonts w:cs="Arial"/>
              <w:sz w:val="22"/>
              <w:szCs w:val="22"/>
            </w:rPr>
            <w:fldChar w:fldCharType="begin"/>
          </w:r>
          <w:r w:rsidRPr="00C83FFD">
            <w:rPr>
              <w:rFonts w:cs="Arial"/>
              <w:sz w:val="22"/>
              <w:szCs w:val="22"/>
            </w:rPr>
            <w:instrText xml:space="preserve"> TOC \o "1-3" \h \z \u </w:instrText>
          </w:r>
          <w:r w:rsidRPr="00C83FFD">
            <w:rPr>
              <w:rFonts w:cs="Arial"/>
              <w:sz w:val="22"/>
              <w:szCs w:val="22"/>
            </w:rPr>
            <w:fldChar w:fldCharType="separate"/>
          </w:r>
          <w:hyperlink w:anchor="_Toc234331526" w:history="1">
            <w:r w:rsidRPr="00C83FFD">
              <w:rPr>
                <w:rStyle w:val="Hyperlink"/>
                <w:rFonts w:cs="Arial"/>
                <w:sz w:val="22"/>
                <w:szCs w:val="22"/>
              </w:rPr>
              <w:t>1. Introduction</w:t>
            </w:r>
            <w:r w:rsidRPr="00C83FFD">
              <w:rPr>
                <w:rFonts w:cs="Arial"/>
                <w:webHidden/>
                <w:sz w:val="22"/>
                <w:szCs w:val="22"/>
              </w:rPr>
              <w:tab/>
            </w:r>
            <w:r w:rsidRPr="00C83FFD">
              <w:rPr>
                <w:rFonts w:cs="Arial"/>
                <w:webHidden/>
                <w:sz w:val="22"/>
                <w:szCs w:val="22"/>
              </w:rPr>
              <w:fldChar w:fldCharType="begin"/>
            </w:r>
            <w:r w:rsidRPr="00C83FFD">
              <w:rPr>
                <w:rFonts w:cs="Arial"/>
                <w:webHidden/>
                <w:sz w:val="22"/>
                <w:szCs w:val="22"/>
              </w:rPr>
              <w:instrText xml:space="preserve"> PAGEREF _Toc234331526 \h </w:instrText>
            </w:r>
            <w:r w:rsidRPr="00C83FFD">
              <w:rPr>
                <w:rFonts w:cs="Arial"/>
                <w:webHidden/>
                <w:sz w:val="22"/>
                <w:szCs w:val="22"/>
              </w:rPr>
            </w:r>
            <w:r w:rsidRPr="00C83FFD">
              <w:rPr>
                <w:rFonts w:cs="Arial"/>
                <w:webHidden/>
                <w:sz w:val="22"/>
                <w:szCs w:val="22"/>
              </w:rPr>
              <w:fldChar w:fldCharType="separate"/>
            </w:r>
            <w:r w:rsidRPr="00C83FFD">
              <w:rPr>
                <w:rFonts w:cs="Arial"/>
                <w:webHidden/>
                <w:sz w:val="22"/>
                <w:szCs w:val="22"/>
              </w:rPr>
              <w:t>3</w:t>
            </w:r>
            <w:r w:rsidRPr="00C83FFD">
              <w:rPr>
                <w:rFonts w:cs="Arial"/>
                <w:webHidden/>
                <w:sz w:val="22"/>
                <w:szCs w:val="22"/>
              </w:rPr>
              <w:fldChar w:fldCharType="end"/>
            </w:r>
          </w:hyperlink>
        </w:p>
        <w:p w14:paraId="43C0C686" w14:textId="77777777" w:rsidR="00DC464E" w:rsidRPr="00C83FFD" w:rsidRDefault="00DC464E" w:rsidP="00FD6BB2">
          <w:pPr>
            <w:pStyle w:val="TOC1"/>
            <w:tabs>
              <w:tab w:val="right" w:leader="dot" w:pos="9350"/>
            </w:tabs>
            <w:rPr>
              <w:rFonts w:eastAsiaTheme="minorEastAsia" w:cs="Arial"/>
              <w:sz w:val="22"/>
              <w:szCs w:val="22"/>
            </w:rPr>
          </w:pPr>
          <w:hyperlink w:anchor="_Toc234331527" w:history="1">
            <w:r w:rsidRPr="00C83FFD">
              <w:rPr>
                <w:rStyle w:val="Hyperlink"/>
                <w:rFonts w:cs="Arial"/>
                <w:sz w:val="22"/>
                <w:szCs w:val="22"/>
              </w:rPr>
              <w:t>2. Explanation of the Early Help system</w:t>
            </w:r>
            <w:r w:rsidRPr="00C83FFD">
              <w:rPr>
                <w:rFonts w:cs="Arial"/>
                <w:webHidden/>
                <w:sz w:val="22"/>
                <w:szCs w:val="22"/>
              </w:rPr>
              <w:tab/>
            </w:r>
            <w:r w:rsidRPr="00C83FFD">
              <w:rPr>
                <w:rFonts w:cs="Arial"/>
                <w:webHidden/>
                <w:sz w:val="22"/>
                <w:szCs w:val="22"/>
              </w:rPr>
              <w:fldChar w:fldCharType="begin"/>
            </w:r>
            <w:r w:rsidRPr="00C83FFD">
              <w:rPr>
                <w:rFonts w:cs="Arial"/>
                <w:webHidden/>
                <w:sz w:val="22"/>
                <w:szCs w:val="22"/>
              </w:rPr>
              <w:instrText xml:space="preserve"> PAGEREF _Toc234331527 \h </w:instrText>
            </w:r>
            <w:r w:rsidRPr="00C83FFD">
              <w:rPr>
                <w:rFonts w:cs="Arial"/>
                <w:webHidden/>
                <w:sz w:val="22"/>
                <w:szCs w:val="22"/>
              </w:rPr>
            </w:r>
            <w:r w:rsidRPr="00C83FFD">
              <w:rPr>
                <w:rFonts w:cs="Arial"/>
                <w:webHidden/>
                <w:sz w:val="22"/>
                <w:szCs w:val="22"/>
              </w:rPr>
              <w:fldChar w:fldCharType="separate"/>
            </w:r>
            <w:r w:rsidRPr="00C83FFD">
              <w:rPr>
                <w:rFonts w:cs="Arial"/>
                <w:webHidden/>
                <w:sz w:val="22"/>
                <w:szCs w:val="22"/>
              </w:rPr>
              <w:t>4</w:t>
            </w:r>
            <w:r w:rsidRPr="00C83FFD">
              <w:rPr>
                <w:rFonts w:cs="Arial"/>
                <w:webHidden/>
                <w:sz w:val="22"/>
                <w:szCs w:val="22"/>
              </w:rPr>
              <w:fldChar w:fldCharType="end"/>
            </w:r>
          </w:hyperlink>
        </w:p>
        <w:p w14:paraId="558CD6D3" w14:textId="77777777" w:rsidR="00DC464E" w:rsidRPr="00C83FFD" w:rsidRDefault="00DC464E" w:rsidP="00FD6BB2">
          <w:pPr>
            <w:pStyle w:val="TOC1"/>
            <w:tabs>
              <w:tab w:val="right" w:leader="dot" w:pos="9350"/>
            </w:tabs>
            <w:rPr>
              <w:rFonts w:eastAsiaTheme="minorEastAsia" w:cs="Arial"/>
              <w:sz w:val="22"/>
              <w:szCs w:val="22"/>
            </w:rPr>
          </w:pPr>
          <w:hyperlink w:anchor="_Toc234331528" w:history="1">
            <w:r w:rsidRPr="00C83FFD">
              <w:rPr>
                <w:rStyle w:val="Hyperlink"/>
                <w:rFonts w:cs="Arial"/>
                <w:sz w:val="22"/>
                <w:szCs w:val="22"/>
              </w:rPr>
              <w:t>3. Explanation of multi-agency working</w:t>
            </w:r>
            <w:r w:rsidRPr="00C83FFD">
              <w:rPr>
                <w:rFonts w:cs="Arial"/>
                <w:webHidden/>
                <w:sz w:val="22"/>
                <w:szCs w:val="22"/>
              </w:rPr>
              <w:tab/>
            </w:r>
            <w:r w:rsidRPr="00C83FFD">
              <w:rPr>
                <w:rFonts w:cs="Arial"/>
                <w:webHidden/>
                <w:sz w:val="22"/>
                <w:szCs w:val="22"/>
              </w:rPr>
              <w:fldChar w:fldCharType="begin"/>
            </w:r>
            <w:r w:rsidRPr="00C83FFD">
              <w:rPr>
                <w:rFonts w:cs="Arial"/>
                <w:webHidden/>
                <w:sz w:val="22"/>
                <w:szCs w:val="22"/>
              </w:rPr>
              <w:instrText xml:space="preserve"> PAGEREF _Toc234331528 \h </w:instrText>
            </w:r>
            <w:r w:rsidRPr="00C83FFD">
              <w:rPr>
                <w:rFonts w:cs="Arial"/>
                <w:webHidden/>
                <w:sz w:val="22"/>
                <w:szCs w:val="22"/>
              </w:rPr>
            </w:r>
            <w:r w:rsidRPr="00C83FFD">
              <w:rPr>
                <w:rFonts w:cs="Arial"/>
                <w:webHidden/>
                <w:sz w:val="22"/>
                <w:szCs w:val="22"/>
              </w:rPr>
              <w:fldChar w:fldCharType="separate"/>
            </w:r>
            <w:r w:rsidRPr="00C83FFD">
              <w:rPr>
                <w:rFonts w:cs="Arial"/>
                <w:webHidden/>
                <w:sz w:val="22"/>
                <w:szCs w:val="22"/>
              </w:rPr>
              <w:t>5</w:t>
            </w:r>
            <w:r w:rsidRPr="00C83FFD">
              <w:rPr>
                <w:rFonts w:cs="Arial"/>
                <w:webHidden/>
                <w:sz w:val="22"/>
                <w:szCs w:val="22"/>
              </w:rPr>
              <w:fldChar w:fldCharType="end"/>
            </w:r>
          </w:hyperlink>
        </w:p>
        <w:p w14:paraId="171A35D2" w14:textId="77777777" w:rsidR="00DC464E" w:rsidRPr="00C83FFD" w:rsidRDefault="00DC464E" w:rsidP="00FD6BB2">
          <w:pPr>
            <w:pStyle w:val="TOC1"/>
            <w:tabs>
              <w:tab w:val="right" w:leader="dot" w:pos="9350"/>
            </w:tabs>
            <w:rPr>
              <w:rFonts w:eastAsiaTheme="minorEastAsia" w:cs="Arial"/>
              <w:sz w:val="22"/>
              <w:szCs w:val="22"/>
            </w:rPr>
          </w:pPr>
          <w:hyperlink w:anchor="_Toc234331529" w:history="1">
            <w:r w:rsidRPr="00C83FFD">
              <w:rPr>
                <w:rStyle w:val="Hyperlink"/>
                <w:rFonts w:cs="Arial"/>
                <w:sz w:val="22"/>
                <w:szCs w:val="22"/>
              </w:rPr>
              <w:t>4. Evaluation of three local authority websites</w:t>
            </w:r>
            <w:r w:rsidRPr="00C83FFD">
              <w:rPr>
                <w:rFonts w:cs="Arial"/>
                <w:webHidden/>
                <w:sz w:val="22"/>
                <w:szCs w:val="22"/>
              </w:rPr>
              <w:tab/>
            </w:r>
            <w:r w:rsidRPr="00C83FFD">
              <w:rPr>
                <w:rFonts w:cs="Arial"/>
                <w:webHidden/>
                <w:sz w:val="22"/>
                <w:szCs w:val="22"/>
              </w:rPr>
              <w:fldChar w:fldCharType="begin"/>
            </w:r>
            <w:r w:rsidRPr="00C83FFD">
              <w:rPr>
                <w:rFonts w:cs="Arial"/>
                <w:webHidden/>
                <w:sz w:val="22"/>
                <w:szCs w:val="22"/>
              </w:rPr>
              <w:instrText xml:space="preserve"> PAGEREF _Toc234331529 \h </w:instrText>
            </w:r>
            <w:r w:rsidRPr="00C83FFD">
              <w:rPr>
                <w:rFonts w:cs="Arial"/>
                <w:webHidden/>
                <w:sz w:val="22"/>
                <w:szCs w:val="22"/>
              </w:rPr>
            </w:r>
            <w:r w:rsidRPr="00C83FFD">
              <w:rPr>
                <w:rFonts w:cs="Arial"/>
                <w:webHidden/>
                <w:sz w:val="22"/>
                <w:szCs w:val="22"/>
              </w:rPr>
              <w:fldChar w:fldCharType="separate"/>
            </w:r>
            <w:r w:rsidRPr="00C83FFD">
              <w:rPr>
                <w:rFonts w:cs="Arial"/>
                <w:webHidden/>
                <w:sz w:val="22"/>
                <w:szCs w:val="22"/>
              </w:rPr>
              <w:t>6</w:t>
            </w:r>
            <w:r w:rsidRPr="00C83FFD">
              <w:rPr>
                <w:rFonts w:cs="Arial"/>
                <w:webHidden/>
                <w:sz w:val="22"/>
                <w:szCs w:val="22"/>
              </w:rPr>
              <w:fldChar w:fldCharType="end"/>
            </w:r>
          </w:hyperlink>
        </w:p>
        <w:p w14:paraId="638F729B" w14:textId="77777777" w:rsidR="00DC464E" w:rsidRPr="00C83FFD" w:rsidRDefault="00DC464E" w:rsidP="00FD6BB2">
          <w:pPr>
            <w:pStyle w:val="TOC1"/>
            <w:tabs>
              <w:tab w:val="right" w:leader="dot" w:pos="9350"/>
            </w:tabs>
            <w:rPr>
              <w:rFonts w:eastAsiaTheme="minorEastAsia" w:cs="Arial"/>
              <w:sz w:val="22"/>
              <w:szCs w:val="22"/>
            </w:rPr>
          </w:pPr>
          <w:hyperlink w:anchor="_Toc234331530" w:history="1">
            <w:r w:rsidRPr="00C83FFD">
              <w:rPr>
                <w:rStyle w:val="Hyperlink"/>
                <w:rFonts w:cs="Arial"/>
                <w:sz w:val="22"/>
                <w:szCs w:val="22"/>
              </w:rPr>
              <w:t>5. Comparative analysis</w:t>
            </w:r>
            <w:r w:rsidRPr="00C83FFD">
              <w:rPr>
                <w:rFonts w:cs="Arial"/>
                <w:webHidden/>
                <w:sz w:val="22"/>
                <w:szCs w:val="22"/>
              </w:rPr>
              <w:tab/>
            </w:r>
            <w:r w:rsidRPr="00C83FFD">
              <w:rPr>
                <w:rFonts w:cs="Arial"/>
                <w:webHidden/>
                <w:sz w:val="22"/>
                <w:szCs w:val="22"/>
              </w:rPr>
              <w:fldChar w:fldCharType="begin"/>
            </w:r>
            <w:r w:rsidRPr="00C83FFD">
              <w:rPr>
                <w:rFonts w:cs="Arial"/>
                <w:webHidden/>
                <w:sz w:val="22"/>
                <w:szCs w:val="22"/>
              </w:rPr>
              <w:instrText xml:space="preserve"> PAGEREF _Toc234331530 \h </w:instrText>
            </w:r>
            <w:r w:rsidRPr="00C83FFD">
              <w:rPr>
                <w:rFonts w:cs="Arial"/>
                <w:webHidden/>
                <w:sz w:val="22"/>
                <w:szCs w:val="22"/>
              </w:rPr>
            </w:r>
            <w:r w:rsidRPr="00C83FFD">
              <w:rPr>
                <w:rFonts w:cs="Arial"/>
                <w:webHidden/>
                <w:sz w:val="22"/>
                <w:szCs w:val="22"/>
              </w:rPr>
              <w:fldChar w:fldCharType="separate"/>
            </w:r>
            <w:r w:rsidRPr="00C83FFD">
              <w:rPr>
                <w:rFonts w:cs="Arial"/>
                <w:webHidden/>
                <w:sz w:val="22"/>
                <w:szCs w:val="22"/>
              </w:rPr>
              <w:t>8</w:t>
            </w:r>
            <w:r w:rsidRPr="00C83FFD">
              <w:rPr>
                <w:rFonts w:cs="Arial"/>
                <w:webHidden/>
                <w:sz w:val="22"/>
                <w:szCs w:val="22"/>
              </w:rPr>
              <w:fldChar w:fldCharType="end"/>
            </w:r>
          </w:hyperlink>
        </w:p>
        <w:p w14:paraId="112CA2CA" w14:textId="77777777" w:rsidR="00DC464E" w:rsidRPr="00C83FFD" w:rsidRDefault="00DC464E" w:rsidP="00FD6BB2">
          <w:pPr>
            <w:pStyle w:val="TOC1"/>
            <w:tabs>
              <w:tab w:val="right" w:leader="dot" w:pos="9350"/>
            </w:tabs>
            <w:rPr>
              <w:rFonts w:eastAsiaTheme="minorEastAsia" w:cs="Arial"/>
              <w:sz w:val="22"/>
              <w:szCs w:val="22"/>
            </w:rPr>
          </w:pPr>
          <w:hyperlink w:anchor="_Toc234331531" w:history="1">
            <w:r w:rsidRPr="00C83FFD">
              <w:rPr>
                <w:rStyle w:val="Hyperlink"/>
                <w:rFonts w:cs="Arial"/>
                <w:sz w:val="22"/>
                <w:szCs w:val="22"/>
              </w:rPr>
              <w:t xml:space="preserve">6. Conclusion </w:t>
            </w:r>
            <w:r w:rsidRPr="00C83FFD">
              <w:rPr>
                <w:rFonts w:cs="Arial"/>
                <w:webHidden/>
                <w:sz w:val="22"/>
                <w:szCs w:val="22"/>
              </w:rPr>
              <w:tab/>
            </w:r>
            <w:r w:rsidRPr="00C83FFD">
              <w:rPr>
                <w:rFonts w:cs="Arial"/>
                <w:webHidden/>
                <w:sz w:val="22"/>
                <w:szCs w:val="22"/>
              </w:rPr>
              <w:fldChar w:fldCharType="begin"/>
            </w:r>
            <w:r w:rsidRPr="00C83FFD">
              <w:rPr>
                <w:rFonts w:cs="Arial"/>
                <w:webHidden/>
                <w:sz w:val="22"/>
                <w:szCs w:val="22"/>
              </w:rPr>
              <w:instrText xml:space="preserve"> PAGEREF _Toc234331531 \h </w:instrText>
            </w:r>
            <w:r w:rsidRPr="00C83FFD">
              <w:rPr>
                <w:rFonts w:cs="Arial"/>
                <w:webHidden/>
                <w:sz w:val="22"/>
                <w:szCs w:val="22"/>
              </w:rPr>
            </w:r>
            <w:r w:rsidRPr="00C83FFD">
              <w:rPr>
                <w:rFonts w:cs="Arial"/>
                <w:webHidden/>
                <w:sz w:val="22"/>
                <w:szCs w:val="22"/>
              </w:rPr>
              <w:fldChar w:fldCharType="separate"/>
            </w:r>
            <w:r w:rsidRPr="00C83FFD">
              <w:rPr>
                <w:rFonts w:cs="Arial"/>
                <w:webHidden/>
                <w:sz w:val="22"/>
                <w:szCs w:val="22"/>
              </w:rPr>
              <w:t>9</w:t>
            </w:r>
            <w:r w:rsidRPr="00C83FFD">
              <w:rPr>
                <w:rFonts w:cs="Arial"/>
                <w:webHidden/>
                <w:sz w:val="22"/>
                <w:szCs w:val="22"/>
              </w:rPr>
              <w:fldChar w:fldCharType="end"/>
            </w:r>
          </w:hyperlink>
        </w:p>
        <w:p w14:paraId="786DEA3C" w14:textId="77777777" w:rsidR="00DC464E" w:rsidRPr="00C83FFD" w:rsidRDefault="00DC464E" w:rsidP="00FD6BB2">
          <w:pPr>
            <w:pStyle w:val="TOC1"/>
            <w:tabs>
              <w:tab w:val="right" w:leader="dot" w:pos="9350"/>
            </w:tabs>
            <w:rPr>
              <w:rFonts w:eastAsiaTheme="minorEastAsia" w:cs="Arial"/>
              <w:sz w:val="22"/>
              <w:szCs w:val="22"/>
            </w:rPr>
          </w:pPr>
          <w:hyperlink w:anchor="_Toc234331532" w:history="1">
            <w:r w:rsidRPr="00C83FFD">
              <w:rPr>
                <w:rStyle w:val="Hyperlink"/>
                <w:rFonts w:cs="Arial"/>
                <w:sz w:val="22"/>
                <w:szCs w:val="22"/>
              </w:rPr>
              <w:t>7. References</w:t>
            </w:r>
            <w:r w:rsidRPr="00C83FFD">
              <w:rPr>
                <w:rFonts w:cs="Arial"/>
                <w:webHidden/>
                <w:sz w:val="22"/>
                <w:szCs w:val="22"/>
              </w:rPr>
              <w:tab/>
            </w:r>
            <w:r w:rsidRPr="00C83FFD">
              <w:rPr>
                <w:rFonts w:cs="Arial"/>
                <w:webHidden/>
                <w:sz w:val="22"/>
                <w:szCs w:val="22"/>
              </w:rPr>
              <w:fldChar w:fldCharType="begin"/>
            </w:r>
            <w:r w:rsidRPr="00C83FFD">
              <w:rPr>
                <w:rFonts w:cs="Arial"/>
                <w:webHidden/>
                <w:sz w:val="22"/>
                <w:szCs w:val="22"/>
              </w:rPr>
              <w:instrText xml:space="preserve"> PAGEREF _Toc234331532 \h </w:instrText>
            </w:r>
            <w:r w:rsidRPr="00C83FFD">
              <w:rPr>
                <w:rFonts w:cs="Arial"/>
                <w:webHidden/>
                <w:sz w:val="22"/>
                <w:szCs w:val="22"/>
              </w:rPr>
            </w:r>
            <w:r w:rsidRPr="00C83FFD">
              <w:rPr>
                <w:rFonts w:cs="Arial"/>
                <w:webHidden/>
                <w:sz w:val="22"/>
                <w:szCs w:val="22"/>
              </w:rPr>
              <w:fldChar w:fldCharType="separate"/>
            </w:r>
            <w:r w:rsidRPr="00C83FFD">
              <w:rPr>
                <w:rFonts w:cs="Arial"/>
                <w:webHidden/>
                <w:sz w:val="22"/>
                <w:szCs w:val="22"/>
              </w:rPr>
              <w:t>11</w:t>
            </w:r>
            <w:r w:rsidRPr="00C83FFD">
              <w:rPr>
                <w:rFonts w:cs="Arial"/>
                <w:webHidden/>
                <w:sz w:val="22"/>
                <w:szCs w:val="22"/>
              </w:rPr>
              <w:fldChar w:fldCharType="end"/>
            </w:r>
          </w:hyperlink>
        </w:p>
        <w:p w14:paraId="2BBFEB3F" w14:textId="77777777" w:rsidR="00DC464E" w:rsidRPr="00C83FFD" w:rsidRDefault="00DC464E" w:rsidP="00FD6BB2">
          <w:pPr>
            <w:rPr>
              <w:rFonts w:cs="Arial"/>
              <w:b/>
              <w:bCs/>
              <w:sz w:val="22"/>
              <w:szCs w:val="22"/>
            </w:rPr>
          </w:pPr>
          <w:r w:rsidRPr="00C83FFD">
            <w:rPr>
              <w:rFonts w:cs="Arial"/>
              <w:b/>
              <w:bCs/>
              <w:sz w:val="22"/>
              <w:szCs w:val="22"/>
            </w:rPr>
            <w:fldChar w:fldCharType="end"/>
          </w:r>
        </w:p>
      </w:sdtContent>
    </w:sdt>
    <w:p w14:paraId="1B1E5F4D" w14:textId="65AF3126" w:rsidR="002E22C9" w:rsidRPr="00C83FFD" w:rsidRDefault="002E22C9" w:rsidP="00FD6BB2">
      <w:pPr>
        <w:rPr>
          <w:rFonts w:cs="Arial"/>
          <w:sz w:val="22"/>
          <w:szCs w:val="22"/>
        </w:rPr>
      </w:pPr>
    </w:p>
    <w:p w14:paraId="69A62E45" w14:textId="77777777" w:rsidR="003E0AD6" w:rsidRPr="00C83FFD" w:rsidRDefault="003E0AD6" w:rsidP="00FD6BB2">
      <w:pPr>
        <w:spacing w:before="0" w:after="160"/>
        <w:jc w:val="left"/>
        <w:rPr>
          <w:rFonts w:eastAsiaTheme="majorEastAsia" w:cs="Arial"/>
          <w:b/>
          <w:color w:val="000000" w:themeColor="text1"/>
          <w:sz w:val="22"/>
          <w:szCs w:val="22"/>
        </w:rPr>
      </w:pPr>
      <w:r w:rsidRPr="00C83FFD">
        <w:rPr>
          <w:rFonts w:cs="Arial"/>
          <w:sz w:val="22"/>
          <w:szCs w:val="22"/>
        </w:rPr>
        <w:br w:type="page"/>
      </w:r>
    </w:p>
    <w:p w14:paraId="55491D6F" w14:textId="52E3EA68" w:rsidR="007D7735" w:rsidRPr="00C83FFD" w:rsidRDefault="00EB34F9" w:rsidP="00FD6BB2">
      <w:pPr>
        <w:pStyle w:val="Heading1"/>
        <w:rPr>
          <w:rFonts w:cs="Arial"/>
          <w:sz w:val="22"/>
          <w:szCs w:val="22"/>
        </w:rPr>
      </w:pPr>
      <w:bookmarkStart w:id="0" w:name="_Toc234331526"/>
      <w:r w:rsidRPr="00C83FFD">
        <w:rPr>
          <w:rFonts w:cs="Arial"/>
          <w:sz w:val="22"/>
          <w:szCs w:val="22"/>
        </w:rPr>
        <w:lastRenderedPageBreak/>
        <w:t>1. Introduction</w:t>
      </w:r>
      <w:bookmarkEnd w:id="0"/>
    </w:p>
    <w:p w14:paraId="0B622A16" w14:textId="77777777" w:rsidR="003C466E" w:rsidRPr="00C83FFD" w:rsidRDefault="003C466E" w:rsidP="00FD6BB2">
      <w:pPr>
        <w:rPr>
          <w:rFonts w:cs="Arial"/>
          <w:sz w:val="22"/>
          <w:szCs w:val="22"/>
        </w:rPr>
      </w:pPr>
      <w:r w:rsidRPr="00C83FFD">
        <w:rPr>
          <w:rFonts w:cs="Arial"/>
          <w:sz w:val="22"/>
          <w:szCs w:val="22"/>
        </w:rPr>
        <w:t>Early Help is an integral component of family support and safeguarding within England. It can recognise the needs of the family early, before they become more significant for the child. The Early Help System Guide sets out what good support is as being co-ordinated, accessible and needs-led (GOV.UK, 2022). This is significant because many parents start on council websites to get advice. UK family and household data show why local authorities must design support for diverse household circumstances (ONS, 2025).</w:t>
      </w:r>
    </w:p>
    <w:p w14:paraId="4FF54729" w14:textId="77777777" w:rsidR="003C466E" w:rsidRPr="00C83FFD" w:rsidRDefault="003C466E" w:rsidP="00FD6BB2">
      <w:pPr>
        <w:rPr>
          <w:rFonts w:cs="Arial"/>
          <w:sz w:val="22"/>
          <w:szCs w:val="22"/>
        </w:rPr>
      </w:pPr>
      <w:r w:rsidRPr="00C83FFD">
        <w:rPr>
          <w:rFonts w:cs="Arial"/>
          <w:sz w:val="22"/>
          <w:szCs w:val="22"/>
        </w:rPr>
        <w:t>Digital signposting is clear, enabling families to know about the services available, eligibility and contact methods. Roughly designed websites can pose challenges for already stressed families. These barriers can impact users who have limited English proficiency, low literacy, disability, or low digital confidence.</w:t>
      </w:r>
    </w:p>
    <w:p w14:paraId="0FB7E071" w14:textId="72DE4ECF" w:rsidR="003C466E" w:rsidRPr="00C83FFD" w:rsidRDefault="003C466E" w:rsidP="00FD6BB2">
      <w:pPr>
        <w:rPr>
          <w:rFonts w:cs="Arial"/>
          <w:sz w:val="22"/>
          <w:szCs w:val="22"/>
        </w:rPr>
      </w:pPr>
      <w:r w:rsidRPr="00C83FFD">
        <w:rPr>
          <w:rFonts w:cs="Arial"/>
          <w:sz w:val="22"/>
          <w:szCs w:val="22"/>
        </w:rPr>
        <w:t xml:space="preserve">This report looks at the ways in which Leeds City Council, Tower Hamlets Council and Norfolk County Council make Early Help information available online. It measures accessibility, clarity, navigation, comprehensiveness and overall effectiveness. It also </w:t>
      </w:r>
      <w:r w:rsidR="000911A9" w:rsidRPr="00C83FFD">
        <w:rPr>
          <w:rFonts w:cs="Arial"/>
          <w:sz w:val="22"/>
          <w:szCs w:val="22"/>
        </w:rPr>
        <w:t>considers</w:t>
      </w:r>
      <w:r w:rsidRPr="00C83FFD">
        <w:rPr>
          <w:rFonts w:cs="Arial"/>
          <w:sz w:val="22"/>
          <w:szCs w:val="22"/>
        </w:rPr>
        <w:t xml:space="preserve"> the possibility of pragmatic support within families and among professionals being available promptly.</w:t>
      </w:r>
    </w:p>
    <w:p w14:paraId="1C29FBC9" w14:textId="77777777" w:rsidR="003C466E" w:rsidRPr="00C83FFD" w:rsidRDefault="003C466E" w:rsidP="00FD6BB2">
      <w:pPr>
        <w:rPr>
          <w:rFonts w:cs="Arial"/>
          <w:sz w:val="22"/>
          <w:szCs w:val="22"/>
        </w:rPr>
      </w:pPr>
      <w:r w:rsidRPr="00C83FFD">
        <w:rPr>
          <w:rFonts w:cs="Arial"/>
          <w:sz w:val="22"/>
          <w:szCs w:val="22"/>
        </w:rPr>
        <w:t>The report first covers an explanation of Early Help and multi-agency working. It then reviews the three websites and makes a comparison of the strengths and weaknesses of the websites. Lastly, it makes recommendations to improve signposting for online Early Help provision to make it clearer and more accessible for all local families.</w:t>
      </w:r>
    </w:p>
    <w:p w14:paraId="692FEBDC" w14:textId="77777777" w:rsidR="007D7735" w:rsidRPr="00C83FFD" w:rsidRDefault="007D7735" w:rsidP="00FD6BB2">
      <w:pPr>
        <w:rPr>
          <w:rFonts w:cs="Arial"/>
          <w:sz w:val="22"/>
          <w:szCs w:val="22"/>
        </w:rPr>
      </w:pPr>
    </w:p>
    <w:p w14:paraId="6E783B40" w14:textId="77777777" w:rsidR="007D7735" w:rsidRPr="00C83FFD" w:rsidRDefault="007D7735" w:rsidP="00FD6BB2">
      <w:pPr>
        <w:rPr>
          <w:rFonts w:cs="Arial"/>
          <w:sz w:val="22"/>
          <w:szCs w:val="22"/>
        </w:rPr>
      </w:pPr>
    </w:p>
    <w:p w14:paraId="1E67F2C0" w14:textId="77777777" w:rsidR="007D7735" w:rsidRPr="00C83FFD" w:rsidRDefault="007D7735" w:rsidP="00FD6BB2">
      <w:pPr>
        <w:spacing w:before="0" w:after="160"/>
        <w:jc w:val="left"/>
        <w:rPr>
          <w:rFonts w:cs="Arial"/>
          <w:sz w:val="22"/>
          <w:szCs w:val="22"/>
        </w:rPr>
      </w:pPr>
      <w:r w:rsidRPr="00C83FFD">
        <w:rPr>
          <w:rFonts w:cs="Arial"/>
          <w:sz w:val="22"/>
          <w:szCs w:val="22"/>
        </w:rPr>
        <w:br w:type="page"/>
      </w:r>
    </w:p>
    <w:p w14:paraId="4D31B5D2" w14:textId="14D87CEE" w:rsidR="007D7735" w:rsidRPr="00C83FFD" w:rsidRDefault="007D7735" w:rsidP="00FD6BB2">
      <w:pPr>
        <w:pStyle w:val="Heading1"/>
        <w:rPr>
          <w:rFonts w:cs="Arial"/>
          <w:sz w:val="22"/>
          <w:szCs w:val="22"/>
        </w:rPr>
      </w:pPr>
      <w:bookmarkStart w:id="1" w:name="_Toc234331527"/>
      <w:r w:rsidRPr="00C83FFD">
        <w:rPr>
          <w:rFonts w:cs="Arial"/>
          <w:sz w:val="22"/>
          <w:szCs w:val="22"/>
        </w:rPr>
        <w:lastRenderedPageBreak/>
        <w:t>2. Explanation of the Early Help system</w:t>
      </w:r>
      <w:bookmarkEnd w:id="1"/>
    </w:p>
    <w:p w14:paraId="6A752E56" w14:textId="01B0DA4B" w:rsidR="007D7735" w:rsidRPr="00C83FFD" w:rsidRDefault="007D7735" w:rsidP="00FD6BB2">
      <w:pPr>
        <w:rPr>
          <w:rFonts w:cs="Arial"/>
          <w:sz w:val="22"/>
          <w:szCs w:val="22"/>
        </w:rPr>
      </w:pPr>
      <w:r w:rsidRPr="00C83FFD">
        <w:rPr>
          <w:rFonts w:cs="Arial"/>
          <w:sz w:val="22"/>
          <w:szCs w:val="22"/>
        </w:rPr>
        <w:t>Early Help is support provided at the earliest opportunity when children or families are identified as needing help. It is designed to respond to issues before they turn into a crisis or to the point where statutory intervention is needed. Effective systems are coordinated, accessible and focused on family needs (GOV.UK, 2022), which is explained in the Early Help System Guide. Thus, local services should be able to recognise concerns and offer appropriate support at an early stage, before issues become more complex.</w:t>
      </w:r>
    </w:p>
    <w:p w14:paraId="3317FFA7" w14:textId="03D73DBB" w:rsidR="007D7735" w:rsidRPr="00C83FFD" w:rsidRDefault="007D7735" w:rsidP="00FD6BB2">
      <w:pPr>
        <w:rPr>
          <w:rFonts w:cs="Arial"/>
          <w:sz w:val="22"/>
          <w:szCs w:val="22"/>
        </w:rPr>
      </w:pPr>
      <w:r w:rsidRPr="00C83FFD">
        <w:rPr>
          <w:rFonts w:cs="Arial"/>
          <w:sz w:val="22"/>
          <w:szCs w:val="22"/>
        </w:rPr>
        <w:t xml:space="preserve">Early Help can help families who experience parenting stress, school attendance issues, emotional wellbeing concerns and child development difficulties. It can also help families who are experiencing domestic violence, financial issues, housing issues, or disability. The challenges may be overlapping, and the professional should </w:t>
      </w:r>
      <w:proofErr w:type="gramStart"/>
      <w:r w:rsidRPr="00C83FFD">
        <w:rPr>
          <w:rFonts w:cs="Arial"/>
          <w:sz w:val="22"/>
          <w:szCs w:val="22"/>
        </w:rPr>
        <w:t>take into account</w:t>
      </w:r>
      <w:proofErr w:type="gramEnd"/>
      <w:r w:rsidRPr="00C83FFD">
        <w:rPr>
          <w:rFonts w:cs="Arial"/>
          <w:sz w:val="22"/>
          <w:szCs w:val="22"/>
        </w:rPr>
        <w:t xml:space="preserve"> the broader family situation</w:t>
      </w:r>
      <w:r w:rsidR="003C466E" w:rsidRPr="00C83FFD">
        <w:rPr>
          <w:rFonts w:cs="Arial"/>
          <w:sz w:val="22"/>
          <w:szCs w:val="22"/>
        </w:rPr>
        <w:t xml:space="preserve"> (Dickens et al., 2023)</w:t>
      </w:r>
      <w:r w:rsidRPr="00C83FFD">
        <w:rPr>
          <w:rFonts w:cs="Arial"/>
          <w:sz w:val="22"/>
          <w:szCs w:val="22"/>
        </w:rPr>
        <w:t>. Support for children early on can alleviate later pressures on children's services and enhance early response. This support should include the appropriate agencies in collaboration to better understand needs.</w:t>
      </w:r>
    </w:p>
    <w:p w14:paraId="2A882311" w14:textId="195C4DDE" w:rsidR="007D7735" w:rsidRPr="00C83FFD" w:rsidRDefault="007D7735" w:rsidP="00FD6BB2">
      <w:pPr>
        <w:rPr>
          <w:rFonts w:cs="Arial"/>
          <w:sz w:val="22"/>
          <w:szCs w:val="22"/>
        </w:rPr>
      </w:pPr>
      <w:r w:rsidRPr="00C83FFD">
        <w:rPr>
          <w:rFonts w:cs="Arial"/>
          <w:sz w:val="22"/>
          <w:szCs w:val="22"/>
        </w:rPr>
        <w:t>Preventative strategies are emphasised in children's services through research. The relationships between preventative service funding and rates of looked-after children were identified by Bennett et al. (2021. In addition, Webb (2021) provides a breakdown of how everyday practices of family support can impact children's rates of need. Early Help should not be routine preventative measures to replace safeguarding action when children are at risk of significant harm</w:t>
      </w:r>
      <w:r w:rsidR="009D0B26" w:rsidRPr="00C83FFD">
        <w:rPr>
          <w:rFonts w:cs="Arial"/>
          <w:sz w:val="22"/>
          <w:szCs w:val="22"/>
        </w:rPr>
        <w:t>, and professional curiosity remains essential in identifying risks and challenging concerns (Dickens et al., 2023).</w:t>
      </w:r>
      <w:r w:rsidRPr="00C83FFD">
        <w:rPr>
          <w:rFonts w:cs="Arial"/>
          <w:sz w:val="22"/>
          <w:szCs w:val="22"/>
        </w:rPr>
        <w:t xml:space="preserve"> Statutory protection is still required if risks are serious. It needs an equitable reaction from professionals.</w:t>
      </w:r>
    </w:p>
    <w:p w14:paraId="3BCEDC46" w14:textId="0FC2C823" w:rsidR="007D7735" w:rsidRPr="00C83FFD" w:rsidRDefault="007D7735" w:rsidP="00FD6BB2">
      <w:pPr>
        <w:rPr>
          <w:rFonts w:cs="Arial"/>
          <w:sz w:val="22"/>
          <w:szCs w:val="22"/>
        </w:rPr>
      </w:pPr>
      <w:r w:rsidRPr="00C83FFD">
        <w:rPr>
          <w:rFonts w:cs="Arial"/>
          <w:sz w:val="22"/>
          <w:szCs w:val="22"/>
        </w:rPr>
        <w:t>Working Together to Safeguard Children places a strong focus on the importance of safeguarding responsibilities and collaborative professional responses (Department for Education, 2025). Effective Early Help relies on families being aware of where to seek early help and on those professionals being aware of referral processes. The value of local authority websites as sources of support is therefore raised. Robust, accessible, internet-based information can avoid unnecessary delays and ensure that families can access the right early intervention. This will make it more accessible and therefore more trustworthy.</w:t>
      </w:r>
    </w:p>
    <w:p w14:paraId="39EB2FE8" w14:textId="7B2E2F0F" w:rsidR="007D7735" w:rsidRPr="00C83FFD" w:rsidRDefault="007D7735" w:rsidP="00FD6BB2">
      <w:pPr>
        <w:pStyle w:val="Heading1"/>
        <w:rPr>
          <w:rFonts w:cs="Arial"/>
          <w:sz w:val="22"/>
          <w:szCs w:val="22"/>
        </w:rPr>
      </w:pPr>
      <w:bookmarkStart w:id="2" w:name="_Toc234331528"/>
      <w:r w:rsidRPr="00C83FFD">
        <w:rPr>
          <w:rFonts w:cs="Arial"/>
          <w:sz w:val="22"/>
          <w:szCs w:val="22"/>
        </w:rPr>
        <w:lastRenderedPageBreak/>
        <w:t>3. Explanation of multi-agency working</w:t>
      </w:r>
      <w:bookmarkEnd w:id="2"/>
    </w:p>
    <w:p w14:paraId="35D14A9A" w14:textId="6CC7843E" w:rsidR="007D7735" w:rsidRPr="00C83FFD" w:rsidRDefault="007D7735" w:rsidP="00FD6BB2">
      <w:pPr>
        <w:rPr>
          <w:rFonts w:cs="Arial"/>
          <w:b/>
          <w:bCs/>
          <w:sz w:val="22"/>
          <w:szCs w:val="22"/>
        </w:rPr>
      </w:pPr>
      <w:r w:rsidRPr="00C83FFD">
        <w:rPr>
          <w:rFonts w:cs="Arial"/>
          <w:b/>
          <w:bCs/>
          <w:sz w:val="22"/>
          <w:szCs w:val="22"/>
        </w:rPr>
        <w:t>Definition of multi-agency working</w:t>
      </w:r>
    </w:p>
    <w:p w14:paraId="47F93C94" w14:textId="09265570" w:rsidR="007D7735" w:rsidRPr="00C83FFD" w:rsidRDefault="007D7735" w:rsidP="00FD6BB2">
      <w:pPr>
        <w:rPr>
          <w:rFonts w:cs="Arial"/>
          <w:sz w:val="22"/>
          <w:szCs w:val="22"/>
        </w:rPr>
      </w:pPr>
      <w:r w:rsidRPr="00C83FFD">
        <w:rPr>
          <w:rFonts w:cs="Arial"/>
          <w:sz w:val="22"/>
          <w:szCs w:val="22"/>
        </w:rPr>
        <w:t>Multi-agency working is the process of professionals from various agencies working together to assess the need, share information, and coordinate support. In Early Help, it is critical to remember that there are likely to be multiple problems within a family. A single agency will not necessarily have the full picture, and joint working will enable a wider picture of children's needs and/or family circumstances.</w:t>
      </w:r>
    </w:p>
    <w:p w14:paraId="72598DAD" w14:textId="717AE159" w:rsidR="007D7735" w:rsidRPr="00C83FFD" w:rsidRDefault="007D7735" w:rsidP="00FD6BB2">
      <w:pPr>
        <w:rPr>
          <w:rFonts w:cs="Arial"/>
          <w:b/>
          <w:bCs/>
          <w:sz w:val="22"/>
          <w:szCs w:val="22"/>
        </w:rPr>
      </w:pPr>
      <w:r w:rsidRPr="00C83FFD">
        <w:rPr>
          <w:rFonts w:cs="Arial"/>
          <w:b/>
          <w:bCs/>
          <w:sz w:val="22"/>
          <w:szCs w:val="22"/>
        </w:rPr>
        <w:t>Relevance to Early Help</w:t>
      </w:r>
    </w:p>
    <w:p w14:paraId="55654E17" w14:textId="28BC1162" w:rsidR="007D7735" w:rsidRPr="00C83FFD" w:rsidRDefault="007D7735" w:rsidP="00FD6BB2">
      <w:pPr>
        <w:rPr>
          <w:rFonts w:cs="Arial"/>
          <w:sz w:val="22"/>
          <w:szCs w:val="22"/>
        </w:rPr>
      </w:pPr>
      <w:r w:rsidRPr="00C83FFD">
        <w:rPr>
          <w:rFonts w:cs="Arial"/>
          <w:sz w:val="22"/>
          <w:szCs w:val="22"/>
        </w:rPr>
        <w:t>Education, health, housing, finances and safeguarding issues are just a few examples of Family challenges. For instance, schools may detect issues with attendance, health visitors may detect development issues, or housing services may detect overcrowding or financial problems. Professional knowledge is combined to allow earlier intervention and more effective support</w:t>
      </w:r>
      <w:r w:rsidR="009D0B26" w:rsidRPr="00C83FFD">
        <w:rPr>
          <w:rFonts w:cs="Arial"/>
          <w:sz w:val="22"/>
          <w:szCs w:val="22"/>
        </w:rPr>
        <w:t>, particularly through collaboration between schools, local authorities and safeguarding professionals (</w:t>
      </w:r>
      <w:proofErr w:type="spellStart"/>
      <w:r w:rsidR="009D0B26" w:rsidRPr="00C83FFD">
        <w:rPr>
          <w:rFonts w:cs="Arial"/>
          <w:sz w:val="22"/>
          <w:szCs w:val="22"/>
        </w:rPr>
        <w:t>Baginsky</w:t>
      </w:r>
      <w:proofErr w:type="spellEnd"/>
      <w:r w:rsidR="009D0B26" w:rsidRPr="00C83FFD">
        <w:rPr>
          <w:rFonts w:cs="Arial"/>
          <w:sz w:val="22"/>
          <w:szCs w:val="22"/>
        </w:rPr>
        <w:t xml:space="preserve"> et al., 2022)</w:t>
      </w:r>
      <w:r w:rsidRPr="00C83FFD">
        <w:rPr>
          <w:rFonts w:cs="Arial"/>
          <w:sz w:val="22"/>
          <w:szCs w:val="22"/>
        </w:rPr>
        <w:t>. Collective responsibility between agencies, and not individual professionals, is the focus of safeguarding, according to Ball, McElwee and McManus (2024).</w:t>
      </w:r>
    </w:p>
    <w:p w14:paraId="65C11A51" w14:textId="0AE3798E" w:rsidR="007D7735" w:rsidRPr="00C83FFD" w:rsidRDefault="007D7735" w:rsidP="00FD6BB2">
      <w:pPr>
        <w:rPr>
          <w:rFonts w:cs="Arial"/>
          <w:b/>
          <w:bCs/>
          <w:sz w:val="22"/>
          <w:szCs w:val="22"/>
        </w:rPr>
      </w:pPr>
      <w:r w:rsidRPr="00C83FFD">
        <w:rPr>
          <w:rFonts w:cs="Arial"/>
          <w:b/>
          <w:bCs/>
          <w:sz w:val="22"/>
          <w:szCs w:val="22"/>
        </w:rPr>
        <w:t>Professionals involved</w:t>
      </w:r>
    </w:p>
    <w:p w14:paraId="04180EEA" w14:textId="41F12F47" w:rsidR="007D7735" w:rsidRPr="00C83FFD" w:rsidRDefault="007D7735" w:rsidP="00FD6BB2">
      <w:pPr>
        <w:rPr>
          <w:rFonts w:cs="Arial"/>
          <w:sz w:val="22"/>
          <w:szCs w:val="22"/>
        </w:rPr>
      </w:pPr>
      <w:r w:rsidRPr="00C83FFD">
        <w:rPr>
          <w:rFonts w:cs="Arial"/>
          <w:sz w:val="22"/>
          <w:szCs w:val="22"/>
        </w:rPr>
        <w:t>Early Help needs to involve social workers, teachers, safeguarding leads, health visitors, school nurses, GPs, youth workers, police, housing officers, voluntary sector workers and family support workers. They bring specialist knowledge and support in relation to co-ordinated decision-making. Communication, trust and effective information-sharing between agencies are the keys to effective collaboration (Dixon et al., 2022).</w:t>
      </w:r>
    </w:p>
    <w:p w14:paraId="7B973210" w14:textId="461401EC" w:rsidR="007D7735" w:rsidRPr="00C83FFD" w:rsidRDefault="007D7735" w:rsidP="00FD6BB2">
      <w:pPr>
        <w:rPr>
          <w:rFonts w:cs="Arial"/>
          <w:b/>
          <w:bCs/>
          <w:sz w:val="22"/>
          <w:szCs w:val="22"/>
        </w:rPr>
      </w:pPr>
      <w:r w:rsidRPr="00C83FFD">
        <w:rPr>
          <w:rFonts w:cs="Arial"/>
          <w:b/>
          <w:bCs/>
          <w:sz w:val="22"/>
          <w:szCs w:val="22"/>
        </w:rPr>
        <w:t>Link to Working Together to Safeguard Children 2023</w:t>
      </w:r>
    </w:p>
    <w:p w14:paraId="30A8F85B" w14:textId="089AA2BD" w:rsidR="007D7735" w:rsidRPr="00C83FFD" w:rsidRDefault="007D7735" w:rsidP="00FD6BB2">
      <w:pPr>
        <w:rPr>
          <w:rFonts w:cs="Arial"/>
          <w:sz w:val="22"/>
          <w:szCs w:val="22"/>
        </w:rPr>
      </w:pPr>
      <w:r w:rsidRPr="00C83FFD">
        <w:rPr>
          <w:rFonts w:cs="Arial"/>
          <w:sz w:val="22"/>
          <w:szCs w:val="22"/>
        </w:rPr>
        <w:t>Working Together to Safeguard Children emphasises the importance of agencies working together in a coordinated way to provide for the welfare and to protect children, through the principle of shared responsibility (Department for Education, 2025). But if there are unclear referral systems, they can make it less effective and slower to help.</w:t>
      </w:r>
    </w:p>
    <w:p w14:paraId="5CDF59E6" w14:textId="2F61E4A2" w:rsidR="007D7735" w:rsidRPr="00C83FFD" w:rsidRDefault="007D7735" w:rsidP="00FD6BB2">
      <w:pPr>
        <w:rPr>
          <w:rFonts w:cs="Arial"/>
          <w:b/>
          <w:bCs/>
          <w:sz w:val="22"/>
          <w:szCs w:val="22"/>
        </w:rPr>
      </w:pPr>
      <w:r w:rsidRPr="00C83FFD">
        <w:rPr>
          <w:rFonts w:cs="Arial"/>
          <w:b/>
          <w:bCs/>
          <w:sz w:val="22"/>
          <w:szCs w:val="22"/>
        </w:rPr>
        <w:t>Importance of effective digital pathways</w:t>
      </w:r>
    </w:p>
    <w:p w14:paraId="3B5B2039" w14:textId="31D40BC1" w:rsidR="007D7735" w:rsidRPr="00C83FFD" w:rsidRDefault="007D7735" w:rsidP="00FD6BB2">
      <w:pPr>
        <w:rPr>
          <w:rFonts w:cs="Arial"/>
          <w:sz w:val="22"/>
          <w:szCs w:val="22"/>
        </w:rPr>
      </w:pPr>
      <w:r w:rsidRPr="00C83FFD">
        <w:rPr>
          <w:rFonts w:cs="Arial"/>
          <w:sz w:val="22"/>
          <w:szCs w:val="22"/>
        </w:rPr>
        <w:lastRenderedPageBreak/>
        <w:t>So Early Help websites need to be informative for families and professionals. They should describe what support is available, how to get referred to the appropriate support, consent procedures, and next steps. The lack of a cohesive online pathway can cause confusion and delay intervention</w:t>
      </w:r>
      <w:r w:rsidR="009D0B26" w:rsidRPr="00C83FFD">
        <w:rPr>
          <w:rFonts w:cs="Arial"/>
          <w:sz w:val="22"/>
          <w:szCs w:val="22"/>
        </w:rPr>
        <w:t>, as effective information sharing requires clear roles and communication between agencies (NSPCC, 2025)</w:t>
      </w:r>
      <w:r w:rsidRPr="00C83FFD">
        <w:rPr>
          <w:rFonts w:cs="Arial"/>
          <w:sz w:val="22"/>
          <w:szCs w:val="22"/>
        </w:rPr>
        <w:t>. Effective information sharing needs to have clear processes and professional understanding, as emphasised by Smart et al. (2021). Accessible websites can then better support the delivery of Early Help and enhance family access to support.</w:t>
      </w:r>
    </w:p>
    <w:p w14:paraId="5DCED8D8" w14:textId="0DC530CC" w:rsidR="007D7735" w:rsidRPr="00C83FFD" w:rsidRDefault="007D7735" w:rsidP="00FD6BB2">
      <w:pPr>
        <w:pStyle w:val="Heading1"/>
        <w:rPr>
          <w:rFonts w:cs="Arial"/>
          <w:sz w:val="22"/>
          <w:szCs w:val="22"/>
        </w:rPr>
      </w:pPr>
      <w:bookmarkStart w:id="3" w:name="_Toc234331529"/>
      <w:r w:rsidRPr="00C83FFD">
        <w:rPr>
          <w:rFonts w:cs="Arial"/>
          <w:sz w:val="22"/>
          <w:szCs w:val="22"/>
        </w:rPr>
        <w:t>4. Evaluation of three local authority websites</w:t>
      </w:r>
      <w:bookmarkEnd w:id="3"/>
    </w:p>
    <w:p w14:paraId="36C3CC37" w14:textId="2C8225B3" w:rsidR="007D7735" w:rsidRPr="00C83FFD" w:rsidRDefault="007D7735" w:rsidP="00FD6BB2">
      <w:pPr>
        <w:rPr>
          <w:rFonts w:cs="Arial"/>
          <w:b/>
          <w:bCs/>
          <w:sz w:val="22"/>
          <w:szCs w:val="22"/>
        </w:rPr>
      </w:pPr>
      <w:r w:rsidRPr="00C83FFD">
        <w:rPr>
          <w:rFonts w:cs="Arial"/>
          <w:b/>
          <w:bCs/>
          <w:sz w:val="22"/>
          <w:szCs w:val="22"/>
        </w:rPr>
        <w:t>Leeds City Council</w:t>
      </w:r>
    </w:p>
    <w:p w14:paraId="53F5D834" w14:textId="38452FCD" w:rsidR="007D7735" w:rsidRPr="00C83FFD" w:rsidRDefault="007D7735" w:rsidP="00FD6BB2">
      <w:pPr>
        <w:rPr>
          <w:rFonts w:cs="Arial"/>
          <w:sz w:val="22"/>
          <w:szCs w:val="22"/>
        </w:rPr>
      </w:pPr>
      <w:r w:rsidRPr="00C83FFD">
        <w:rPr>
          <w:rFonts w:cs="Arial"/>
          <w:sz w:val="22"/>
          <w:szCs w:val="22"/>
        </w:rPr>
        <w:t xml:space="preserve">Early Help is available from Leeds City Council via its Early Help and Family Information Services page. This provides families with an identifiable first point of contact, earlier in the problem-solving process, before things get too difficult (Leeds City Council, 2025). The webpage is helpful as it links Early Help to wider family information services; this helps to enable joined-up access. This model is in line with the Early Help System Guide, which assumes that local systems are coordinated and accessible (GOV.UK, 2022). The City of Leeds is a large city authority; however, the information should be easy to follow. Professionals may be able to help with a broad service page, while families may need step-by-step instructions. If parents are not familiar with safeguarding issues, they need to know who can ask for help, how and what happens next, as soon as possible. Early Help has different meanings in services, as highlighted by Ofsted (2022). </w:t>
      </w:r>
      <w:proofErr w:type="gramStart"/>
      <w:r w:rsidRPr="00C83FFD">
        <w:rPr>
          <w:rFonts w:cs="Arial"/>
          <w:sz w:val="22"/>
          <w:szCs w:val="22"/>
        </w:rPr>
        <w:t>So</w:t>
      </w:r>
      <w:proofErr w:type="gramEnd"/>
      <w:r w:rsidRPr="00C83FFD">
        <w:rPr>
          <w:rFonts w:cs="Arial"/>
          <w:sz w:val="22"/>
          <w:szCs w:val="22"/>
        </w:rPr>
        <w:t xml:space="preserve"> Leeds should minimise potential confusion by employing clear language, contact boxes that are easily visible, and guidance for families and guidance for professionals. It is best known for its system connectivity, and one thing it is least known for is the likelihood of information overload.</w:t>
      </w:r>
    </w:p>
    <w:p w14:paraId="1684C35A" w14:textId="740986B8" w:rsidR="007D7735" w:rsidRPr="00C83FFD" w:rsidRDefault="007D7735" w:rsidP="00FD6BB2">
      <w:pPr>
        <w:rPr>
          <w:rFonts w:cs="Arial"/>
          <w:b/>
          <w:bCs/>
          <w:sz w:val="22"/>
          <w:szCs w:val="22"/>
        </w:rPr>
      </w:pPr>
      <w:r w:rsidRPr="00C83FFD">
        <w:rPr>
          <w:rFonts w:cs="Arial"/>
          <w:b/>
          <w:bCs/>
          <w:sz w:val="22"/>
          <w:szCs w:val="22"/>
        </w:rPr>
        <w:t>Tower Hamlets Council</w:t>
      </w:r>
    </w:p>
    <w:p w14:paraId="7E46FE7A" w14:textId="07D829E0" w:rsidR="007D7735" w:rsidRPr="00C83FFD" w:rsidRDefault="007D7735" w:rsidP="00FD6BB2">
      <w:pPr>
        <w:rPr>
          <w:rFonts w:cs="Arial"/>
          <w:sz w:val="22"/>
          <w:szCs w:val="22"/>
        </w:rPr>
      </w:pPr>
      <w:r w:rsidRPr="00C83FFD">
        <w:rPr>
          <w:rFonts w:cs="Arial"/>
          <w:sz w:val="22"/>
          <w:szCs w:val="22"/>
        </w:rPr>
        <w:t>Tower Hamlets Council delivers Early Help in the framework of its Early Help Strategy 2023–2025, which is called “Leaving no families behind”. This title provides a good, inclusive message and is appropriate for a very diverse Inner London borough (Tower Hamlets Council, 2025). The strategy is to define Early Help as a system of planned services, not a single service. This is good because families might require assistance with the areas of housing, education, health, poverty and safeguarding</w:t>
      </w:r>
      <w:r w:rsidR="009D0B26" w:rsidRPr="00C83FFD">
        <w:rPr>
          <w:rFonts w:cs="Arial"/>
          <w:sz w:val="22"/>
          <w:szCs w:val="22"/>
        </w:rPr>
        <w:t xml:space="preserve"> (Firmin et al., 2022)</w:t>
      </w:r>
      <w:r w:rsidRPr="00C83FFD">
        <w:rPr>
          <w:rFonts w:cs="Arial"/>
          <w:sz w:val="22"/>
          <w:szCs w:val="22"/>
        </w:rPr>
        <w:t xml:space="preserve">. But for parents who want instant advice, the strategy format might be less easy for them. It may be hard for families to deal with a long PDF, especially when they are under stress and when some may have limited English or low digital confidence. Trust, </w:t>
      </w:r>
      <w:r w:rsidRPr="00C83FFD">
        <w:rPr>
          <w:rFonts w:cs="Arial"/>
          <w:sz w:val="22"/>
          <w:szCs w:val="22"/>
        </w:rPr>
        <w:lastRenderedPageBreak/>
        <w:t>consent and professional judgement are found to affect the process of information sharing in Early Help by Smart et al. (2021). Therefore, it is important for Tower Hamlets to make it clear what information is being shared, why consent is important, and how families can seek assistance. The website should also feature short web pages, translation facilities, help to family hubs, children's centres, safeguarding routes and specialist services. It has the biggest asset of being inclusive. The drawback is that strategic language cannot always be put into practice as guidance for families.</w:t>
      </w:r>
    </w:p>
    <w:p w14:paraId="45E027AE" w14:textId="7BB440F1" w:rsidR="007D7735" w:rsidRPr="00C83FFD" w:rsidRDefault="007D7735" w:rsidP="00FD6BB2">
      <w:pPr>
        <w:rPr>
          <w:rFonts w:cs="Arial"/>
          <w:b/>
          <w:bCs/>
          <w:sz w:val="22"/>
          <w:szCs w:val="22"/>
        </w:rPr>
      </w:pPr>
      <w:r w:rsidRPr="00C83FFD">
        <w:rPr>
          <w:rFonts w:cs="Arial"/>
          <w:b/>
          <w:bCs/>
          <w:sz w:val="22"/>
          <w:szCs w:val="22"/>
        </w:rPr>
        <w:t>Norfolk County Council</w:t>
      </w:r>
    </w:p>
    <w:p w14:paraId="328C3800" w14:textId="5F8A147F" w:rsidR="007D7735" w:rsidRPr="00C83FFD" w:rsidRDefault="007D7735" w:rsidP="00FD6BB2">
      <w:pPr>
        <w:rPr>
          <w:rFonts w:cs="Arial"/>
          <w:sz w:val="22"/>
          <w:szCs w:val="22"/>
        </w:rPr>
      </w:pPr>
      <w:r w:rsidRPr="00C83FFD">
        <w:rPr>
          <w:rFonts w:cs="Arial"/>
          <w:sz w:val="22"/>
          <w:szCs w:val="22"/>
        </w:rPr>
        <w:t xml:space="preserve">Norfolk County Council deliver Early Help as part of its Early Help Strategy. This is helpful as it supports a wider approach to prevention (Norfolk County Council, 2025). It is also part of the strategy that families should be assisted when they have needs before those needs become serious. This aligns with evidence-based information that suggests that preventative children's services can impact on looked after </w:t>
      </w:r>
      <w:r w:rsidR="005C43BB" w:rsidRPr="00C83FFD">
        <w:rPr>
          <w:rFonts w:cs="Arial"/>
          <w:sz w:val="22"/>
          <w:szCs w:val="22"/>
        </w:rPr>
        <w:t>children’s</w:t>
      </w:r>
      <w:r w:rsidRPr="00C83FFD">
        <w:rPr>
          <w:rFonts w:cs="Arial"/>
          <w:sz w:val="22"/>
          <w:szCs w:val="22"/>
        </w:rPr>
        <w:t xml:space="preserve"> rates in the future (Bennett et al., 2021). Digital signposting is particularly important in Norfolk's county context. Families can be spread out in more rural and remote settings, where services are not always available. However, the information needs of a website should be sorted by locality, age group, family need, and referral route. The strategic page gives direction, but families may need to be given more guidance that is practical. This should contain contact information, self-help avenues, downloadable guides, and easy explanations of next steps. Ordinary family support can alleviate pressure on children in need systems (Webb, 2021). The strength of Norfolk is its emphasis on prevention, and the weakness is that there is a risk of strategic information being removed from the daily needs of the immediate family.</w:t>
      </w:r>
    </w:p>
    <w:p w14:paraId="50AC82BF" w14:textId="399CCC4B" w:rsidR="007D7735" w:rsidRPr="00C83FFD" w:rsidRDefault="007D7735" w:rsidP="00FD6BB2">
      <w:pPr>
        <w:pStyle w:val="Heading1"/>
        <w:rPr>
          <w:rFonts w:cs="Arial"/>
          <w:sz w:val="22"/>
          <w:szCs w:val="22"/>
        </w:rPr>
      </w:pPr>
      <w:bookmarkStart w:id="4" w:name="_Toc234331530"/>
      <w:r w:rsidRPr="00C83FFD">
        <w:rPr>
          <w:rFonts w:cs="Arial"/>
          <w:sz w:val="22"/>
          <w:szCs w:val="22"/>
        </w:rPr>
        <w:t>5. Comparative analysis</w:t>
      </w:r>
      <w:bookmarkEnd w:id="4"/>
    </w:p>
    <w:p w14:paraId="5579A7DC" w14:textId="7B7416CF" w:rsidR="007D7735" w:rsidRPr="00C83FFD" w:rsidRDefault="007D7735" w:rsidP="00FD6BB2">
      <w:pPr>
        <w:rPr>
          <w:rFonts w:cs="Arial"/>
          <w:b/>
          <w:bCs/>
          <w:sz w:val="22"/>
          <w:szCs w:val="22"/>
        </w:rPr>
      </w:pPr>
      <w:r w:rsidRPr="00C83FFD">
        <w:rPr>
          <w:rFonts w:cs="Arial"/>
          <w:b/>
          <w:bCs/>
          <w:sz w:val="22"/>
          <w:szCs w:val="22"/>
        </w:rPr>
        <w:t>Key similarities</w:t>
      </w:r>
    </w:p>
    <w:p w14:paraId="4CBE20DB" w14:textId="5384CE9F" w:rsidR="007D7735" w:rsidRPr="00C83FFD" w:rsidRDefault="007D7735" w:rsidP="00FD6BB2">
      <w:pPr>
        <w:rPr>
          <w:rFonts w:cs="Arial"/>
          <w:sz w:val="22"/>
          <w:szCs w:val="22"/>
        </w:rPr>
      </w:pPr>
      <w:r w:rsidRPr="00C83FFD">
        <w:rPr>
          <w:rFonts w:cs="Arial"/>
          <w:sz w:val="22"/>
          <w:szCs w:val="22"/>
        </w:rPr>
        <w:t>All three authorities see Early Help as being part of more comprehensive family support. They also link Early Help to preventative and safeguarding measures with professional co-ordination. This is in line with national expectations that Early Help is accessible, joined-up and needs-led (GOV.UK, 2022). Each website is of value from a safeguarding viewpoint as it brings families to earlier help before issues escalate.</w:t>
      </w:r>
    </w:p>
    <w:p w14:paraId="34FF61BA" w14:textId="28F78C38" w:rsidR="007D7735" w:rsidRPr="00C83FFD" w:rsidRDefault="007D7735" w:rsidP="00FD6BB2">
      <w:pPr>
        <w:rPr>
          <w:rFonts w:cs="Arial"/>
          <w:b/>
          <w:bCs/>
          <w:sz w:val="22"/>
          <w:szCs w:val="22"/>
        </w:rPr>
      </w:pPr>
      <w:r w:rsidRPr="00C83FFD">
        <w:rPr>
          <w:rFonts w:cs="Arial"/>
          <w:b/>
          <w:bCs/>
          <w:sz w:val="22"/>
          <w:szCs w:val="22"/>
        </w:rPr>
        <w:t>Key differences</w:t>
      </w:r>
    </w:p>
    <w:p w14:paraId="4454F330" w14:textId="182510F7" w:rsidR="007D7735" w:rsidRPr="00C83FFD" w:rsidRDefault="007D7735" w:rsidP="00FD6BB2">
      <w:pPr>
        <w:jc w:val="center"/>
        <w:rPr>
          <w:rFonts w:cs="Arial"/>
          <w:b/>
          <w:bCs/>
          <w:sz w:val="22"/>
          <w:szCs w:val="22"/>
        </w:rPr>
      </w:pPr>
      <w:r w:rsidRPr="00C83FFD">
        <w:rPr>
          <w:rFonts w:cs="Arial"/>
          <w:b/>
          <w:bCs/>
          <w:sz w:val="22"/>
          <w:szCs w:val="22"/>
        </w:rPr>
        <w:lastRenderedPageBreak/>
        <w:t>Table 1: Comparative Evaluation of Early Help Online Signposting Across Leeds, Tower Hamlets and Norfolk Local Authority Websites</w:t>
      </w:r>
    </w:p>
    <w:tbl>
      <w:tblPr>
        <w:tblStyle w:val="PlainTable1"/>
        <w:tblW w:w="0" w:type="auto"/>
        <w:tblLook w:val="04A0" w:firstRow="1" w:lastRow="0" w:firstColumn="1" w:lastColumn="0" w:noHBand="0" w:noVBand="1"/>
      </w:tblPr>
      <w:tblGrid>
        <w:gridCol w:w="2419"/>
        <w:gridCol w:w="2216"/>
        <w:gridCol w:w="2309"/>
        <w:gridCol w:w="2406"/>
      </w:tblGrid>
      <w:tr w:rsidR="007D7735" w:rsidRPr="00C83FFD" w14:paraId="1507F091" w14:textId="77777777" w:rsidTr="007D77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AE9F7" w:themeFill="text2" w:themeFillTint="1A"/>
            <w:hideMark/>
          </w:tcPr>
          <w:p w14:paraId="7C860241" w14:textId="77777777" w:rsidR="007D7735" w:rsidRPr="00C83FFD" w:rsidRDefault="007D7735" w:rsidP="00FD6BB2">
            <w:pPr>
              <w:jc w:val="center"/>
              <w:rPr>
                <w:rFonts w:cs="Arial"/>
                <w:sz w:val="22"/>
                <w:szCs w:val="22"/>
              </w:rPr>
            </w:pPr>
            <w:r w:rsidRPr="00C83FFD">
              <w:rPr>
                <w:rFonts w:cs="Arial"/>
                <w:sz w:val="22"/>
                <w:szCs w:val="22"/>
              </w:rPr>
              <w:t>Criteria</w:t>
            </w:r>
          </w:p>
        </w:tc>
        <w:tc>
          <w:tcPr>
            <w:tcW w:w="0" w:type="auto"/>
            <w:shd w:val="clear" w:color="auto" w:fill="DAE9F7" w:themeFill="text2" w:themeFillTint="1A"/>
            <w:hideMark/>
          </w:tcPr>
          <w:p w14:paraId="3C1179FD" w14:textId="77777777" w:rsidR="007D7735" w:rsidRPr="00C83FFD" w:rsidRDefault="007D7735" w:rsidP="00FD6BB2">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Leeds</w:t>
            </w:r>
          </w:p>
        </w:tc>
        <w:tc>
          <w:tcPr>
            <w:tcW w:w="0" w:type="auto"/>
            <w:shd w:val="clear" w:color="auto" w:fill="DAE9F7" w:themeFill="text2" w:themeFillTint="1A"/>
            <w:hideMark/>
          </w:tcPr>
          <w:p w14:paraId="0581BADA" w14:textId="77777777" w:rsidR="007D7735" w:rsidRPr="00C83FFD" w:rsidRDefault="007D7735" w:rsidP="00FD6BB2">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Tower Hamlets</w:t>
            </w:r>
          </w:p>
        </w:tc>
        <w:tc>
          <w:tcPr>
            <w:tcW w:w="0" w:type="auto"/>
            <w:shd w:val="clear" w:color="auto" w:fill="DAE9F7" w:themeFill="text2" w:themeFillTint="1A"/>
            <w:hideMark/>
          </w:tcPr>
          <w:p w14:paraId="5CE9EBCD" w14:textId="77777777" w:rsidR="007D7735" w:rsidRPr="00C83FFD" w:rsidRDefault="007D7735" w:rsidP="00FD6BB2">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Norfolk</w:t>
            </w:r>
          </w:p>
        </w:tc>
      </w:tr>
      <w:tr w:rsidR="007D7735" w:rsidRPr="00C83FFD" w14:paraId="1994FFF9" w14:textId="77777777" w:rsidTr="007D7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A49D06" w14:textId="77777777" w:rsidR="007D7735" w:rsidRPr="00C83FFD" w:rsidRDefault="007D7735" w:rsidP="00FD6BB2">
            <w:pPr>
              <w:rPr>
                <w:rFonts w:cs="Arial"/>
                <w:sz w:val="22"/>
                <w:szCs w:val="22"/>
              </w:rPr>
            </w:pPr>
            <w:r w:rsidRPr="00C83FFD">
              <w:rPr>
                <w:rFonts w:cs="Arial"/>
                <w:sz w:val="22"/>
                <w:szCs w:val="22"/>
              </w:rPr>
              <w:t>Ease of access</w:t>
            </w:r>
          </w:p>
        </w:tc>
        <w:tc>
          <w:tcPr>
            <w:tcW w:w="0" w:type="auto"/>
            <w:hideMark/>
          </w:tcPr>
          <w:p w14:paraId="0228F1C9"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Stronger webpage route</w:t>
            </w:r>
          </w:p>
        </w:tc>
        <w:tc>
          <w:tcPr>
            <w:tcW w:w="0" w:type="auto"/>
            <w:hideMark/>
          </w:tcPr>
          <w:p w14:paraId="77D05035"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Strategy-led route</w:t>
            </w:r>
          </w:p>
        </w:tc>
        <w:tc>
          <w:tcPr>
            <w:tcW w:w="0" w:type="auto"/>
            <w:hideMark/>
          </w:tcPr>
          <w:p w14:paraId="0DA1F732"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Strategy-led route</w:t>
            </w:r>
          </w:p>
        </w:tc>
      </w:tr>
      <w:tr w:rsidR="007D7735" w:rsidRPr="00C83FFD" w14:paraId="5C8AE6B1" w14:textId="77777777" w:rsidTr="007D7735">
        <w:tc>
          <w:tcPr>
            <w:cnfStyle w:val="001000000000" w:firstRow="0" w:lastRow="0" w:firstColumn="1" w:lastColumn="0" w:oddVBand="0" w:evenVBand="0" w:oddHBand="0" w:evenHBand="0" w:firstRowFirstColumn="0" w:firstRowLastColumn="0" w:lastRowFirstColumn="0" w:lastRowLastColumn="0"/>
            <w:tcW w:w="0" w:type="auto"/>
            <w:hideMark/>
          </w:tcPr>
          <w:p w14:paraId="042CBFE3" w14:textId="77777777" w:rsidR="007D7735" w:rsidRPr="00C83FFD" w:rsidRDefault="007D7735" w:rsidP="00FD6BB2">
            <w:pPr>
              <w:rPr>
                <w:rFonts w:cs="Arial"/>
                <w:sz w:val="22"/>
                <w:szCs w:val="22"/>
              </w:rPr>
            </w:pPr>
            <w:r w:rsidRPr="00C83FFD">
              <w:rPr>
                <w:rFonts w:cs="Arial"/>
                <w:sz w:val="22"/>
                <w:szCs w:val="22"/>
              </w:rPr>
              <w:t>Clarity</w:t>
            </w:r>
          </w:p>
        </w:tc>
        <w:tc>
          <w:tcPr>
            <w:tcW w:w="0" w:type="auto"/>
            <w:hideMark/>
          </w:tcPr>
          <w:p w14:paraId="43CA256E" w14:textId="7777777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Fairly clear</w:t>
            </w:r>
          </w:p>
        </w:tc>
        <w:tc>
          <w:tcPr>
            <w:tcW w:w="0" w:type="auto"/>
            <w:hideMark/>
          </w:tcPr>
          <w:p w14:paraId="3D0ACF1E" w14:textId="7777777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More strategic language</w:t>
            </w:r>
          </w:p>
        </w:tc>
        <w:tc>
          <w:tcPr>
            <w:tcW w:w="0" w:type="auto"/>
            <w:hideMark/>
          </w:tcPr>
          <w:p w14:paraId="62B889CA" w14:textId="7777777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Clear but broad</w:t>
            </w:r>
          </w:p>
        </w:tc>
      </w:tr>
      <w:tr w:rsidR="007D7735" w:rsidRPr="00C83FFD" w14:paraId="7677B9AF" w14:textId="77777777" w:rsidTr="007D7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C10C1C" w14:textId="77777777" w:rsidR="007D7735" w:rsidRPr="00C83FFD" w:rsidRDefault="007D7735" w:rsidP="00FD6BB2">
            <w:pPr>
              <w:rPr>
                <w:rFonts w:cs="Arial"/>
                <w:sz w:val="22"/>
                <w:szCs w:val="22"/>
              </w:rPr>
            </w:pPr>
            <w:r w:rsidRPr="00C83FFD">
              <w:rPr>
                <w:rFonts w:cs="Arial"/>
                <w:sz w:val="22"/>
                <w:szCs w:val="22"/>
              </w:rPr>
              <w:t>Navigation</w:t>
            </w:r>
          </w:p>
        </w:tc>
        <w:tc>
          <w:tcPr>
            <w:tcW w:w="0" w:type="auto"/>
            <w:hideMark/>
          </w:tcPr>
          <w:p w14:paraId="23FA7906"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Useful but possibly dense</w:t>
            </w:r>
          </w:p>
        </w:tc>
        <w:tc>
          <w:tcPr>
            <w:tcW w:w="0" w:type="auto"/>
            <w:hideMark/>
          </w:tcPr>
          <w:p w14:paraId="5B018F67"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PDF may slow access</w:t>
            </w:r>
          </w:p>
        </w:tc>
        <w:tc>
          <w:tcPr>
            <w:tcW w:w="0" w:type="auto"/>
            <w:hideMark/>
          </w:tcPr>
          <w:p w14:paraId="65E75368"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Needs locality detail</w:t>
            </w:r>
          </w:p>
        </w:tc>
      </w:tr>
      <w:tr w:rsidR="007D7735" w:rsidRPr="00C83FFD" w14:paraId="7D4C1AD2" w14:textId="77777777" w:rsidTr="007D7735">
        <w:tc>
          <w:tcPr>
            <w:cnfStyle w:val="001000000000" w:firstRow="0" w:lastRow="0" w:firstColumn="1" w:lastColumn="0" w:oddVBand="0" w:evenVBand="0" w:oddHBand="0" w:evenHBand="0" w:firstRowFirstColumn="0" w:firstRowLastColumn="0" w:lastRowFirstColumn="0" w:lastRowLastColumn="0"/>
            <w:tcW w:w="0" w:type="auto"/>
            <w:hideMark/>
          </w:tcPr>
          <w:p w14:paraId="6A1B66E8" w14:textId="77777777" w:rsidR="007D7735" w:rsidRPr="00C83FFD" w:rsidRDefault="007D7735" w:rsidP="00FD6BB2">
            <w:pPr>
              <w:rPr>
                <w:rFonts w:cs="Arial"/>
                <w:sz w:val="22"/>
                <w:szCs w:val="22"/>
              </w:rPr>
            </w:pPr>
            <w:r w:rsidRPr="00C83FFD">
              <w:rPr>
                <w:rFonts w:cs="Arial"/>
                <w:sz w:val="22"/>
                <w:szCs w:val="22"/>
              </w:rPr>
              <w:t>Family-friendly language</w:t>
            </w:r>
          </w:p>
        </w:tc>
        <w:tc>
          <w:tcPr>
            <w:tcW w:w="0" w:type="auto"/>
            <w:hideMark/>
          </w:tcPr>
          <w:p w14:paraId="3847C7B2" w14:textId="7777777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Moderate</w:t>
            </w:r>
          </w:p>
        </w:tc>
        <w:tc>
          <w:tcPr>
            <w:tcW w:w="0" w:type="auto"/>
            <w:hideMark/>
          </w:tcPr>
          <w:p w14:paraId="34C4C358" w14:textId="7777777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Needs simpler wording</w:t>
            </w:r>
          </w:p>
        </w:tc>
        <w:tc>
          <w:tcPr>
            <w:tcW w:w="0" w:type="auto"/>
            <w:hideMark/>
          </w:tcPr>
          <w:p w14:paraId="7B86CBF9" w14:textId="7777777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Moderate</w:t>
            </w:r>
          </w:p>
        </w:tc>
      </w:tr>
      <w:tr w:rsidR="007D7735" w:rsidRPr="00C83FFD" w14:paraId="5B3C3BC3" w14:textId="77777777" w:rsidTr="007D7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ADE4CB" w14:textId="77777777" w:rsidR="007D7735" w:rsidRPr="00C83FFD" w:rsidRDefault="007D7735" w:rsidP="00FD6BB2">
            <w:pPr>
              <w:rPr>
                <w:rFonts w:cs="Arial"/>
                <w:sz w:val="22"/>
                <w:szCs w:val="22"/>
              </w:rPr>
            </w:pPr>
            <w:r w:rsidRPr="00C83FFD">
              <w:rPr>
                <w:rFonts w:cs="Arial"/>
                <w:sz w:val="22"/>
                <w:szCs w:val="22"/>
              </w:rPr>
              <w:t>Professional guidance</w:t>
            </w:r>
          </w:p>
        </w:tc>
        <w:tc>
          <w:tcPr>
            <w:tcW w:w="0" w:type="auto"/>
            <w:hideMark/>
          </w:tcPr>
          <w:p w14:paraId="092F3F5A"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Useful service focus</w:t>
            </w:r>
          </w:p>
        </w:tc>
        <w:tc>
          <w:tcPr>
            <w:tcW w:w="0" w:type="auto"/>
            <w:hideMark/>
          </w:tcPr>
          <w:p w14:paraId="749E200E"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Strong strategic focus</w:t>
            </w:r>
          </w:p>
        </w:tc>
        <w:tc>
          <w:tcPr>
            <w:tcW w:w="0" w:type="auto"/>
            <w:hideMark/>
          </w:tcPr>
          <w:p w14:paraId="7140BA69"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Strong prevention focus</w:t>
            </w:r>
          </w:p>
        </w:tc>
      </w:tr>
      <w:tr w:rsidR="007D7735" w:rsidRPr="00C83FFD" w14:paraId="5AC7DFF8" w14:textId="77777777" w:rsidTr="007D7735">
        <w:tc>
          <w:tcPr>
            <w:cnfStyle w:val="001000000000" w:firstRow="0" w:lastRow="0" w:firstColumn="1" w:lastColumn="0" w:oddVBand="0" w:evenVBand="0" w:oddHBand="0" w:evenHBand="0" w:firstRowFirstColumn="0" w:firstRowLastColumn="0" w:lastRowFirstColumn="0" w:lastRowLastColumn="0"/>
            <w:tcW w:w="0" w:type="auto"/>
            <w:hideMark/>
          </w:tcPr>
          <w:p w14:paraId="30CD9E27" w14:textId="77777777" w:rsidR="007D7735" w:rsidRPr="00C83FFD" w:rsidRDefault="007D7735" w:rsidP="00FD6BB2">
            <w:pPr>
              <w:rPr>
                <w:rFonts w:cs="Arial"/>
                <w:sz w:val="22"/>
                <w:szCs w:val="22"/>
              </w:rPr>
            </w:pPr>
            <w:r w:rsidRPr="00C83FFD">
              <w:rPr>
                <w:rFonts w:cs="Arial"/>
                <w:sz w:val="22"/>
                <w:szCs w:val="22"/>
              </w:rPr>
              <w:t>Accessibility</w:t>
            </w:r>
          </w:p>
        </w:tc>
        <w:tc>
          <w:tcPr>
            <w:tcW w:w="0" w:type="auto"/>
            <w:hideMark/>
          </w:tcPr>
          <w:p w14:paraId="5B3910BD" w14:textId="7777777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Needs clearer steps</w:t>
            </w:r>
          </w:p>
        </w:tc>
        <w:tc>
          <w:tcPr>
            <w:tcW w:w="0" w:type="auto"/>
            <w:hideMark/>
          </w:tcPr>
          <w:p w14:paraId="374402F2" w14:textId="3E1845E7"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Needs a multilingual focus</w:t>
            </w:r>
          </w:p>
        </w:tc>
        <w:tc>
          <w:tcPr>
            <w:tcW w:w="0" w:type="auto"/>
            <w:hideMark/>
          </w:tcPr>
          <w:p w14:paraId="4731C10D" w14:textId="31AAA85C" w:rsidR="007D7735" w:rsidRPr="00C83FFD" w:rsidRDefault="007D7735" w:rsidP="00FD6BB2">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83FFD">
              <w:rPr>
                <w:rFonts w:cs="Arial"/>
                <w:sz w:val="22"/>
                <w:szCs w:val="22"/>
              </w:rPr>
              <w:t>Needs a rural access focus</w:t>
            </w:r>
          </w:p>
        </w:tc>
      </w:tr>
      <w:tr w:rsidR="007D7735" w:rsidRPr="00C83FFD" w14:paraId="54B37B4B" w14:textId="77777777" w:rsidTr="007D7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E81B8A" w14:textId="77777777" w:rsidR="007D7735" w:rsidRPr="00C83FFD" w:rsidRDefault="007D7735" w:rsidP="00FD6BB2">
            <w:pPr>
              <w:rPr>
                <w:rFonts w:cs="Arial"/>
                <w:sz w:val="22"/>
                <w:szCs w:val="22"/>
              </w:rPr>
            </w:pPr>
            <w:r w:rsidRPr="00C83FFD">
              <w:rPr>
                <w:rFonts w:cs="Arial"/>
                <w:sz w:val="22"/>
                <w:szCs w:val="22"/>
              </w:rPr>
              <w:t>Overall effectiveness</w:t>
            </w:r>
          </w:p>
        </w:tc>
        <w:tc>
          <w:tcPr>
            <w:tcW w:w="0" w:type="auto"/>
            <w:hideMark/>
          </w:tcPr>
          <w:p w14:paraId="23754CEF"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Strongest overall</w:t>
            </w:r>
          </w:p>
        </w:tc>
        <w:tc>
          <w:tcPr>
            <w:tcW w:w="0" w:type="auto"/>
            <w:hideMark/>
          </w:tcPr>
          <w:p w14:paraId="66153175"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Inclusive but less practical</w:t>
            </w:r>
          </w:p>
        </w:tc>
        <w:tc>
          <w:tcPr>
            <w:tcW w:w="0" w:type="auto"/>
            <w:hideMark/>
          </w:tcPr>
          <w:p w14:paraId="56173E07" w14:textId="77777777" w:rsidR="007D7735" w:rsidRPr="00C83FFD" w:rsidRDefault="007D7735" w:rsidP="00FD6BB2">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83FFD">
              <w:rPr>
                <w:rFonts w:cs="Arial"/>
                <w:sz w:val="22"/>
                <w:szCs w:val="22"/>
              </w:rPr>
              <w:t>Preventative but broad</w:t>
            </w:r>
          </w:p>
        </w:tc>
      </w:tr>
    </w:tbl>
    <w:p w14:paraId="2B02B238" w14:textId="5771CA90" w:rsidR="007D7735" w:rsidRPr="00C83FFD" w:rsidRDefault="007D7735" w:rsidP="00FD6BB2">
      <w:pPr>
        <w:jc w:val="center"/>
        <w:rPr>
          <w:rFonts w:cs="Arial"/>
          <w:sz w:val="22"/>
          <w:szCs w:val="22"/>
        </w:rPr>
      </w:pPr>
      <w:r w:rsidRPr="00C83FFD">
        <w:rPr>
          <w:rFonts w:cs="Arial"/>
          <w:b/>
          <w:bCs/>
          <w:sz w:val="22"/>
          <w:szCs w:val="22"/>
        </w:rPr>
        <w:t>Source:</w:t>
      </w:r>
      <w:r w:rsidRPr="00C83FFD">
        <w:rPr>
          <w:rFonts w:cs="Arial"/>
          <w:sz w:val="22"/>
          <w:szCs w:val="22"/>
        </w:rPr>
        <w:t xml:space="preserve"> Leeds City Council (2025), Tower Hamlets Council (2025) and Norfolk County Council (2025)</w:t>
      </w:r>
    </w:p>
    <w:p w14:paraId="15F8C105" w14:textId="217BE989" w:rsidR="007D7735" w:rsidRPr="00C83FFD" w:rsidRDefault="007D7735" w:rsidP="00FD6BB2">
      <w:pPr>
        <w:rPr>
          <w:rFonts w:cs="Arial"/>
          <w:b/>
          <w:bCs/>
          <w:sz w:val="22"/>
          <w:szCs w:val="22"/>
        </w:rPr>
      </w:pPr>
      <w:r w:rsidRPr="00C83FFD">
        <w:rPr>
          <w:rFonts w:cs="Arial"/>
          <w:b/>
          <w:bCs/>
          <w:sz w:val="22"/>
          <w:szCs w:val="22"/>
        </w:rPr>
        <w:t>Most effective website</w:t>
      </w:r>
    </w:p>
    <w:p w14:paraId="2CEE8017" w14:textId="77777777" w:rsidR="00275AED" w:rsidRPr="00C83FFD" w:rsidRDefault="007D7735" w:rsidP="00FD6BB2">
      <w:pPr>
        <w:rPr>
          <w:rFonts w:cs="Arial"/>
          <w:sz w:val="22"/>
          <w:szCs w:val="22"/>
        </w:rPr>
      </w:pPr>
      <w:r w:rsidRPr="00C83FFD">
        <w:rPr>
          <w:rFonts w:cs="Arial"/>
          <w:sz w:val="22"/>
          <w:szCs w:val="22"/>
        </w:rPr>
        <w:t xml:space="preserve">Leeds is the most likely to be effective overall as it has a dedicated Early Help and Family Information Services webpage on their website (Leeds City Council, 2025). This is more practical for parents than mainly using strategy documents. Tower Hamlets' inclusive message is strong, but its strategy format might not be as easy to access for families who require rapid support (Tower </w:t>
      </w:r>
      <w:r w:rsidRPr="00C83FFD">
        <w:rPr>
          <w:rFonts w:cs="Arial"/>
          <w:sz w:val="22"/>
          <w:szCs w:val="22"/>
        </w:rPr>
        <w:lastRenderedPageBreak/>
        <w:t xml:space="preserve">Hamlets Council, 2025). </w:t>
      </w:r>
      <w:r w:rsidR="00275AED" w:rsidRPr="00C83FFD">
        <w:rPr>
          <w:rFonts w:cs="Arial"/>
          <w:sz w:val="22"/>
          <w:szCs w:val="22"/>
        </w:rPr>
        <w:t>While this has a useful focus on prevention, the support at the county level may be less tangible to rural families (Norfolk County Council, 2025).</w:t>
      </w:r>
    </w:p>
    <w:p w14:paraId="54B4AF7F" w14:textId="77777777" w:rsidR="00275AED" w:rsidRPr="00C83FFD" w:rsidRDefault="00275AED" w:rsidP="00FD6BB2">
      <w:pPr>
        <w:rPr>
          <w:rFonts w:cs="Arial"/>
          <w:b/>
          <w:bCs/>
          <w:sz w:val="22"/>
          <w:szCs w:val="22"/>
        </w:rPr>
      </w:pPr>
      <w:r w:rsidRPr="00C83FFD">
        <w:rPr>
          <w:rFonts w:cs="Arial"/>
          <w:b/>
          <w:bCs/>
          <w:sz w:val="22"/>
          <w:szCs w:val="22"/>
        </w:rPr>
        <w:t>Improvements</w:t>
      </w:r>
    </w:p>
    <w:p w14:paraId="55718C8D" w14:textId="7FC2F0EC" w:rsidR="00275AED" w:rsidRPr="00C83FFD" w:rsidRDefault="00275AED" w:rsidP="00FD6BB2">
      <w:pPr>
        <w:rPr>
          <w:rFonts w:cs="Arial"/>
          <w:sz w:val="22"/>
          <w:szCs w:val="22"/>
        </w:rPr>
      </w:pPr>
      <w:r w:rsidRPr="00C83FFD">
        <w:rPr>
          <w:rFonts w:cs="Arial"/>
          <w:sz w:val="22"/>
          <w:szCs w:val="22"/>
        </w:rPr>
        <w:t>A key challenge at all three sites is to get clearer user paths. Routes should be streamlined if information is too much. And More resources to enable multilingual, accessible signposting in Tower Hamlets for communities.</w:t>
      </w:r>
    </w:p>
    <w:p w14:paraId="1FB9C5FA" w14:textId="7094A487" w:rsidR="007D7735" w:rsidRPr="00C83FFD" w:rsidRDefault="007D7735" w:rsidP="00FD6BB2">
      <w:pPr>
        <w:rPr>
          <w:rFonts w:cs="Arial"/>
          <w:sz w:val="22"/>
          <w:szCs w:val="22"/>
        </w:rPr>
      </w:pPr>
      <w:r w:rsidRPr="00C83FFD">
        <w:rPr>
          <w:rFonts w:cs="Arial"/>
          <w:sz w:val="22"/>
          <w:szCs w:val="22"/>
        </w:rPr>
        <w:t>There is a need to enhance local guidance for families living in rural areas in Norfolk. These enhancements would help to minimise confusion and aid in earlier family involvement.</w:t>
      </w:r>
    </w:p>
    <w:p w14:paraId="78CBC4ED" w14:textId="4C07B147" w:rsidR="007D7735" w:rsidRPr="00C83FFD" w:rsidRDefault="004610D9" w:rsidP="00FD6BB2">
      <w:pPr>
        <w:spacing w:before="0" w:after="160"/>
        <w:jc w:val="left"/>
        <w:rPr>
          <w:rFonts w:eastAsiaTheme="majorEastAsia" w:cs="Arial"/>
          <w:b/>
          <w:color w:val="000000" w:themeColor="text1"/>
          <w:sz w:val="22"/>
          <w:szCs w:val="22"/>
        </w:rPr>
      </w:pPr>
      <w:bookmarkStart w:id="5" w:name="_Toc234331531"/>
      <w:r w:rsidRPr="00C83FFD">
        <w:rPr>
          <w:rFonts w:cs="Arial"/>
          <w:sz w:val="22"/>
          <w:szCs w:val="22"/>
        </w:rPr>
        <w:br w:type="page"/>
      </w:r>
      <w:bookmarkEnd w:id="5"/>
    </w:p>
    <w:p w14:paraId="3046B312" w14:textId="46D5C0A1" w:rsidR="007D7735" w:rsidRPr="00C83FFD" w:rsidRDefault="007D7735" w:rsidP="00FD6BB2">
      <w:pPr>
        <w:rPr>
          <w:rFonts w:cs="Arial"/>
          <w:b/>
          <w:bCs/>
          <w:sz w:val="22"/>
          <w:szCs w:val="22"/>
        </w:rPr>
      </w:pPr>
      <w:r w:rsidRPr="00C83FFD">
        <w:rPr>
          <w:rFonts w:cs="Arial"/>
          <w:b/>
          <w:bCs/>
          <w:sz w:val="22"/>
          <w:szCs w:val="22"/>
        </w:rPr>
        <w:lastRenderedPageBreak/>
        <w:t>Conclusion</w:t>
      </w:r>
    </w:p>
    <w:p w14:paraId="19D99E07" w14:textId="32BBEC75" w:rsidR="007D7735" w:rsidRPr="00C83FFD" w:rsidRDefault="007D7735" w:rsidP="00FD6BB2">
      <w:pPr>
        <w:rPr>
          <w:rFonts w:cs="Arial"/>
          <w:sz w:val="22"/>
          <w:szCs w:val="22"/>
        </w:rPr>
      </w:pPr>
      <w:r w:rsidRPr="00C83FFD">
        <w:rPr>
          <w:rFonts w:cs="Arial"/>
          <w:sz w:val="22"/>
          <w:szCs w:val="22"/>
        </w:rPr>
        <w:t>This report confirms that Early Help websites influence access to support by families and professionals. Signposting is crucial as families might be researching services online before calling them. The comparison identified that successful websites require clear language, easy navigation, contact information that is visible, and helpful referral information. Leeds seems to look best as it offers a more direct link to their Early Help page. Tower Hamlets is an inclusive approach, but it wants to shorten the guidance for families. There is a focus on prevention in Norfolk, with a need for more locality-based information in rural areas. Early Help should continue to be 'accessible, coordinated and needs-led' (GOV.UK, 2022).</w:t>
      </w:r>
    </w:p>
    <w:p w14:paraId="793516AA" w14:textId="72BE33E7" w:rsidR="003E0AD6" w:rsidRPr="00C83FFD" w:rsidRDefault="007D7735" w:rsidP="00FD6BB2">
      <w:pPr>
        <w:rPr>
          <w:rFonts w:cs="Arial"/>
          <w:sz w:val="22"/>
          <w:szCs w:val="22"/>
        </w:rPr>
      </w:pPr>
      <w:r w:rsidRPr="00C83FFD">
        <w:rPr>
          <w:rFonts w:cs="Arial"/>
          <w:sz w:val="22"/>
          <w:szCs w:val="22"/>
        </w:rPr>
        <w:t>Every council should communicate in plain English about who Early Help helps. Families should see websites which indicate when they can expect to get help and what will happen after. Councils need to distinguish professional referral guidance from family guidance. Families require easy request-help pathways, and professionals require referral and consent information. It should be translated, with mobile-friendly pages and compatibility with screen readers. Councils should also include flowcharts, short videos and step-by-step guides. All Early Help pages must have visible contact information.</w:t>
      </w:r>
    </w:p>
    <w:p w14:paraId="5E95A59E" w14:textId="77777777" w:rsidR="003E0AD6" w:rsidRPr="00CE4DF9" w:rsidRDefault="003E0AD6" w:rsidP="00596164">
      <w:pPr>
        <w:rPr>
          <w:rFonts w:cs="Arial"/>
          <w:sz w:val="22"/>
          <w:szCs w:val="22"/>
        </w:rPr>
      </w:pPr>
    </w:p>
    <w:p w14:paraId="6900681C" w14:textId="35D763F2" w:rsidR="00EB34F9" w:rsidRPr="00CE4DF9" w:rsidRDefault="00EB34F9" w:rsidP="00596164">
      <w:pPr>
        <w:rPr>
          <w:rFonts w:cs="Arial"/>
          <w:sz w:val="22"/>
          <w:szCs w:val="22"/>
        </w:rPr>
      </w:pPr>
    </w:p>
    <w:p w14:paraId="51B53F82" w14:textId="77777777" w:rsidR="00EB34F9" w:rsidRPr="00CE4DF9" w:rsidRDefault="00EB34F9" w:rsidP="00596164">
      <w:pPr>
        <w:spacing w:before="0" w:after="160"/>
        <w:jc w:val="left"/>
        <w:rPr>
          <w:rFonts w:cs="Arial"/>
          <w:sz w:val="22"/>
          <w:szCs w:val="22"/>
        </w:rPr>
      </w:pPr>
      <w:r w:rsidRPr="00CE4DF9">
        <w:rPr>
          <w:rFonts w:cs="Arial"/>
          <w:sz w:val="22"/>
          <w:szCs w:val="22"/>
        </w:rPr>
        <w:br w:type="page"/>
      </w:r>
    </w:p>
    <w:p w14:paraId="0895304B" w14:textId="3EE6165E" w:rsidR="007D7735" w:rsidRPr="007635EA" w:rsidRDefault="007D7735" w:rsidP="007D7735">
      <w:pPr>
        <w:pStyle w:val="Heading1"/>
        <w:rPr>
          <w:rFonts w:ascii="Times New Roman" w:hAnsi="Times New Roman" w:cs="Times New Roman"/>
        </w:rPr>
      </w:pPr>
      <w:bookmarkStart w:id="6" w:name="_Toc234331532"/>
      <w:r w:rsidRPr="007635EA">
        <w:rPr>
          <w:rFonts w:ascii="Times New Roman" w:hAnsi="Times New Roman" w:cs="Times New Roman"/>
        </w:rPr>
        <w:lastRenderedPageBreak/>
        <w:t>7</w:t>
      </w:r>
      <w:r w:rsidR="002E22C9" w:rsidRPr="007635EA">
        <w:rPr>
          <w:rFonts w:ascii="Times New Roman" w:hAnsi="Times New Roman" w:cs="Times New Roman"/>
        </w:rPr>
        <w:t xml:space="preserve">. </w:t>
      </w:r>
      <w:r w:rsidR="00EC0BB6" w:rsidRPr="007635EA">
        <w:rPr>
          <w:rFonts w:ascii="Times New Roman" w:hAnsi="Times New Roman" w:cs="Times New Roman"/>
        </w:rPr>
        <w:t>References</w:t>
      </w:r>
      <w:bookmarkEnd w:id="6"/>
    </w:p>
    <w:p w14:paraId="5E6A516F"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Baginsky, M., Driscoll, J., Purcell, C., Manthorpe, J. and Hickman, B. (2022). Protecting and Safeguarding Children in Schools. </w:t>
      </w:r>
      <w:r w:rsidRPr="007635EA">
        <w:rPr>
          <w:rFonts w:ascii="Times New Roman" w:hAnsi="Times New Roman" w:cs="Times New Roman"/>
          <w:i/>
          <w:iCs/>
        </w:rPr>
        <w:t>Protecting and Safeguarding Children in Schools: A Multi-Agency Approach</w:t>
      </w:r>
      <w:r w:rsidRPr="007635EA">
        <w:rPr>
          <w:rFonts w:ascii="Times New Roman" w:hAnsi="Times New Roman" w:cs="Times New Roman"/>
        </w:rPr>
        <w:t>. [online] doi:10.1332/</w:t>
      </w:r>
      <w:proofErr w:type="spellStart"/>
      <w:r w:rsidRPr="007635EA">
        <w:rPr>
          <w:rFonts w:ascii="Times New Roman" w:hAnsi="Times New Roman" w:cs="Times New Roman"/>
        </w:rPr>
        <w:t>policypress</w:t>
      </w:r>
      <w:proofErr w:type="spellEnd"/>
      <w:r w:rsidRPr="007635EA">
        <w:rPr>
          <w:rFonts w:ascii="Times New Roman" w:hAnsi="Times New Roman" w:cs="Times New Roman"/>
        </w:rPr>
        <w:t>/9781447358268.001.0001.</w:t>
      </w:r>
    </w:p>
    <w:p w14:paraId="2FC30543" w14:textId="29E1CD1C" w:rsidR="007D7735" w:rsidRPr="007635EA" w:rsidRDefault="007D7735" w:rsidP="003E0AD6">
      <w:pPr>
        <w:rPr>
          <w:rFonts w:ascii="Times New Roman" w:hAnsi="Times New Roman" w:cs="Times New Roman"/>
        </w:rPr>
      </w:pPr>
      <w:r w:rsidRPr="007635EA">
        <w:rPr>
          <w:rFonts w:ascii="Times New Roman" w:hAnsi="Times New Roman" w:cs="Times New Roman"/>
        </w:rPr>
        <w:t>Ball, E.J., McElwee, J.D. and McManus, M.A. (2024). Multi-agency safeguarding: From Everyone’s Responsibility to a Collective Responsibility. </w:t>
      </w:r>
      <w:r w:rsidRPr="007635EA">
        <w:rPr>
          <w:rFonts w:ascii="Times New Roman" w:hAnsi="Times New Roman" w:cs="Times New Roman"/>
          <w:i/>
          <w:iCs/>
        </w:rPr>
        <w:t>Journal of Community Safety &amp; Well-being</w:t>
      </w:r>
      <w:r w:rsidRPr="007635EA">
        <w:rPr>
          <w:rFonts w:ascii="Times New Roman" w:hAnsi="Times New Roman" w:cs="Times New Roman"/>
        </w:rPr>
        <w:t>, 9(2), pp.104–108. doi:10.35502/jcswb.371.</w:t>
      </w:r>
    </w:p>
    <w:p w14:paraId="67ADB16E"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Bennett, D.L., JR Webb, C., Mason, K.E., Schlüter, D.K., Fahy, K., Alexiou, A., Wickham, S., Barr, B. and Taylor-Robinson, D. (2021). Funding for preventative Children’s Services and rates of children becoming looked after: A natural experiment using longitudinal area-level data in England. </w:t>
      </w:r>
      <w:r w:rsidRPr="007635EA">
        <w:rPr>
          <w:rFonts w:ascii="Times New Roman" w:hAnsi="Times New Roman" w:cs="Times New Roman"/>
          <w:i/>
          <w:iCs/>
        </w:rPr>
        <w:t>Children and Youth Services Review</w:t>
      </w:r>
      <w:r w:rsidRPr="007635EA">
        <w:rPr>
          <w:rFonts w:ascii="Times New Roman" w:hAnsi="Times New Roman" w:cs="Times New Roman"/>
        </w:rPr>
        <w:t xml:space="preserve">, 131, p.106289. </w:t>
      </w:r>
      <w:proofErr w:type="spellStart"/>
      <w:r w:rsidRPr="007635EA">
        <w:rPr>
          <w:rFonts w:ascii="Times New Roman" w:hAnsi="Times New Roman" w:cs="Times New Roman"/>
        </w:rPr>
        <w:t>doi</w:t>
      </w:r>
      <w:proofErr w:type="spellEnd"/>
      <w:r w:rsidRPr="007635EA">
        <w:rPr>
          <w:rFonts w:ascii="Times New Roman" w:hAnsi="Times New Roman" w:cs="Times New Roman"/>
        </w:rPr>
        <w:t>: 10.1016/j.childyouth.2021.106289.</w:t>
      </w:r>
    </w:p>
    <w:p w14:paraId="0D7CBDDA"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Department for Education (2025). </w:t>
      </w:r>
      <w:r w:rsidRPr="007635EA">
        <w:rPr>
          <w:rFonts w:ascii="Times New Roman" w:hAnsi="Times New Roman" w:cs="Times New Roman"/>
          <w:i/>
          <w:iCs/>
        </w:rPr>
        <w:t>Working Together to Safeguard Children</w:t>
      </w:r>
      <w:r w:rsidRPr="007635EA">
        <w:rPr>
          <w:rFonts w:ascii="Times New Roman" w:hAnsi="Times New Roman" w:cs="Times New Roman"/>
        </w:rPr>
        <w:t xml:space="preserve">. [online] GOV.UK. Available at: </w:t>
      </w:r>
      <w:hyperlink r:id="rId8" w:history="1">
        <w:r w:rsidRPr="007635EA">
          <w:rPr>
            <w:rStyle w:val="Hyperlink"/>
            <w:rFonts w:ascii="Times New Roman" w:hAnsi="Times New Roman" w:cs="Times New Roman"/>
          </w:rPr>
          <w:t>https://www.gov.uk/government/publications/working-together-to-safeguard-children--2</w:t>
        </w:r>
      </w:hyperlink>
      <w:r w:rsidRPr="007635EA">
        <w:rPr>
          <w:rFonts w:ascii="Times New Roman" w:hAnsi="Times New Roman" w:cs="Times New Roman"/>
        </w:rPr>
        <w:t>.</w:t>
      </w:r>
    </w:p>
    <w:p w14:paraId="058C1576"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 xml:space="preserve">Dickens, J., Cook, L., Cossar, J., </w:t>
      </w:r>
      <w:proofErr w:type="spellStart"/>
      <w:r w:rsidRPr="007635EA">
        <w:rPr>
          <w:rFonts w:ascii="Times New Roman" w:hAnsi="Times New Roman" w:cs="Times New Roman"/>
        </w:rPr>
        <w:t>Okpokiri</w:t>
      </w:r>
      <w:proofErr w:type="spellEnd"/>
      <w:r w:rsidRPr="007635EA">
        <w:rPr>
          <w:rFonts w:ascii="Times New Roman" w:hAnsi="Times New Roman" w:cs="Times New Roman"/>
        </w:rPr>
        <w:t>, C., Taylor, J. and Garstang, J. (2023). Re-envisaging professional curiosity and challenge: Messages for child protection practice from reviews of serious cases in England. </w:t>
      </w:r>
      <w:r w:rsidRPr="007635EA">
        <w:rPr>
          <w:rFonts w:ascii="Times New Roman" w:hAnsi="Times New Roman" w:cs="Times New Roman"/>
          <w:i/>
          <w:iCs/>
        </w:rPr>
        <w:t>Children and Youth Services Review</w:t>
      </w:r>
      <w:r w:rsidRPr="007635EA">
        <w:rPr>
          <w:rFonts w:ascii="Times New Roman" w:hAnsi="Times New Roman" w:cs="Times New Roman"/>
        </w:rPr>
        <w:t xml:space="preserve">, [online] 152(152), pp.107081–107081. </w:t>
      </w:r>
      <w:proofErr w:type="spellStart"/>
      <w:r w:rsidRPr="007635EA">
        <w:rPr>
          <w:rFonts w:ascii="Times New Roman" w:hAnsi="Times New Roman" w:cs="Times New Roman"/>
        </w:rPr>
        <w:t>doi</w:t>
      </w:r>
      <w:proofErr w:type="spellEnd"/>
      <w:r w:rsidRPr="007635EA">
        <w:rPr>
          <w:rFonts w:ascii="Times New Roman" w:hAnsi="Times New Roman" w:cs="Times New Roman"/>
        </w:rPr>
        <w:t>: 10.1016/j.childyouth.2023.107081.</w:t>
      </w:r>
    </w:p>
    <w:p w14:paraId="6A200B5C" w14:textId="00148F19" w:rsidR="007D7735" w:rsidRPr="007635EA" w:rsidRDefault="007D7735" w:rsidP="003E0AD6">
      <w:pPr>
        <w:rPr>
          <w:rFonts w:ascii="Times New Roman" w:hAnsi="Times New Roman" w:cs="Times New Roman"/>
        </w:rPr>
      </w:pPr>
      <w:r w:rsidRPr="007635EA">
        <w:rPr>
          <w:rFonts w:ascii="Times New Roman" w:hAnsi="Times New Roman" w:cs="Times New Roman"/>
        </w:rPr>
        <w:t xml:space="preserve">Dixon, S., Kendall, B., Driscoll, J. and Pope, C. (2022). Supporting the ‘Multi’ in Multi-agency working: Learning with and from Each Other Could Enable </w:t>
      </w:r>
      <w:r w:rsidR="00CF5FA6" w:rsidRPr="007635EA">
        <w:rPr>
          <w:rFonts w:ascii="Times New Roman" w:hAnsi="Times New Roman" w:cs="Times New Roman"/>
        </w:rPr>
        <w:t>Multi-</w:t>
      </w:r>
      <w:proofErr w:type="gramStart"/>
      <w:r w:rsidR="00CF5FA6" w:rsidRPr="007635EA">
        <w:rPr>
          <w:rFonts w:ascii="Times New Roman" w:hAnsi="Times New Roman" w:cs="Times New Roman"/>
        </w:rPr>
        <w:t>agency</w:t>
      </w:r>
      <w:proofErr w:type="gramEnd"/>
      <w:r w:rsidRPr="007635EA">
        <w:rPr>
          <w:rFonts w:ascii="Times New Roman" w:hAnsi="Times New Roman" w:cs="Times New Roman"/>
        </w:rPr>
        <w:t xml:space="preserve"> Safeguarding. </w:t>
      </w:r>
      <w:r w:rsidRPr="007635EA">
        <w:rPr>
          <w:rFonts w:ascii="Times New Roman" w:hAnsi="Times New Roman" w:cs="Times New Roman"/>
          <w:i/>
          <w:iCs/>
        </w:rPr>
        <w:t>British Journal of General Practice</w:t>
      </w:r>
      <w:r w:rsidRPr="007635EA">
        <w:rPr>
          <w:rFonts w:ascii="Times New Roman" w:hAnsi="Times New Roman" w:cs="Times New Roman"/>
        </w:rPr>
        <w:t>, [online] 72(722), pp.438–439. doi:10.3399/bjgp22x720617.</w:t>
      </w:r>
    </w:p>
    <w:p w14:paraId="6A60AACD"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 xml:space="preserve">Firmin, C., Lefevre, M., </w:t>
      </w:r>
      <w:proofErr w:type="spellStart"/>
      <w:r w:rsidRPr="007635EA">
        <w:rPr>
          <w:rFonts w:ascii="Times New Roman" w:hAnsi="Times New Roman" w:cs="Times New Roman"/>
        </w:rPr>
        <w:t>Huegler</w:t>
      </w:r>
      <w:proofErr w:type="spellEnd"/>
      <w:r w:rsidRPr="007635EA">
        <w:rPr>
          <w:rFonts w:ascii="Times New Roman" w:hAnsi="Times New Roman" w:cs="Times New Roman"/>
        </w:rPr>
        <w:t>, N., &amp; Peace, D. (2022). Safeguarding Young People Beyond the Family Home: Responding to extra-familial risks and harms. In </w:t>
      </w:r>
      <w:r w:rsidRPr="007635EA">
        <w:rPr>
          <w:rFonts w:ascii="Times New Roman" w:hAnsi="Times New Roman" w:cs="Times New Roman"/>
          <w:i/>
          <w:iCs/>
        </w:rPr>
        <w:t>Safeguarding Young People beyond the Family Home</w:t>
      </w:r>
      <w:r w:rsidRPr="007635EA">
        <w:rPr>
          <w:rFonts w:ascii="Times New Roman" w:hAnsi="Times New Roman" w:cs="Times New Roman"/>
        </w:rPr>
        <w:t>. Policy Press.</w:t>
      </w:r>
    </w:p>
    <w:p w14:paraId="19856745"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lastRenderedPageBreak/>
        <w:t>GOV.UK (2022). </w:t>
      </w:r>
      <w:r w:rsidRPr="007635EA">
        <w:rPr>
          <w:rFonts w:ascii="Times New Roman" w:hAnsi="Times New Roman" w:cs="Times New Roman"/>
          <w:i/>
          <w:iCs/>
        </w:rPr>
        <w:t>Supporting Families: Early Help System guide</w:t>
      </w:r>
      <w:r w:rsidRPr="007635EA">
        <w:rPr>
          <w:rFonts w:ascii="Times New Roman" w:hAnsi="Times New Roman" w:cs="Times New Roman"/>
        </w:rPr>
        <w:t xml:space="preserve">. [online] GOV.UK. Available at: </w:t>
      </w:r>
      <w:hyperlink r:id="rId9" w:history="1">
        <w:r w:rsidRPr="007635EA">
          <w:rPr>
            <w:rStyle w:val="Hyperlink"/>
            <w:rFonts w:ascii="Times New Roman" w:hAnsi="Times New Roman" w:cs="Times New Roman"/>
          </w:rPr>
          <w:t>https://www.gov.uk/government/publications/supporting-families-early-help-system-guide</w:t>
        </w:r>
      </w:hyperlink>
      <w:r w:rsidRPr="007635EA">
        <w:rPr>
          <w:rFonts w:ascii="Times New Roman" w:hAnsi="Times New Roman" w:cs="Times New Roman"/>
        </w:rPr>
        <w:t>.</w:t>
      </w:r>
    </w:p>
    <w:p w14:paraId="2DD79204"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Leeds City Council (2025). </w:t>
      </w:r>
      <w:r w:rsidRPr="007635EA">
        <w:rPr>
          <w:rFonts w:ascii="Times New Roman" w:hAnsi="Times New Roman" w:cs="Times New Roman"/>
          <w:i/>
          <w:iCs/>
        </w:rPr>
        <w:t>Early Help and Family Information Services | Web Estate</w:t>
      </w:r>
      <w:r w:rsidRPr="007635EA">
        <w:rPr>
          <w:rFonts w:ascii="Times New Roman" w:hAnsi="Times New Roman" w:cs="Times New Roman"/>
        </w:rPr>
        <w:t xml:space="preserve">. [online] Leeds.gov.uk. Available at: </w:t>
      </w:r>
      <w:hyperlink r:id="rId10" w:history="1">
        <w:r w:rsidRPr="007635EA">
          <w:rPr>
            <w:rStyle w:val="Hyperlink"/>
            <w:rFonts w:ascii="Times New Roman" w:hAnsi="Times New Roman" w:cs="Times New Roman"/>
          </w:rPr>
          <w:t>https://webestate.leeds.gov.uk/news/2025/early-help-and-family-information-services</w:t>
        </w:r>
      </w:hyperlink>
      <w:r w:rsidRPr="007635EA">
        <w:rPr>
          <w:rFonts w:ascii="Times New Roman" w:hAnsi="Times New Roman" w:cs="Times New Roman"/>
        </w:rPr>
        <w:t>.</w:t>
      </w:r>
    </w:p>
    <w:p w14:paraId="42097606"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Norfolk County Council (2025). </w:t>
      </w:r>
      <w:r w:rsidRPr="007635EA">
        <w:rPr>
          <w:rFonts w:ascii="Times New Roman" w:hAnsi="Times New Roman" w:cs="Times New Roman"/>
          <w:i/>
          <w:iCs/>
        </w:rPr>
        <w:t>Prevention and early help strategy - Norfolk County Council</w:t>
      </w:r>
      <w:r w:rsidRPr="007635EA">
        <w:rPr>
          <w:rFonts w:ascii="Times New Roman" w:hAnsi="Times New Roman" w:cs="Times New Roman"/>
        </w:rPr>
        <w:t xml:space="preserve">. [online] Norfolk County Council. Available at: </w:t>
      </w:r>
      <w:hyperlink r:id="rId11" w:history="1">
        <w:r w:rsidRPr="007635EA">
          <w:rPr>
            <w:rStyle w:val="Hyperlink"/>
            <w:rFonts w:ascii="Times New Roman" w:hAnsi="Times New Roman" w:cs="Times New Roman"/>
          </w:rPr>
          <w:t>https://www.norfolk.gov.uk/article/73743/Prevention-and-early-help-strategy</w:t>
        </w:r>
      </w:hyperlink>
      <w:r w:rsidRPr="007635EA">
        <w:rPr>
          <w:rFonts w:ascii="Times New Roman" w:hAnsi="Times New Roman" w:cs="Times New Roman"/>
        </w:rPr>
        <w:t>.</w:t>
      </w:r>
    </w:p>
    <w:p w14:paraId="0001A477"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NSPCC (2025). </w:t>
      </w:r>
      <w:r w:rsidRPr="007635EA">
        <w:rPr>
          <w:rFonts w:ascii="Times New Roman" w:hAnsi="Times New Roman" w:cs="Times New Roman"/>
          <w:i/>
          <w:iCs/>
        </w:rPr>
        <w:t>Effective multi-agency working and information sharing: Evidence snapshot | NSPCC Learning</w:t>
      </w:r>
      <w:r w:rsidRPr="007635EA">
        <w:rPr>
          <w:rFonts w:ascii="Times New Roman" w:hAnsi="Times New Roman" w:cs="Times New Roman"/>
        </w:rPr>
        <w:t xml:space="preserve">. [online] NSPCC Learning. Available at: </w:t>
      </w:r>
      <w:hyperlink r:id="rId12" w:history="1">
        <w:r w:rsidRPr="007635EA">
          <w:rPr>
            <w:rStyle w:val="Hyperlink"/>
            <w:rFonts w:ascii="Times New Roman" w:hAnsi="Times New Roman" w:cs="Times New Roman"/>
          </w:rPr>
          <w:t>https://learning.nspcc.org.uk/research-resources/2025/effective-multi-agency-working-information-sharing-evidence-snapshot</w:t>
        </w:r>
      </w:hyperlink>
      <w:r w:rsidRPr="007635EA">
        <w:rPr>
          <w:rFonts w:ascii="Times New Roman" w:hAnsi="Times New Roman" w:cs="Times New Roman"/>
        </w:rPr>
        <w:t>.</w:t>
      </w:r>
    </w:p>
    <w:p w14:paraId="5A0F2C5D"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Ofsted (2022). </w:t>
      </w:r>
      <w:r w:rsidRPr="007635EA">
        <w:rPr>
          <w:rFonts w:ascii="Times New Roman" w:hAnsi="Times New Roman" w:cs="Times New Roman"/>
          <w:i/>
          <w:iCs/>
        </w:rPr>
        <w:t>Early help: Concepts, policy directions and multi-agency perspectives</w:t>
      </w:r>
      <w:r w:rsidRPr="007635EA">
        <w:rPr>
          <w:rFonts w:ascii="Times New Roman" w:hAnsi="Times New Roman" w:cs="Times New Roman"/>
        </w:rPr>
        <w:t xml:space="preserve">. [online] GOV.UK. Available at: </w:t>
      </w:r>
      <w:hyperlink r:id="rId13" w:history="1">
        <w:r w:rsidRPr="007635EA">
          <w:rPr>
            <w:rStyle w:val="Hyperlink"/>
            <w:rFonts w:ascii="Times New Roman" w:hAnsi="Times New Roman" w:cs="Times New Roman"/>
          </w:rPr>
          <w:t>https://www.gov.uk/government/publications/early-help-concepts-policy-directions-and-multi-agency-perspectives</w:t>
        </w:r>
      </w:hyperlink>
      <w:r w:rsidRPr="007635EA">
        <w:rPr>
          <w:rFonts w:ascii="Times New Roman" w:hAnsi="Times New Roman" w:cs="Times New Roman"/>
        </w:rPr>
        <w:t>.</w:t>
      </w:r>
    </w:p>
    <w:p w14:paraId="1325E267"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ONS (2025). </w:t>
      </w:r>
      <w:r w:rsidRPr="007635EA">
        <w:rPr>
          <w:rFonts w:ascii="Times New Roman" w:hAnsi="Times New Roman" w:cs="Times New Roman"/>
          <w:i/>
          <w:iCs/>
        </w:rPr>
        <w:t>Families and households in the UK</w:t>
      </w:r>
      <w:r w:rsidRPr="007635EA">
        <w:rPr>
          <w:rFonts w:ascii="Times New Roman" w:hAnsi="Times New Roman" w:cs="Times New Roman"/>
        </w:rPr>
        <w:t xml:space="preserve">. [online] Ons.gov.uk. Available at: </w:t>
      </w:r>
      <w:hyperlink r:id="rId14" w:history="1">
        <w:r w:rsidRPr="007635EA">
          <w:rPr>
            <w:rStyle w:val="Hyperlink"/>
            <w:rFonts w:ascii="Times New Roman" w:hAnsi="Times New Roman" w:cs="Times New Roman"/>
          </w:rPr>
          <w:t>https://www.ons.gov.uk/peoplepopulationandcommunity/birthsdeathsandmarriages/families/bulletins/familiesandhouseholds/2024</w:t>
        </w:r>
      </w:hyperlink>
      <w:r w:rsidRPr="007635EA">
        <w:rPr>
          <w:rFonts w:ascii="Times New Roman" w:hAnsi="Times New Roman" w:cs="Times New Roman"/>
        </w:rPr>
        <w:t>.</w:t>
      </w:r>
    </w:p>
    <w:p w14:paraId="2F6B3900"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Smart, D., Jackson, K., Alderson, H., Foley, T., Foreman, S., Kaner, B., Kaner, E., Lancaster, H., Lingam, R., Rankin, J., Rowlands, G., Spencer, L. and McGovern, R. (2021). What Influences Parents and Practitioners’ Decisions to Share Personal Information within an Early Help (Social Care) Context? Implications for Practice in Sharing Digital Data across Sectors. </w:t>
      </w:r>
      <w:r w:rsidRPr="007635EA">
        <w:rPr>
          <w:rFonts w:ascii="Times New Roman" w:hAnsi="Times New Roman" w:cs="Times New Roman"/>
          <w:i/>
          <w:iCs/>
        </w:rPr>
        <w:t>The British Journal of Social Work</w:t>
      </w:r>
      <w:r w:rsidRPr="007635EA">
        <w:rPr>
          <w:rFonts w:ascii="Times New Roman" w:hAnsi="Times New Roman" w:cs="Times New Roman"/>
        </w:rPr>
        <w:t>, [online] 52(4). doi:10.1093/</w:t>
      </w:r>
      <w:proofErr w:type="spellStart"/>
      <w:r w:rsidRPr="007635EA">
        <w:rPr>
          <w:rFonts w:ascii="Times New Roman" w:hAnsi="Times New Roman" w:cs="Times New Roman"/>
        </w:rPr>
        <w:t>bjsw</w:t>
      </w:r>
      <w:proofErr w:type="spellEnd"/>
      <w:r w:rsidRPr="007635EA">
        <w:rPr>
          <w:rFonts w:ascii="Times New Roman" w:hAnsi="Times New Roman" w:cs="Times New Roman"/>
        </w:rPr>
        <w:t>/bcab167.</w:t>
      </w:r>
    </w:p>
    <w:p w14:paraId="3F767597"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t>Tower Hamlets Council (2025). </w:t>
      </w:r>
      <w:r w:rsidRPr="007635EA">
        <w:rPr>
          <w:rFonts w:ascii="Times New Roman" w:hAnsi="Times New Roman" w:cs="Times New Roman"/>
          <w:i/>
          <w:iCs/>
        </w:rPr>
        <w:t>TOWER HAMLETS EARLY HELP STRATEGY 2023-2025 “Leaving no families behind - supporting access for all.”</w:t>
      </w:r>
      <w:r w:rsidRPr="007635EA">
        <w:rPr>
          <w:rFonts w:ascii="Times New Roman" w:hAnsi="Times New Roman" w:cs="Times New Roman"/>
        </w:rPr>
        <w:t xml:space="preserve"> [online] Available at: </w:t>
      </w:r>
      <w:hyperlink r:id="rId15" w:history="1">
        <w:r w:rsidRPr="007635EA">
          <w:rPr>
            <w:rStyle w:val="Hyperlink"/>
            <w:rFonts w:ascii="Times New Roman" w:hAnsi="Times New Roman" w:cs="Times New Roman"/>
          </w:rPr>
          <w:t>https://www.towerhamlets.gov.uk/Documents/Children-and-families-services/Early_help/TH-Early-Help-Strategy.pdf</w:t>
        </w:r>
      </w:hyperlink>
      <w:r w:rsidRPr="007635EA">
        <w:rPr>
          <w:rFonts w:ascii="Times New Roman" w:hAnsi="Times New Roman" w:cs="Times New Roman"/>
        </w:rPr>
        <w:t>.</w:t>
      </w:r>
    </w:p>
    <w:p w14:paraId="3E89EB5C" w14:textId="77777777" w:rsidR="007D7735" w:rsidRPr="007635EA" w:rsidRDefault="007D7735" w:rsidP="003E0AD6">
      <w:pPr>
        <w:rPr>
          <w:rFonts w:ascii="Times New Roman" w:hAnsi="Times New Roman" w:cs="Times New Roman"/>
        </w:rPr>
      </w:pPr>
      <w:r w:rsidRPr="007635EA">
        <w:rPr>
          <w:rFonts w:ascii="Times New Roman" w:hAnsi="Times New Roman" w:cs="Times New Roman"/>
        </w:rPr>
        <w:lastRenderedPageBreak/>
        <w:t>Webb, C. (2021). In Defence of Ordinary Help: Estimating the effect of Early Help/Family Support Spending on Children in Need Rates in England using ALT-SR. </w:t>
      </w:r>
      <w:r w:rsidRPr="007635EA">
        <w:rPr>
          <w:rFonts w:ascii="Times New Roman" w:hAnsi="Times New Roman" w:cs="Times New Roman"/>
          <w:i/>
          <w:iCs/>
        </w:rPr>
        <w:t>Journal of Social Policy</w:t>
      </w:r>
      <w:r w:rsidRPr="007635EA">
        <w:rPr>
          <w:rFonts w:ascii="Times New Roman" w:hAnsi="Times New Roman" w:cs="Times New Roman"/>
        </w:rPr>
        <w:t>, pp.1–28. doi:10.1017/s0047279421000696.</w:t>
      </w:r>
    </w:p>
    <w:p w14:paraId="542350B8" w14:textId="77777777" w:rsidR="003E0AD6" w:rsidRPr="009B58E7" w:rsidRDefault="003E0AD6" w:rsidP="00EC0BB6">
      <w:pPr>
        <w:rPr>
          <w:rFonts w:ascii="Times New Roman" w:hAnsi="Times New Roman" w:cs="Times New Roman"/>
        </w:rPr>
      </w:pPr>
    </w:p>
    <w:sectPr w:rsidR="003E0AD6" w:rsidRPr="009B58E7">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CA5F0" w14:textId="77777777" w:rsidR="006D18F3" w:rsidRPr="007635EA" w:rsidRDefault="006D18F3" w:rsidP="002E22C9">
      <w:pPr>
        <w:spacing w:before="0" w:after="0" w:line="240" w:lineRule="auto"/>
      </w:pPr>
      <w:r w:rsidRPr="007635EA">
        <w:separator/>
      </w:r>
    </w:p>
  </w:endnote>
  <w:endnote w:type="continuationSeparator" w:id="0">
    <w:p w14:paraId="2B4D2FB2" w14:textId="77777777" w:rsidR="006D18F3" w:rsidRPr="007635EA" w:rsidRDefault="006D18F3" w:rsidP="002E22C9">
      <w:pPr>
        <w:spacing w:before="0" w:after="0" w:line="240" w:lineRule="auto"/>
      </w:pPr>
      <w:r w:rsidRPr="007635E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2520751"/>
      <w:docPartObj>
        <w:docPartGallery w:val="Page Numbers (Bottom of Page)"/>
        <w:docPartUnique/>
      </w:docPartObj>
    </w:sdtPr>
    <w:sdtContent>
      <w:p w14:paraId="7A5C05D6" w14:textId="298151C2" w:rsidR="002E22C9" w:rsidRPr="007635EA" w:rsidRDefault="002E22C9">
        <w:pPr>
          <w:pStyle w:val="Footer"/>
          <w:jc w:val="center"/>
        </w:pPr>
        <w:r w:rsidRPr="007635EA">
          <w:fldChar w:fldCharType="begin"/>
        </w:r>
        <w:r w:rsidRPr="007635EA">
          <w:instrText xml:space="preserve"> PAGE   \* MERGEFORMAT </w:instrText>
        </w:r>
        <w:r w:rsidRPr="007635EA">
          <w:fldChar w:fldCharType="separate"/>
        </w:r>
        <w:r w:rsidRPr="007635EA">
          <w:t>2</w:t>
        </w:r>
        <w:r w:rsidRPr="007635EA">
          <w:fldChar w:fldCharType="end"/>
        </w:r>
      </w:p>
    </w:sdtContent>
  </w:sdt>
  <w:p w14:paraId="124CA09F" w14:textId="77777777" w:rsidR="002E22C9" w:rsidRPr="007635EA" w:rsidRDefault="002E2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04A19" w14:textId="77777777" w:rsidR="006D18F3" w:rsidRPr="007635EA" w:rsidRDefault="006D18F3" w:rsidP="002E22C9">
      <w:pPr>
        <w:spacing w:before="0" w:after="0" w:line="240" w:lineRule="auto"/>
      </w:pPr>
      <w:r w:rsidRPr="007635EA">
        <w:separator/>
      </w:r>
    </w:p>
  </w:footnote>
  <w:footnote w:type="continuationSeparator" w:id="0">
    <w:p w14:paraId="6F173F13" w14:textId="77777777" w:rsidR="006D18F3" w:rsidRPr="007635EA" w:rsidRDefault="006D18F3" w:rsidP="002E22C9">
      <w:pPr>
        <w:spacing w:before="0" w:after="0" w:line="240" w:lineRule="auto"/>
      </w:pPr>
      <w:r w:rsidRPr="007635E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31F9F"/>
    <w:multiLevelType w:val="hybridMultilevel"/>
    <w:tmpl w:val="A56A8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4D5FB4"/>
    <w:multiLevelType w:val="hybridMultilevel"/>
    <w:tmpl w:val="B07AD8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7956876">
    <w:abstractNumId w:val="1"/>
  </w:num>
  <w:num w:numId="2" w16cid:durableId="1422213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BB6"/>
    <w:rsid w:val="000911A9"/>
    <w:rsid w:val="000A3D3E"/>
    <w:rsid w:val="000B5F4D"/>
    <w:rsid w:val="0010543C"/>
    <w:rsid w:val="001445B7"/>
    <w:rsid w:val="00181806"/>
    <w:rsid w:val="001F136C"/>
    <w:rsid w:val="002653F7"/>
    <w:rsid w:val="00275AED"/>
    <w:rsid w:val="002E22C9"/>
    <w:rsid w:val="00355299"/>
    <w:rsid w:val="003810AD"/>
    <w:rsid w:val="00384C77"/>
    <w:rsid w:val="003C466E"/>
    <w:rsid w:val="003E0AD6"/>
    <w:rsid w:val="003E2A21"/>
    <w:rsid w:val="004600BA"/>
    <w:rsid w:val="004610D9"/>
    <w:rsid w:val="004F3BD4"/>
    <w:rsid w:val="00502228"/>
    <w:rsid w:val="00572AFD"/>
    <w:rsid w:val="00596164"/>
    <w:rsid w:val="005B6051"/>
    <w:rsid w:val="005C43BB"/>
    <w:rsid w:val="00636597"/>
    <w:rsid w:val="006D18F3"/>
    <w:rsid w:val="00734730"/>
    <w:rsid w:val="007635EA"/>
    <w:rsid w:val="00787EE6"/>
    <w:rsid w:val="007D7735"/>
    <w:rsid w:val="00826557"/>
    <w:rsid w:val="00900639"/>
    <w:rsid w:val="00902300"/>
    <w:rsid w:val="009062C0"/>
    <w:rsid w:val="009B58E7"/>
    <w:rsid w:val="009D0B26"/>
    <w:rsid w:val="009D0EB7"/>
    <w:rsid w:val="009E6C84"/>
    <w:rsid w:val="00A17AB7"/>
    <w:rsid w:val="00A5370B"/>
    <w:rsid w:val="00AA5671"/>
    <w:rsid w:val="00AC7E29"/>
    <w:rsid w:val="00B74D3D"/>
    <w:rsid w:val="00B8320C"/>
    <w:rsid w:val="00C83FFD"/>
    <w:rsid w:val="00CA6F1C"/>
    <w:rsid w:val="00CE4DF9"/>
    <w:rsid w:val="00CF5FA6"/>
    <w:rsid w:val="00D31B0C"/>
    <w:rsid w:val="00D6025E"/>
    <w:rsid w:val="00D762DC"/>
    <w:rsid w:val="00DC464E"/>
    <w:rsid w:val="00E87A61"/>
    <w:rsid w:val="00EB34F9"/>
    <w:rsid w:val="00EC0BB6"/>
    <w:rsid w:val="00F86AE4"/>
    <w:rsid w:val="00F87C34"/>
    <w:rsid w:val="00FA0ED3"/>
    <w:rsid w:val="00FB15F0"/>
    <w:rsid w:val="00FD6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22136"/>
  <w15:chartTrackingRefBased/>
  <w15:docId w15:val="{CDABA729-6B69-4589-A8B7-DC1B68666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2DC"/>
    <w:pPr>
      <w:spacing w:before="120" w:after="240" w:line="360" w:lineRule="auto"/>
      <w:jc w:val="both"/>
    </w:pPr>
    <w:rPr>
      <w:rFonts w:ascii="Arial" w:hAnsi="Arial"/>
      <w:lang w:val="en-GB"/>
    </w:rPr>
  </w:style>
  <w:style w:type="paragraph" w:styleId="Heading1">
    <w:name w:val="heading 1"/>
    <w:basedOn w:val="Normal"/>
    <w:next w:val="Normal"/>
    <w:link w:val="Heading1Char"/>
    <w:uiPriority w:val="9"/>
    <w:qFormat/>
    <w:rsid w:val="00787EE6"/>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900639"/>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EC0BB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0BB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C0BB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C0BB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C0B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C0BB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C0BB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EE6"/>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900639"/>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EC0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BB6"/>
    <w:rPr>
      <w:rFonts w:eastAsiaTheme="majorEastAsia" w:cstheme="majorBidi"/>
      <w:color w:val="272727" w:themeColor="text1" w:themeTint="D8"/>
    </w:rPr>
  </w:style>
  <w:style w:type="paragraph" w:styleId="Title">
    <w:name w:val="Title"/>
    <w:basedOn w:val="Normal"/>
    <w:next w:val="Normal"/>
    <w:link w:val="TitleChar"/>
    <w:uiPriority w:val="10"/>
    <w:qFormat/>
    <w:rsid w:val="00EC0BB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BB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B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0BB6"/>
    <w:rPr>
      <w:rFonts w:ascii="Arial" w:hAnsi="Arial"/>
      <w:i/>
      <w:iCs/>
      <w:color w:val="404040" w:themeColor="text1" w:themeTint="BF"/>
    </w:rPr>
  </w:style>
  <w:style w:type="paragraph" w:styleId="ListParagraph">
    <w:name w:val="List Paragraph"/>
    <w:basedOn w:val="Normal"/>
    <w:uiPriority w:val="34"/>
    <w:qFormat/>
    <w:rsid w:val="00EC0BB6"/>
    <w:pPr>
      <w:ind w:left="720"/>
      <w:contextualSpacing/>
    </w:pPr>
  </w:style>
  <w:style w:type="character" w:styleId="IntenseEmphasis">
    <w:name w:val="Intense Emphasis"/>
    <w:basedOn w:val="DefaultParagraphFont"/>
    <w:uiPriority w:val="21"/>
    <w:qFormat/>
    <w:rsid w:val="00EC0BB6"/>
    <w:rPr>
      <w:i/>
      <w:iCs/>
      <w:color w:val="0F4761" w:themeColor="accent1" w:themeShade="BF"/>
    </w:rPr>
  </w:style>
  <w:style w:type="paragraph" w:styleId="IntenseQuote">
    <w:name w:val="Intense Quote"/>
    <w:basedOn w:val="Normal"/>
    <w:next w:val="Normal"/>
    <w:link w:val="IntenseQuoteChar"/>
    <w:uiPriority w:val="30"/>
    <w:qFormat/>
    <w:rsid w:val="00EC0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0BB6"/>
    <w:rPr>
      <w:rFonts w:ascii="Arial" w:hAnsi="Arial"/>
      <w:i/>
      <w:iCs/>
      <w:color w:val="0F4761" w:themeColor="accent1" w:themeShade="BF"/>
    </w:rPr>
  </w:style>
  <w:style w:type="character" w:styleId="IntenseReference">
    <w:name w:val="Intense Reference"/>
    <w:basedOn w:val="DefaultParagraphFont"/>
    <w:uiPriority w:val="32"/>
    <w:qFormat/>
    <w:rsid w:val="00EC0BB6"/>
    <w:rPr>
      <w:b/>
      <w:bCs/>
      <w:smallCaps/>
      <w:color w:val="0F4761" w:themeColor="accent1" w:themeShade="BF"/>
      <w:spacing w:val="5"/>
    </w:rPr>
  </w:style>
  <w:style w:type="character" w:styleId="Hyperlink">
    <w:name w:val="Hyperlink"/>
    <w:basedOn w:val="DefaultParagraphFont"/>
    <w:uiPriority w:val="99"/>
    <w:unhideWhenUsed/>
    <w:rsid w:val="00EC0BB6"/>
    <w:rPr>
      <w:color w:val="467886" w:themeColor="hyperlink"/>
      <w:u w:val="single"/>
    </w:rPr>
  </w:style>
  <w:style w:type="character" w:styleId="UnresolvedMention">
    <w:name w:val="Unresolved Mention"/>
    <w:basedOn w:val="DefaultParagraphFont"/>
    <w:uiPriority w:val="99"/>
    <w:semiHidden/>
    <w:unhideWhenUsed/>
    <w:rsid w:val="00EC0BB6"/>
    <w:rPr>
      <w:color w:val="605E5C"/>
      <w:shd w:val="clear" w:color="auto" w:fill="E1DFDD"/>
    </w:rPr>
  </w:style>
  <w:style w:type="paragraph" w:styleId="Header">
    <w:name w:val="header"/>
    <w:basedOn w:val="Normal"/>
    <w:link w:val="HeaderChar"/>
    <w:uiPriority w:val="99"/>
    <w:unhideWhenUsed/>
    <w:rsid w:val="002E22C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E22C9"/>
    <w:rPr>
      <w:rFonts w:ascii="Arial" w:hAnsi="Arial"/>
    </w:rPr>
  </w:style>
  <w:style w:type="paragraph" w:styleId="Footer">
    <w:name w:val="footer"/>
    <w:basedOn w:val="Normal"/>
    <w:link w:val="FooterChar"/>
    <w:uiPriority w:val="99"/>
    <w:unhideWhenUsed/>
    <w:rsid w:val="002E22C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E22C9"/>
    <w:rPr>
      <w:rFonts w:ascii="Arial" w:hAnsi="Arial"/>
    </w:rPr>
  </w:style>
  <w:style w:type="paragraph" w:styleId="TOCHeading">
    <w:name w:val="TOC Heading"/>
    <w:basedOn w:val="Heading1"/>
    <w:next w:val="Normal"/>
    <w:uiPriority w:val="39"/>
    <w:unhideWhenUsed/>
    <w:qFormat/>
    <w:rsid w:val="002E22C9"/>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2E22C9"/>
    <w:pPr>
      <w:spacing w:after="100"/>
    </w:pPr>
  </w:style>
  <w:style w:type="paragraph" w:styleId="TOC2">
    <w:name w:val="toc 2"/>
    <w:basedOn w:val="Normal"/>
    <w:next w:val="Normal"/>
    <w:autoRedefine/>
    <w:uiPriority w:val="39"/>
    <w:unhideWhenUsed/>
    <w:rsid w:val="002E22C9"/>
    <w:pPr>
      <w:spacing w:after="100"/>
      <w:ind w:left="240"/>
    </w:pPr>
  </w:style>
  <w:style w:type="table" w:styleId="PlainTable1">
    <w:name w:val="Plain Table 1"/>
    <w:basedOn w:val="TableNormal"/>
    <w:uiPriority w:val="41"/>
    <w:rsid w:val="007D773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13" Type="http://schemas.openxmlformats.org/officeDocument/2006/relationships/hyperlink" Target="https://www.gov.uk/government/publications/early-help-concepts-policy-directions-and-multi-agency-perspectiv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arning.nspcc.org.uk/research-resources/2025/effective-multi-agency-working-information-sharing-evidence-snapsho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rfolk.gov.uk/article/73743/Prevention-and-early-help-strategy" TargetMode="External"/><Relationship Id="rId5" Type="http://schemas.openxmlformats.org/officeDocument/2006/relationships/webSettings" Target="webSettings.xml"/><Relationship Id="rId15" Type="http://schemas.openxmlformats.org/officeDocument/2006/relationships/hyperlink" Target="https://www.towerhamlets.gov.uk/Documents/Children-and-families-services/Early_help/TH-Early-Help-Strategy.pdf" TargetMode="External"/><Relationship Id="rId10" Type="http://schemas.openxmlformats.org/officeDocument/2006/relationships/hyperlink" Target="https://webestate.leeds.gov.uk/news/2025/early-help-and-family-information-services" TargetMode="External"/><Relationship Id="rId4" Type="http://schemas.openxmlformats.org/officeDocument/2006/relationships/settings" Target="settings.xml"/><Relationship Id="rId9" Type="http://schemas.openxmlformats.org/officeDocument/2006/relationships/hyperlink" Target="https://www.gov.uk/government/publications/supporting-families-early-help-system-guide" TargetMode="External"/><Relationship Id="rId14" Type="http://schemas.openxmlformats.org/officeDocument/2006/relationships/hyperlink" Target="https://www.ons.gov.uk/peoplepopulationandcommunity/birthsdeathsandmarriages/families/bulletins/familiesandhouseholds/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160F5-F6F9-4C7E-B5D5-1E7FA6335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20273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 felix ilboudo</dc:creator>
  <cp:keywords/>
  <dc:description/>
  <cp:lastModifiedBy>laurent felix ilboudo</cp:lastModifiedBy>
  <cp:revision>4</cp:revision>
  <dcterms:created xsi:type="dcterms:W3CDTF">2026-07-14T10:23:00Z</dcterms:created>
  <dcterms:modified xsi:type="dcterms:W3CDTF">2026-07-14T10:25:00Z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e4359d2a-fa79-486d-aa4c-4fec42c1456f</vt:lpwstr>
  </property>
  <property fmtid="{D5CDD505-2E9C-101B-9397-08002B2CF9AE}" pid="3" name="MSIP_Label_defa4170-0d19-0005-0004-bc88714345d2_Enabled">
    <vt:lpwstr>true</vt:lpwstr>
  </property>
  <property fmtid="{D5CDD505-2E9C-101B-9397-08002B2CF9AE}" pid="4" name="MSIP_Label_defa4170-0d19-0005-0004-bc88714345d2_SetDate">
    <vt:lpwstr>2026-07-06T15:04:10Z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e502b66f-6c22-4049-83a0-4ac0b221fe69</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