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A87C4B" wp14:paraId="57589FA5" wp14:textId="0713E6F9">
      <w:pPr>
        <w:spacing w:before="0" w:beforeAutospacing="off" w:after="0" w:afterAutospacing="off"/>
        <w:jc w:val="center"/>
        <w:rPr>
          <w:rFonts w:ascii="Times New Roman" w:hAnsi="Times New Roman" w:eastAsia="Times New Roman" w:cs="Times New Roman"/>
          <w:noProof w:val="0"/>
          <w:sz w:val="24"/>
          <w:szCs w:val="24"/>
          <w:lang w:val="en-US"/>
        </w:rPr>
      </w:pPr>
    </w:p>
    <w:p xmlns:wp14="http://schemas.microsoft.com/office/word/2010/wordml" w:rsidP="18A87C4B" wp14:paraId="70DBB402" wp14:textId="0D2DBF6C">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0677323A" wp14:textId="3F1EC06A">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6121B9D4" wp14:textId="33FCABD8">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690E9361" wp14:textId="7FC7C648">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3C517F39" wp14:textId="7354ECC3">
      <w:pPr>
        <w:spacing w:before="0" w:beforeAutospacing="off" w:after="0" w:afterAutospacing="off"/>
        <w:jc w:val="center"/>
      </w:pPr>
      <w:r w:rsidRPr="18A87C4B" w:rsidR="719CB005">
        <w:rPr>
          <w:rFonts w:ascii="Arial" w:hAnsi="Arial" w:eastAsia="Arial" w:cs="Arial"/>
          <w:noProof w:val="0"/>
          <w:sz w:val="24"/>
          <w:szCs w:val="24"/>
          <w:lang w:val="en-US"/>
        </w:rPr>
        <w:t xml:space="preserve"> </w:t>
      </w:r>
    </w:p>
    <w:p xmlns:wp14="http://schemas.microsoft.com/office/word/2010/wordml" w:rsidP="18A87C4B" wp14:paraId="105EF168" wp14:textId="0ACE0537">
      <w:pPr>
        <w:spacing w:before="0" w:beforeAutospacing="off" w:after="0" w:afterAutospacing="off"/>
        <w:jc w:val="center"/>
      </w:pPr>
      <w:r w:rsidRPr="18A87C4B" w:rsidR="719CB005">
        <w:rPr>
          <w:rFonts w:ascii="Arial" w:hAnsi="Arial" w:eastAsia="Arial" w:cs="Arial"/>
          <w:noProof w:val="0"/>
          <w:sz w:val="24"/>
          <w:szCs w:val="24"/>
          <w:lang w:val="en-US"/>
        </w:rPr>
        <w:t xml:space="preserve"> </w:t>
      </w:r>
    </w:p>
    <w:p xmlns:wp14="http://schemas.microsoft.com/office/word/2010/wordml" w:rsidP="18A87C4B" wp14:paraId="1FD94C6F" wp14:textId="1BB32233">
      <w:pPr>
        <w:spacing w:before="0" w:beforeAutospacing="off" w:after="0" w:afterAutospacing="off"/>
        <w:jc w:val="center"/>
      </w:pPr>
      <w:r w:rsidRPr="18A87C4B" w:rsidR="719CB005">
        <w:rPr>
          <w:rFonts w:ascii="Arial" w:hAnsi="Arial" w:eastAsia="Arial" w:cs="Arial"/>
          <w:noProof w:val="0"/>
          <w:sz w:val="24"/>
          <w:szCs w:val="24"/>
          <w:lang w:val="en-US"/>
        </w:rPr>
        <w:t xml:space="preserve"> </w:t>
      </w:r>
    </w:p>
    <w:p xmlns:wp14="http://schemas.microsoft.com/office/word/2010/wordml" w:rsidP="18A87C4B" wp14:paraId="227BE75F" wp14:textId="29742271">
      <w:pPr>
        <w:spacing w:before="0" w:beforeAutospacing="off" w:after="0" w:afterAutospacing="off"/>
        <w:jc w:val="center"/>
      </w:pPr>
      <w:r w:rsidRPr="18A87C4B" w:rsidR="719CB005">
        <w:rPr>
          <w:rFonts w:ascii="Arial" w:hAnsi="Arial" w:eastAsia="Arial" w:cs="Arial"/>
          <w:noProof w:val="0"/>
          <w:sz w:val="24"/>
          <w:szCs w:val="24"/>
          <w:lang w:val="en-US"/>
        </w:rPr>
        <w:t xml:space="preserve"> </w:t>
      </w:r>
    </w:p>
    <w:p xmlns:wp14="http://schemas.microsoft.com/office/word/2010/wordml" w:rsidP="18A87C4B" wp14:paraId="60D8662F" wp14:textId="6CA06DD8">
      <w:pPr>
        <w:spacing w:before="0" w:beforeAutospacing="off" w:after="0" w:afterAutospacing="off"/>
        <w:jc w:val="center"/>
      </w:pPr>
      <w:r w:rsidRPr="18A87C4B" w:rsidR="719CB005">
        <w:rPr>
          <w:rFonts w:ascii="Arial" w:hAnsi="Arial" w:eastAsia="Arial" w:cs="Arial"/>
          <w:noProof w:val="0"/>
          <w:sz w:val="24"/>
          <w:szCs w:val="24"/>
          <w:lang w:val="en-US"/>
        </w:rPr>
        <w:t xml:space="preserve">Employability Skills </w:t>
      </w:r>
    </w:p>
    <w:p xmlns:wp14="http://schemas.microsoft.com/office/word/2010/wordml" w:rsidP="18A87C4B" wp14:paraId="0721507B" wp14:textId="4AC96204">
      <w:pPr>
        <w:spacing w:before="0" w:beforeAutospacing="off" w:after="0" w:afterAutospacing="off"/>
        <w:jc w:val="center"/>
      </w:pPr>
      <w:r w:rsidRPr="18A87C4B" w:rsidR="719CB005">
        <w:rPr>
          <w:rFonts w:ascii="Arial" w:hAnsi="Arial" w:eastAsia="Arial" w:cs="Arial"/>
          <w:noProof w:val="0"/>
          <w:sz w:val="24"/>
          <w:szCs w:val="24"/>
          <w:lang w:val="en-US"/>
        </w:rPr>
        <w:t xml:space="preserve">Modul: Academic Skills of The Digital Era </w:t>
      </w:r>
    </w:p>
    <w:p xmlns:wp14="http://schemas.microsoft.com/office/word/2010/wordml" w:rsidP="18A87C4B" wp14:paraId="0D768A0A" wp14:textId="204F05B6">
      <w:pPr>
        <w:spacing w:before="0" w:beforeAutospacing="off" w:after="0" w:afterAutospacing="off"/>
        <w:jc w:val="center"/>
      </w:pPr>
      <w:r w:rsidRPr="18A87C4B" w:rsidR="719CB005">
        <w:rPr>
          <w:rFonts w:ascii="Arial" w:hAnsi="Arial" w:eastAsia="Arial" w:cs="Arial"/>
          <w:noProof w:val="0"/>
          <w:sz w:val="24"/>
          <w:szCs w:val="24"/>
          <w:lang w:val="en-US"/>
        </w:rPr>
        <w:t xml:space="preserve">Module Code: BMSW4013 </w:t>
      </w:r>
    </w:p>
    <w:p xmlns:wp14="http://schemas.microsoft.com/office/word/2010/wordml" w:rsidP="18A87C4B" wp14:paraId="6E9A4922" wp14:textId="09CF77BE">
      <w:pPr>
        <w:spacing w:before="0" w:beforeAutospacing="off" w:after="0" w:afterAutospacing="off"/>
        <w:jc w:val="center"/>
      </w:pPr>
      <w:r w:rsidRPr="18A87C4B" w:rsidR="719CB005">
        <w:rPr>
          <w:rFonts w:ascii="Arial" w:hAnsi="Arial" w:eastAsia="Arial" w:cs="Arial"/>
          <w:noProof w:val="0"/>
          <w:sz w:val="24"/>
          <w:szCs w:val="24"/>
          <w:lang w:val="en-US"/>
        </w:rPr>
        <w:t xml:space="preserve">Lecturer: Tristan Hawkins </w:t>
      </w:r>
    </w:p>
    <w:p xmlns:wp14="http://schemas.microsoft.com/office/word/2010/wordml" w:rsidP="18A87C4B" wp14:paraId="263D290C" wp14:textId="7BA7F70A">
      <w:pPr>
        <w:spacing w:before="0" w:beforeAutospacing="off" w:after="0" w:afterAutospacing="off"/>
        <w:jc w:val="center"/>
      </w:pPr>
      <w:r w:rsidRPr="18A87C4B" w:rsidR="719CB005">
        <w:rPr>
          <w:rFonts w:ascii="Arial" w:hAnsi="Arial" w:eastAsia="Arial" w:cs="Arial"/>
          <w:noProof w:val="0"/>
          <w:sz w:val="24"/>
          <w:szCs w:val="24"/>
          <w:lang w:val="en-US"/>
        </w:rPr>
        <w:t xml:space="preserve">Student: Syed Muktadirul Hussain </w:t>
      </w:r>
    </w:p>
    <w:p xmlns:wp14="http://schemas.microsoft.com/office/word/2010/wordml" w:rsidP="18A87C4B" wp14:paraId="64B2A279" wp14:textId="359294A9">
      <w:pPr>
        <w:spacing w:before="0" w:beforeAutospacing="off" w:after="0" w:afterAutospacing="off"/>
        <w:jc w:val="center"/>
      </w:pPr>
      <w:r w:rsidRPr="18A87C4B" w:rsidR="719CB005">
        <w:rPr>
          <w:rFonts w:ascii="Arial" w:hAnsi="Arial" w:eastAsia="Arial" w:cs="Arial"/>
          <w:noProof w:val="0"/>
          <w:sz w:val="24"/>
          <w:szCs w:val="24"/>
          <w:lang w:val="en-US"/>
        </w:rPr>
        <w:t xml:space="preserve">Student ID: 2408771 </w:t>
      </w:r>
    </w:p>
    <w:p xmlns:wp14="http://schemas.microsoft.com/office/word/2010/wordml" w:rsidP="18A87C4B" wp14:paraId="1313789E" wp14:textId="6A703834">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7BCB1868" wp14:textId="42DACDC4">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151E4A0F" wp14:textId="72C104A4">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16B10EC3" wp14:textId="0DFF81E3">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01A04AC6" wp14:textId="3DF854D2">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51876AC7" wp14:textId="2639980B">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5017B1B6" wp14:textId="5B88EC7E">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0E71FDA4" wp14:textId="02C49DE2">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1C312242" wp14:textId="11F2A8F5">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18168D1F" wp14:textId="1218E8D7">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5EA47ACF" wp14:textId="27F8ECFE">
      <w:pPr>
        <w:spacing w:before="0" w:beforeAutospacing="off" w:after="0" w:afterAutospacing="off"/>
        <w:jc w:val="center"/>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0BA2962F" wp14:textId="59A2247C">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3D358ECA" wp14:textId="57E43944">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4F6BC119" wp14:textId="773EFE56">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5B0917B7" wp14:textId="323CAD37">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001703F2" wp14:textId="7236E227">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3A5B528A" wp14:textId="17C2E730">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3C2FFA1C" wp14:textId="49FE6F98">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1E7C187F" wp14:textId="16783A44">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6E37DCD4" wp14:textId="77CBA4B1">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53DD8ED9" wp14:textId="2974ED83">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0450CC78" wp14:textId="31F723DB">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52A1D251" wp14:textId="514AA284">
      <w:pPr>
        <w:spacing w:before="0" w:beforeAutospacing="off" w:after="0" w:afterAutospacing="off" w:line="360" w:lineRule="auto"/>
        <w:jc w:val="both"/>
      </w:pPr>
      <w:r w:rsidRPr="18A87C4B" w:rsidR="719CB005">
        <w:rPr>
          <w:rFonts w:ascii="Arial" w:hAnsi="Arial" w:eastAsia="Arial" w:cs="Arial"/>
          <w:noProof w:val="0"/>
          <w:sz w:val="24"/>
          <w:szCs w:val="24"/>
          <w:lang w:val="en-US"/>
        </w:rPr>
        <w:t>Introduction:</w:t>
      </w:r>
      <w:r w:rsidRPr="18A87C4B" w:rsidR="719CB005">
        <w:rPr>
          <w:rFonts w:ascii="Arial" w:hAnsi="Arial" w:eastAsia="Arial" w:cs="Arial"/>
          <w:noProof w:val="0"/>
          <w:color w:val="000000" w:themeColor="text1" w:themeTint="FF" w:themeShade="FF"/>
          <w:sz w:val="24"/>
          <w:szCs w:val="24"/>
          <w:lang w:val="en-US"/>
        </w:rPr>
        <w:t xml:space="preserve"> This study examines the practice experiences of an early career adult focused statutory social worker in England (Daniels, 2025) using a reflective analysis approach based on the Gibbs 1988 reflective cycle. The Gibbs reflection cycle, which was created by Graham Gibbs in 1988, is a structured approach intended to support reflective practice in learning and professional career development. It consists of six stages: Emotions, Assessments, analysis, conclusions, and a plan of action are described. There is always a challenge, excitement, and nervousness when we begin a new course or a job. Many changes are occurring (Basset, 2024). We learnt a lot of new materials at the start of our first term and class. There were numerous plans for motivational demonstrations, etc. To get deeper insights and better future practices, the cyclical model encourages people to reflect carefully on their feelings and experiences.</w:t>
      </w:r>
    </w:p>
    <w:p xmlns:wp14="http://schemas.microsoft.com/office/word/2010/wordml" w:rsidP="18A87C4B" wp14:paraId="6415C6A4" wp14:textId="798A5097">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2CB7948C" wp14:textId="5E1EABEB">
      <w:pPr>
        <w:spacing w:before="0" w:beforeAutospacing="off" w:after="0" w:afterAutospacing="off" w:line="360" w:lineRule="auto"/>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73528EE8" wp14:textId="700191A4">
      <w:pPr>
        <w:spacing w:before="0" w:beforeAutospacing="off" w:after="0" w:afterAutospacing="off" w:line="360" w:lineRule="auto"/>
        <w:jc w:val="both"/>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7C834ED0" wp14:textId="26484F30">
      <w:pPr>
        <w:spacing w:before="0" w:beforeAutospacing="off" w:after="0" w:afterAutospacing="off" w:line="360" w:lineRule="auto"/>
        <w:jc w:val="both"/>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302EEE76" wp14:textId="7D7EF5CB">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Description: In my first term I was engaged with literature, also I learnt how to use and how to utilise library online, learnt how to demonstrate my module, been taught how to understand credible sources on the internet. I learnt how to use AI in Academia. Not only use it, learnt how to use it proper way. What is good and bad on AI. How to use AI on modern era. Example I learnt AI using is so fast in every sector like in medicine, engineering, transport, presenting news, farms, hospitality sector. In fact, every single sector AI using widely. The AI growth is visual in all different departments around the world (Ezezika and Johnston , 2023). This emphasizes the importance of providing a very clear and concise account of what happened, which includes relevant details and context of the courses. By describing the experience in more detail, the reflective practitioners lay the groundwork for deeper analysis in the subsequent stages.</w:t>
      </w:r>
      <w:r w:rsidRPr="18A87C4B" w:rsidR="719CB005">
        <w:rPr>
          <w:rFonts w:ascii="Arial" w:hAnsi="Arial" w:eastAsia="Arial" w:cs="Arial"/>
          <w:noProof w:val="0"/>
          <w:color w:val="333333"/>
          <w:sz w:val="24"/>
          <w:szCs w:val="24"/>
          <w:lang w:val="en-US"/>
        </w:rPr>
        <w:t xml:space="preserve"> The main aim of this study is to test whether the feedback from the lecturer and tutor on an initial reflective journal entry fosters reflection quality in a subsequent journal entry and reflection skills in student teachers (</w:t>
      </w:r>
      <w:r w:rsidRPr="18A87C4B" w:rsidR="719CB005">
        <w:rPr>
          <w:rFonts w:ascii="Arial" w:hAnsi="Arial" w:eastAsia="Arial" w:cs="Arial"/>
          <w:noProof w:val="0"/>
          <w:color w:val="222222"/>
          <w:sz w:val="24"/>
          <w:szCs w:val="24"/>
          <w:lang w:val="en-US"/>
        </w:rPr>
        <w:t>Pieper et al, 2021).</w:t>
      </w:r>
      <w:r w:rsidRPr="18A87C4B" w:rsidR="719CB005">
        <w:rPr>
          <w:rFonts w:ascii="Arial" w:hAnsi="Arial" w:eastAsia="Arial" w:cs="Arial"/>
          <w:noProof w:val="0"/>
          <w:color w:val="1B1B1B"/>
          <w:sz w:val="24"/>
          <w:szCs w:val="24"/>
          <w:lang w:val="en-US"/>
        </w:rPr>
        <w:t xml:space="preserve"> It surrounds the knowledge, skills, and critical thinking abilities which is needed to analyse and report to the healthcare challenges</w:t>
      </w:r>
      <w:r w:rsidRPr="18A87C4B" w:rsidR="719CB005">
        <w:rPr>
          <w:rFonts w:ascii="Arial" w:hAnsi="Arial" w:eastAsia="Arial" w:cs="Arial"/>
          <w:noProof w:val="0"/>
          <w:color w:val="222222"/>
          <w:sz w:val="24"/>
          <w:szCs w:val="24"/>
          <w:lang w:val="en-US"/>
        </w:rPr>
        <w:t xml:space="preserve"> (Amir et al, 2023). When reflecting on the use of AI, one might describe specific experiences, such as utilizing AI tools for data analysis, customer service. This would include describing the context in which AI was used in, the tools used, and the tasks or projects it influenced. Evaluating the practical advantages and disadvantages of Al is part of the evaluation step. They could entail comparing problems like bias in algorithms or the loss of the human touch in service with how AI enhanced productivity, decision-making, or customer engagement.</w:t>
      </w:r>
    </w:p>
    <w:p xmlns:wp14="http://schemas.microsoft.com/office/word/2010/wordml" w:rsidP="18A87C4B" wp14:paraId="136C182E" wp14:textId="6C4E9099">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6919D0BD" wp14:textId="47BC8D77">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 xml:space="preserve">Feelings: It was critical because emotions always influenced the learning and decision-making processes in daily sector of life. Based on the feelings that allows individuals to acknowledge their reactions—positive, negative, or mixed—and consider how those emotions impact their learning. For example, a teacher reflecting on a challenging classroom situation may recognize feelings of anxiety or frustration, which can illuminate areas for professional growth. When I first started my course it was very mixed feelings, always was anxious what will happen, how I will continue this course, but my teacher was great, He taught us very tremendously, wisely and in simple way so that we all can understand. I really enjoyed my journey throughout this term. </w:t>
      </w:r>
      <w:r w:rsidRPr="18A87C4B" w:rsidR="719CB005">
        <w:rPr>
          <w:rFonts w:ascii="Arial" w:hAnsi="Arial" w:eastAsia="Arial" w:cs="Arial"/>
          <w:noProof w:val="0"/>
          <w:sz w:val="24"/>
          <w:szCs w:val="24"/>
          <w:lang w:val="en-US"/>
        </w:rPr>
        <w:t>It is one of the major determinants of teaching success as it helps the teachers to collect, record, and analyse everything that happened in their teaching processes</w:t>
      </w:r>
      <w:r w:rsidRPr="18A87C4B" w:rsidR="719CB005">
        <w:rPr>
          <w:rFonts w:ascii="Arial" w:hAnsi="Arial" w:eastAsia="Arial" w:cs="Arial"/>
          <w:noProof w:val="0"/>
          <w:color w:val="222222"/>
          <w:sz w:val="24"/>
          <w:szCs w:val="24"/>
          <w:lang w:val="en-US"/>
        </w:rPr>
        <w:t xml:space="preserve"> (Hashim et al, 2023).</w:t>
      </w:r>
      <w:r w:rsidRPr="18A87C4B" w:rsidR="719CB005">
        <w:rPr>
          <w:rFonts w:ascii="Arial" w:hAnsi="Arial" w:eastAsia="Arial" w:cs="Arial"/>
          <w:noProof w:val="0"/>
          <w:color w:val="1B1B1B"/>
          <w:sz w:val="24"/>
          <w:szCs w:val="24"/>
          <w:lang w:val="en-US"/>
        </w:rPr>
        <w:t xml:space="preserve">  At this time, I had a mixture of anxiety and responsibility. I was uncertain about whether I should intervene, as I was still in training and feared overstepping my boundaries. However, I also felt a strong sense of duty to ensure patient safety. After speaking up, I experienced relief and confidence, knowing that my actions had prevented a potential mistake.</w:t>
      </w:r>
    </w:p>
    <w:p xmlns:wp14="http://schemas.microsoft.com/office/word/2010/wordml" w:rsidP="18A87C4B" wp14:paraId="15EED6A0" wp14:textId="41603B11">
      <w:pPr>
        <w:spacing w:before="0" w:beforeAutospacing="off" w:after="160" w:afterAutospacing="off" w:line="360" w:lineRule="auto"/>
        <w:jc w:val="both"/>
      </w:pPr>
      <w:r w:rsidRPr="18A87C4B" w:rsidR="719CB005">
        <w:rPr>
          <w:rFonts w:ascii="Times New Roman" w:hAnsi="Times New Roman" w:eastAsia="Times New Roman" w:cs="Times New Roman"/>
          <w:noProof w:val="0"/>
          <w:sz w:val="24"/>
          <w:szCs w:val="24"/>
          <w:lang w:val="en-US"/>
        </w:rPr>
        <w:t xml:space="preserve"> </w:t>
      </w:r>
    </w:p>
    <w:p xmlns:wp14="http://schemas.microsoft.com/office/word/2010/wordml" w:rsidP="18A87C4B" wp14:paraId="31591DFF" wp14:textId="1EAD1CB8">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Evaluation:</w:t>
      </w:r>
      <w:r w:rsidRPr="18A87C4B" w:rsidR="719CB005">
        <w:rPr>
          <w:rFonts w:ascii="Arial" w:hAnsi="Arial" w:eastAsia="Arial" w:cs="Arial"/>
          <w:noProof w:val="0"/>
          <w:sz w:val="24"/>
          <w:szCs w:val="24"/>
          <w:lang w:val="en-US"/>
        </w:rPr>
        <w:t xml:space="preserve"> </w:t>
      </w:r>
      <w:r w:rsidRPr="18A87C4B" w:rsidR="719CB005">
        <w:rPr>
          <w:rFonts w:ascii="Arial" w:hAnsi="Arial" w:eastAsia="Arial" w:cs="Arial"/>
          <w:noProof w:val="0"/>
          <w:color w:val="222222"/>
          <w:sz w:val="24"/>
          <w:szCs w:val="24"/>
          <w:lang w:val="en-US"/>
        </w:rPr>
        <w:t xml:space="preserve">The Evaluation stage involves assessing the experience to identify what went well and what could have been improvised. In this stage, individuals critically analyse the positive and weaknesses of their actions and decisions, considering the outcomes of the experience. This reflection not only facilitates a good understanding of the events that unfolded but also helps individuals recognize the factors that contributed to both successes and failures. For example, a project manager might reflect on a completed project, identifying effective communication strategies while recognizing missed deadlines as areas for improvement. </w:t>
      </w:r>
      <w:r w:rsidRPr="18A87C4B" w:rsidR="719CB005">
        <w:rPr>
          <w:rFonts w:ascii="Arial" w:hAnsi="Arial" w:eastAsia="Arial" w:cs="Arial"/>
          <w:noProof w:val="0"/>
          <w:sz w:val="24"/>
          <w:szCs w:val="24"/>
          <w:lang w:val="en-US"/>
        </w:rPr>
        <w:t>Learning from experience is the core definition of reflective learning. In the Failure Report activity, we wanted the student to pay critical attention to past failures and deliberately reflect on their experiences in hoping that they will gain self-developmental insights</w:t>
      </w:r>
      <w:r w:rsidRPr="18A87C4B" w:rsidR="719CB005">
        <w:rPr>
          <w:rFonts w:ascii="Arial" w:hAnsi="Arial" w:eastAsia="Arial" w:cs="Arial"/>
          <w:noProof w:val="0"/>
          <w:color w:val="222222"/>
          <w:sz w:val="24"/>
          <w:szCs w:val="24"/>
          <w:lang w:val="en-US"/>
        </w:rPr>
        <w:t xml:space="preserve"> (Harithuddin, 2021). The experience had both positive and negative aspects. On the positive side, I learned the importance of attentiveness and professional accountability. My intervention was well-received, reinforcing the value of patient advocacy. On the negative side, my initial hesitation highlighted my lack of confidence in my role. If I had been more assertive, I could have addressed the issue more promptly.</w:t>
      </w:r>
    </w:p>
    <w:p xmlns:wp14="http://schemas.microsoft.com/office/word/2010/wordml" w:rsidP="18A87C4B" wp14:paraId="16DA53D2" wp14:textId="01F2EEC8">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66F4C832" wp14:textId="6F31711B">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 xml:space="preserve">Analysis: </w:t>
      </w:r>
      <w:r w:rsidRPr="18A87C4B" w:rsidR="719CB005">
        <w:rPr>
          <w:rFonts w:ascii="Arial" w:hAnsi="Arial" w:eastAsia="Arial" w:cs="Arial"/>
          <w:noProof w:val="0"/>
          <w:sz w:val="24"/>
          <w:szCs w:val="24"/>
          <w:lang w:val="en-US"/>
        </w:rPr>
        <w:t>These experiences highlighted the importance of adaptability and digital literacy in academic success. In the Analysis phase, individuals delve deeper into the reasons behind their feelings and evaluations. This stage encouraged a lot of profound examination of the underlying principles, theories, or concepts that relate to the experience. By analysing the situation and its content, reflective practitioners can gain insights that go beyond the surface level. For instance, a healthcare professional reflecting on their interactions with patients may explore the impact of communication styles and empathy on patient outcomes, thus linking their personal practice to broader professional standards. Reflection is a process, whereby educators can learn about themselves, their students, the course content, the classroom environment and redevelop themselves</w:t>
      </w:r>
      <w:r w:rsidRPr="18A87C4B" w:rsidR="719CB005">
        <w:rPr>
          <w:rFonts w:ascii="Arial" w:hAnsi="Arial" w:eastAsia="Arial" w:cs="Arial"/>
          <w:noProof w:val="0"/>
          <w:color w:val="222222"/>
          <w:sz w:val="24"/>
          <w:szCs w:val="24"/>
          <w:lang w:val="en-US"/>
        </w:rPr>
        <w:t xml:space="preserve"> (Akella et al, 2021).</w:t>
      </w:r>
      <w:r w:rsidRPr="18A87C4B" w:rsidR="719CB005">
        <w:rPr>
          <w:rFonts w:ascii="Arial" w:hAnsi="Arial" w:eastAsia="Arial" w:cs="Arial"/>
          <w:noProof w:val="0"/>
          <w:color w:val="333333"/>
          <w:sz w:val="24"/>
          <w:szCs w:val="24"/>
          <w:lang w:val="en-US"/>
        </w:rPr>
        <w:t xml:space="preserve"> Some situations conflict with the autonomy of patients and their rights and can contribute to stressful situations for patients</w:t>
      </w:r>
      <w:r w:rsidRPr="18A87C4B" w:rsidR="719CB005">
        <w:rPr>
          <w:rFonts w:ascii="Arial" w:hAnsi="Arial" w:eastAsia="Arial" w:cs="Arial"/>
          <w:noProof w:val="0"/>
          <w:color w:val="222222"/>
          <w:sz w:val="24"/>
          <w:szCs w:val="24"/>
          <w:lang w:val="en-US"/>
        </w:rPr>
        <w:t xml:space="preserve"> (Font Jiménez et al, 2023). </w:t>
      </w:r>
      <w:r w:rsidRPr="18A87C4B" w:rsidR="719CB005">
        <w:rPr>
          <w:rFonts w:ascii="Arial" w:hAnsi="Arial" w:eastAsia="Arial" w:cs="Arial"/>
          <w:noProof w:val="0"/>
          <w:color w:val="1F1F1F"/>
          <w:sz w:val="24"/>
          <w:szCs w:val="24"/>
          <w:lang w:val="en-US"/>
        </w:rPr>
        <w:t>One of the main issues with the acquisition model is that it fails to capture the ‘soft skills and experiences that are critical to success in any workplace. Yet despite these obvious weaknesses, the acquisition model of learning is widely adopted within universities and other educational settings. By embracing this model, there is a distinct danger that we are failing to equip users with the sort of mindset to adapt to a rapidly changing workplace – a workplace that in the twenty-first century often has no clear progression pathway, no formalised structure, and no defined endpoint</w:t>
      </w:r>
      <w:r w:rsidRPr="18A87C4B" w:rsidR="719CB005">
        <w:rPr>
          <w:rFonts w:ascii="Arial" w:hAnsi="Arial" w:eastAsia="Arial" w:cs="Arial"/>
          <w:noProof w:val="0"/>
          <w:color w:val="222222"/>
          <w:sz w:val="24"/>
          <w:szCs w:val="24"/>
          <w:lang w:val="en-US"/>
        </w:rPr>
        <w:t xml:space="preserve"> (Ryder and Downs, 2022).</w:t>
      </w:r>
    </w:p>
    <w:p xmlns:wp14="http://schemas.microsoft.com/office/word/2010/wordml" w:rsidP="18A87C4B" wp14:paraId="7E49EF84" wp14:textId="0DF5EDD9">
      <w:pPr>
        <w:spacing w:before="0" w:beforeAutospacing="off" w:after="160" w:afterAutospacing="off" w:line="360" w:lineRule="auto"/>
        <w:jc w:val="both"/>
      </w:pPr>
      <w:r w:rsidRPr="18A87C4B" w:rsidR="719CB005">
        <w:rPr>
          <w:rFonts w:ascii="Arial" w:hAnsi="Arial" w:eastAsia="Arial" w:cs="Arial"/>
          <w:noProof w:val="0"/>
          <w:color w:val="222222"/>
          <w:sz w:val="24"/>
          <w:szCs w:val="24"/>
          <w:lang w:val="en-US"/>
        </w:rPr>
        <w:t>Conclusion: The Gibbs Reflection Cycle serves as an invaluable tool for fostering a culture of reflection in both personal and professional contexts. By guiding individuals through a structured process, it motivated deep reflective thinking, enhances self-awareness, and supports continuous growth. This framework does not provide aids in understanding past experiences but also acknowledge individuals to apply their insights and improve future practices. As such, the Gibbs Reflection Cycle remains an essential component of reflective practice in education, healthcare, business, and various other fields, ultimately contributing to more effective and informed professionals. I realized that my initial hesitation stemmed from self-doubt rather than a lack of knowledge. Moving forward, I aim to build confidence in my abilities and trust my judgment when making critical decisions. Additionally, I have learned that constructive communication is key to maintaining patient safety and effective teamwork. Gibbs' Reflective Cycle has provided a structured approach to analysing my experience, identifying key learning points, and planning for future improvements. Through reflection, I have gained greater self-awareness and a commitment to becoming a more proactive and confident professional. It also has given me more confidence to make decisions quicker.</w:t>
      </w:r>
    </w:p>
    <w:p xmlns:wp14="http://schemas.microsoft.com/office/word/2010/wordml" w:rsidP="18A87C4B" wp14:paraId="4FA4D943" wp14:textId="201C400B">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61767F4B" wp14:textId="5FB4B166">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5B9F08EC" wp14:textId="28C228E1">
      <w:pPr>
        <w:spacing w:before="0" w:beforeAutospacing="off" w:after="160" w:afterAutospacing="off" w:line="254" w:lineRule="auto"/>
      </w:pPr>
      <w:r w:rsidRPr="18A87C4B" w:rsidR="719CB005">
        <w:rPr>
          <w:rFonts w:ascii="Arial" w:hAnsi="Arial" w:eastAsia="Arial" w:cs="Arial"/>
          <w:noProof w:val="0"/>
          <w:sz w:val="32"/>
          <w:szCs w:val="32"/>
          <w:lang w:val="en-US"/>
        </w:rPr>
        <w:t>Smart Action Plan</w:t>
      </w:r>
    </w:p>
    <w:p xmlns:wp14="http://schemas.microsoft.com/office/word/2010/wordml" w:rsidP="18A87C4B" wp14:paraId="1902A0CB" wp14:textId="15474D1D">
      <w:pPr>
        <w:spacing w:before="240" w:beforeAutospacing="off" w:after="240" w:afterAutospacing="off"/>
        <w:jc w:val="both"/>
      </w:pPr>
      <w:r w:rsidRPr="18A87C4B" w:rsidR="719CB005">
        <w:rPr>
          <w:rFonts w:ascii="Arial" w:hAnsi="Arial" w:eastAsia="Arial" w:cs="Arial"/>
          <w:b w:val="1"/>
          <w:bCs w:val="1"/>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1383"/>
        <w:gridCol w:w="1465"/>
        <w:gridCol w:w="1660"/>
        <w:gridCol w:w="1445"/>
        <w:gridCol w:w="1356"/>
        <w:gridCol w:w="2051"/>
      </w:tblGrid>
      <w:tr w:rsidR="18A87C4B" w:rsidTr="18A87C4B" w14:paraId="20CBCF16">
        <w:trPr>
          <w:trHeight w:val="1320"/>
        </w:trPr>
        <w:tc>
          <w:tcPr>
            <w:tcW w:w="1383" w:type="dxa"/>
            <w:tcBorders>
              <w:top w:val="single" w:sz="8"/>
              <w:left w:val="single" w:sz="8"/>
              <w:bottom w:val="single" w:sz="8"/>
              <w:right w:val="single" w:sz="8"/>
            </w:tcBorders>
            <w:tcMar>
              <w:left w:w="108" w:type="dxa"/>
              <w:right w:w="108" w:type="dxa"/>
            </w:tcMar>
            <w:vAlign w:val="top"/>
          </w:tcPr>
          <w:p w:rsidR="18A87C4B" w:rsidP="18A87C4B" w:rsidRDefault="18A87C4B" w14:paraId="64508C94" w14:textId="0582FEE5">
            <w:pPr>
              <w:spacing w:before="240" w:beforeAutospacing="off" w:after="240" w:afterAutospacing="off"/>
              <w:jc w:val="both"/>
            </w:pPr>
            <w:r w:rsidRPr="18A87C4B" w:rsidR="18A87C4B">
              <w:rPr>
                <w:rFonts w:ascii="Arial" w:hAnsi="Arial" w:eastAsia="Arial" w:cs="Arial"/>
                <w:b w:val="1"/>
                <w:bCs w:val="1"/>
                <w:sz w:val="24"/>
                <w:szCs w:val="24"/>
              </w:rPr>
              <w:t>Target to be Achieved</w:t>
            </w:r>
          </w:p>
        </w:tc>
        <w:tc>
          <w:tcPr>
            <w:tcW w:w="1465" w:type="dxa"/>
            <w:tcBorders>
              <w:top w:val="single" w:sz="8"/>
              <w:left w:val="single" w:sz="8"/>
              <w:bottom w:val="single" w:sz="8"/>
              <w:right w:val="single" w:sz="8"/>
            </w:tcBorders>
            <w:tcMar>
              <w:left w:w="108" w:type="dxa"/>
              <w:right w:w="108" w:type="dxa"/>
            </w:tcMar>
            <w:vAlign w:val="top"/>
          </w:tcPr>
          <w:p w:rsidR="18A87C4B" w:rsidP="18A87C4B" w:rsidRDefault="18A87C4B" w14:paraId="21558D84" w14:textId="1FA917D3">
            <w:pPr>
              <w:spacing w:before="240" w:beforeAutospacing="off" w:after="240" w:afterAutospacing="off"/>
              <w:jc w:val="both"/>
            </w:pPr>
            <w:r w:rsidRPr="18A87C4B" w:rsidR="18A87C4B">
              <w:rPr>
                <w:rFonts w:ascii="Arial" w:hAnsi="Arial" w:eastAsia="Arial" w:cs="Arial"/>
                <w:b w:val="1"/>
                <w:bCs w:val="1"/>
                <w:sz w:val="24"/>
                <w:szCs w:val="24"/>
              </w:rPr>
              <w:t>Action Steps to Complete to Achieve Target</w:t>
            </w:r>
          </w:p>
        </w:tc>
        <w:tc>
          <w:tcPr>
            <w:tcW w:w="1660" w:type="dxa"/>
            <w:tcBorders>
              <w:top w:val="single" w:sz="8"/>
              <w:left w:val="single" w:sz="8"/>
              <w:bottom w:val="single" w:sz="8"/>
              <w:right w:val="single" w:sz="8"/>
            </w:tcBorders>
            <w:tcMar>
              <w:left w:w="108" w:type="dxa"/>
              <w:right w:w="108" w:type="dxa"/>
            </w:tcMar>
            <w:vAlign w:val="top"/>
          </w:tcPr>
          <w:p w:rsidR="18A87C4B" w:rsidP="18A87C4B" w:rsidRDefault="18A87C4B" w14:paraId="170F892C" w14:textId="54A297D3">
            <w:pPr>
              <w:spacing w:before="240" w:beforeAutospacing="off" w:after="240" w:afterAutospacing="off"/>
              <w:jc w:val="both"/>
            </w:pPr>
            <w:r w:rsidRPr="18A87C4B" w:rsidR="18A87C4B">
              <w:rPr>
                <w:rFonts w:ascii="Arial" w:hAnsi="Arial" w:eastAsia="Arial" w:cs="Arial"/>
                <w:b w:val="1"/>
                <w:bCs w:val="1"/>
                <w:sz w:val="24"/>
                <w:szCs w:val="24"/>
              </w:rPr>
              <w:t>Potential Difficulties</w:t>
            </w:r>
          </w:p>
        </w:tc>
        <w:tc>
          <w:tcPr>
            <w:tcW w:w="1445" w:type="dxa"/>
            <w:tcBorders>
              <w:top w:val="single" w:sz="8"/>
              <w:left w:val="single" w:sz="8"/>
              <w:bottom w:val="single" w:sz="8"/>
              <w:right w:val="single" w:sz="8"/>
            </w:tcBorders>
            <w:tcMar>
              <w:left w:w="108" w:type="dxa"/>
              <w:right w:w="108" w:type="dxa"/>
            </w:tcMar>
            <w:vAlign w:val="top"/>
          </w:tcPr>
          <w:p w:rsidR="18A87C4B" w:rsidP="18A87C4B" w:rsidRDefault="18A87C4B" w14:paraId="39BF2A7F" w14:textId="1869C2A6">
            <w:pPr>
              <w:spacing w:before="240" w:beforeAutospacing="off" w:after="240" w:afterAutospacing="off"/>
              <w:jc w:val="both"/>
            </w:pPr>
            <w:r w:rsidRPr="18A87C4B" w:rsidR="18A87C4B">
              <w:rPr>
                <w:rFonts w:ascii="Arial" w:hAnsi="Arial" w:eastAsia="Arial" w:cs="Arial"/>
                <w:b w:val="1"/>
                <w:bCs w:val="1"/>
                <w:sz w:val="24"/>
                <w:szCs w:val="24"/>
              </w:rPr>
              <w:t>Resources</w:t>
            </w:r>
          </w:p>
        </w:tc>
        <w:tc>
          <w:tcPr>
            <w:tcW w:w="1356" w:type="dxa"/>
            <w:tcBorders>
              <w:top w:val="single" w:sz="8"/>
              <w:left w:val="single" w:sz="8"/>
              <w:bottom w:val="single" w:sz="8"/>
              <w:right w:val="single" w:sz="8"/>
            </w:tcBorders>
            <w:tcMar>
              <w:left w:w="108" w:type="dxa"/>
              <w:right w:w="108" w:type="dxa"/>
            </w:tcMar>
            <w:vAlign w:val="top"/>
          </w:tcPr>
          <w:p w:rsidR="18A87C4B" w:rsidP="18A87C4B" w:rsidRDefault="18A87C4B" w14:paraId="343A5C61" w14:textId="0B874BEE">
            <w:pPr>
              <w:spacing w:before="240" w:beforeAutospacing="off" w:after="240" w:afterAutospacing="off"/>
              <w:jc w:val="both"/>
            </w:pPr>
            <w:r w:rsidRPr="18A87C4B" w:rsidR="18A87C4B">
              <w:rPr>
                <w:rFonts w:ascii="Arial" w:hAnsi="Arial" w:eastAsia="Arial" w:cs="Arial"/>
                <w:b w:val="1"/>
                <w:bCs w:val="1"/>
                <w:sz w:val="24"/>
                <w:szCs w:val="24"/>
              </w:rPr>
              <w:t>Deadline</w:t>
            </w:r>
          </w:p>
        </w:tc>
        <w:tc>
          <w:tcPr>
            <w:tcW w:w="2051" w:type="dxa"/>
            <w:tcBorders>
              <w:top w:val="single" w:sz="8"/>
              <w:left w:val="single" w:sz="8"/>
              <w:bottom w:val="single" w:sz="8"/>
              <w:right w:val="single" w:sz="8"/>
            </w:tcBorders>
            <w:tcMar>
              <w:left w:w="108" w:type="dxa"/>
              <w:right w:w="108" w:type="dxa"/>
            </w:tcMar>
            <w:vAlign w:val="top"/>
          </w:tcPr>
          <w:p w:rsidR="18A87C4B" w:rsidP="18A87C4B" w:rsidRDefault="18A87C4B" w14:paraId="58617164" w14:textId="307C62AF">
            <w:pPr>
              <w:spacing w:before="240" w:beforeAutospacing="off" w:after="240" w:afterAutospacing="off"/>
              <w:jc w:val="both"/>
            </w:pPr>
            <w:r w:rsidRPr="18A87C4B" w:rsidR="18A87C4B">
              <w:rPr>
                <w:rFonts w:ascii="Arial" w:hAnsi="Arial" w:eastAsia="Arial" w:cs="Arial"/>
                <w:b w:val="1"/>
                <w:bCs w:val="1"/>
                <w:sz w:val="24"/>
                <w:szCs w:val="24"/>
              </w:rPr>
              <w:t>Comments</w:t>
            </w:r>
          </w:p>
        </w:tc>
      </w:tr>
      <w:tr w:rsidR="18A87C4B" w:rsidTr="18A87C4B" w14:paraId="3DE97245">
        <w:trPr>
          <w:trHeight w:val="1320"/>
        </w:trPr>
        <w:tc>
          <w:tcPr>
            <w:tcW w:w="1383" w:type="dxa"/>
            <w:tcBorders>
              <w:top w:val="single" w:sz="8"/>
              <w:left w:val="single" w:sz="8"/>
              <w:bottom w:val="single" w:sz="8"/>
              <w:right w:val="single" w:sz="8"/>
            </w:tcBorders>
            <w:tcMar>
              <w:left w:w="108" w:type="dxa"/>
              <w:right w:w="108" w:type="dxa"/>
            </w:tcMar>
            <w:vAlign w:val="top"/>
          </w:tcPr>
          <w:p w:rsidR="18A87C4B" w:rsidP="18A87C4B" w:rsidRDefault="18A87C4B" w14:paraId="54A91348" w14:textId="504DFA9F">
            <w:pPr>
              <w:spacing w:before="240" w:beforeAutospacing="off" w:after="240" w:afterAutospacing="off"/>
              <w:jc w:val="both"/>
            </w:pPr>
            <w:r w:rsidRPr="18A87C4B" w:rsidR="18A87C4B">
              <w:rPr>
                <w:rFonts w:ascii="Arial" w:hAnsi="Arial" w:eastAsia="Arial" w:cs="Arial"/>
                <w:sz w:val="24"/>
                <w:szCs w:val="24"/>
              </w:rPr>
              <w:t>Improve time management</w:t>
            </w:r>
          </w:p>
        </w:tc>
        <w:tc>
          <w:tcPr>
            <w:tcW w:w="1465" w:type="dxa"/>
            <w:tcBorders>
              <w:top w:val="single" w:sz="8"/>
              <w:left w:val="single" w:sz="8"/>
              <w:bottom w:val="single" w:sz="8"/>
              <w:right w:val="single" w:sz="8"/>
            </w:tcBorders>
            <w:tcMar>
              <w:left w:w="108" w:type="dxa"/>
              <w:right w:w="108" w:type="dxa"/>
            </w:tcMar>
            <w:vAlign w:val="top"/>
          </w:tcPr>
          <w:p w:rsidR="18A87C4B" w:rsidP="18A87C4B" w:rsidRDefault="18A87C4B" w14:paraId="7F7C676C" w14:textId="237E4E49">
            <w:pPr>
              <w:spacing w:before="240" w:beforeAutospacing="off" w:after="240" w:afterAutospacing="off"/>
              <w:jc w:val="both"/>
            </w:pPr>
            <w:r w:rsidRPr="18A87C4B" w:rsidR="18A87C4B">
              <w:rPr>
                <w:rFonts w:ascii="Arial" w:hAnsi="Arial" w:eastAsia="Arial" w:cs="Arial"/>
                <w:sz w:val="24"/>
                <w:szCs w:val="24"/>
              </w:rPr>
              <w:t>Use a digital planner to organize tasks and deadlines</w:t>
            </w:r>
          </w:p>
        </w:tc>
        <w:tc>
          <w:tcPr>
            <w:tcW w:w="1660" w:type="dxa"/>
            <w:tcBorders>
              <w:top w:val="single" w:sz="8"/>
              <w:left w:val="single" w:sz="8"/>
              <w:bottom w:val="single" w:sz="8"/>
              <w:right w:val="single" w:sz="8"/>
            </w:tcBorders>
            <w:tcMar>
              <w:left w:w="108" w:type="dxa"/>
              <w:right w:w="108" w:type="dxa"/>
            </w:tcMar>
            <w:vAlign w:val="top"/>
          </w:tcPr>
          <w:p w:rsidR="18A87C4B" w:rsidP="18A87C4B" w:rsidRDefault="18A87C4B" w14:paraId="2FEDC036" w14:textId="20B498E0">
            <w:pPr>
              <w:spacing w:before="240" w:beforeAutospacing="off" w:after="240" w:afterAutospacing="off"/>
              <w:jc w:val="both"/>
            </w:pPr>
            <w:r w:rsidRPr="18A87C4B" w:rsidR="18A87C4B">
              <w:rPr>
                <w:rFonts w:ascii="Arial" w:hAnsi="Arial" w:eastAsia="Arial" w:cs="Arial"/>
                <w:sz w:val="24"/>
                <w:szCs w:val="24"/>
              </w:rPr>
              <w:t>Overcommitting tasks and not following schedule</w:t>
            </w:r>
          </w:p>
        </w:tc>
        <w:tc>
          <w:tcPr>
            <w:tcW w:w="1445" w:type="dxa"/>
            <w:tcBorders>
              <w:top w:val="single" w:sz="8"/>
              <w:left w:val="single" w:sz="8"/>
              <w:bottom w:val="single" w:sz="8"/>
              <w:right w:val="single" w:sz="8"/>
            </w:tcBorders>
            <w:tcMar>
              <w:left w:w="108" w:type="dxa"/>
              <w:right w:w="108" w:type="dxa"/>
            </w:tcMar>
            <w:vAlign w:val="top"/>
          </w:tcPr>
          <w:p w:rsidR="18A87C4B" w:rsidP="18A87C4B" w:rsidRDefault="18A87C4B" w14:paraId="25307309" w14:textId="07997DCE">
            <w:pPr>
              <w:spacing w:before="240" w:beforeAutospacing="off" w:after="240" w:afterAutospacing="off"/>
              <w:jc w:val="both"/>
            </w:pPr>
            <w:r w:rsidRPr="18A87C4B" w:rsidR="18A87C4B">
              <w:rPr>
                <w:rFonts w:ascii="Arial" w:hAnsi="Arial" w:eastAsia="Arial" w:cs="Arial"/>
                <w:sz w:val="24"/>
                <w:szCs w:val="24"/>
              </w:rPr>
              <w:t>Digital planner, time management techniques</w:t>
            </w:r>
          </w:p>
        </w:tc>
        <w:tc>
          <w:tcPr>
            <w:tcW w:w="1356" w:type="dxa"/>
            <w:tcBorders>
              <w:top w:val="single" w:sz="8"/>
              <w:left w:val="single" w:sz="8"/>
              <w:bottom w:val="single" w:sz="8"/>
              <w:right w:val="single" w:sz="8"/>
            </w:tcBorders>
            <w:tcMar>
              <w:left w:w="108" w:type="dxa"/>
              <w:right w:w="108" w:type="dxa"/>
            </w:tcMar>
            <w:vAlign w:val="top"/>
          </w:tcPr>
          <w:p w:rsidR="18A87C4B" w:rsidP="18A87C4B" w:rsidRDefault="18A87C4B" w14:paraId="0F7CD22E" w14:textId="68409F4C">
            <w:pPr>
              <w:spacing w:before="240" w:beforeAutospacing="off" w:after="240" w:afterAutospacing="off"/>
              <w:jc w:val="both"/>
            </w:pPr>
            <w:r w:rsidRPr="18A87C4B" w:rsidR="18A87C4B">
              <w:rPr>
                <w:rFonts w:ascii="Arial" w:hAnsi="Arial" w:eastAsia="Arial" w:cs="Arial"/>
                <w:sz w:val="24"/>
                <w:szCs w:val="24"/>
              </w:rPr>
              <w:t>1</w:t>
            </w:r>
            <w:r w:rsidRPr="18A87C4B" w:rsidR="18A87C4B">
              <w:rPr>
                <w:rFonts w:ascii="Arial" w:hAnsi="Arial" w:eastAsia="Arial" w:cs="Arial"/>
                <w:sz w:val="24"/>
                <w:szCs w:val="24"/>
                <w:vertAlign w:val="superscript"/>
              </w:rPr>
              <w:t xml:space="preserve">st </w:t>
            </w:r>
            <w:r w:rsidRPr="18A87C4B" w:rsidR="18A87C4B">
              <w:rPr>
                <w:rFonts w:ascii="Arial" w:hAnsi="Arial" w:eastAsia="Arial" w:cs="Arial"/>
                <w:sz w:val="24"/>
                <w:szCs w:val="24"/>
              </w:rPr>
              <w:t>May</w:t>
            </w:r>
          </w:p>
        </w:tc>
        <w:tc>
          <w:tcPr>
            <w:tcW w:w="2051" w:type="dxa"/>
            <w:tcBorders>
              <w:top w:val="single" w:sz="8"/>
              <w:left w:val="single" w:sz="8"/>
              <w:bottom w:val="single" w:sz="8"/>
              <w:right w:val="single" w:sz="8"/>
            </w:tcBorders>
            <w:tcMar>
              <w:left w:w="108" w:type="dxa"/>
              <w:right w:w="108" w:type="dxa"/>
            </w:tcMar>
            <w:vAlign w:val="top"/>
          </w:tcPr>
          <w:p w:rsidR="18A87C4B" w:rsidP="18A87C4B" w:rsidRDefault="18A87C4B" w14:paraId="5C1F3FC3" w14:textId="569D3E04">
            <w:pPr>
              <w:spacing w:before="240" w:beforeAutospacing="off" w:after="240" w:afterAutospacing="off"/>
              <w:jc w:val="both"/>
            </w:pPr>
            <w:r w:rsidRPr="18A87C4B" w:rsidR="18A87C4B">
              <w:rPr>
                <w:rFonts w:ascii="Arial" w:hAnsi="Arial" w:eastAsia="Arial" w:cs="Arial"/>
                <w:sz w:val="24"/>
                <w:szCs w:val="24"/>
              </w:rPr>
              <w:t>Update weekly progress using a time-tracking app</w:t>
            </w:r>
          </w:p>
        </w:tc>
      </w:tr>
      <w:tr w:rsidR="18A87C4B" w:rsidTr="18A87C4B" w14:paraId="7DCC0BC1">
        <w:trPr>
          <w:trHeight w:val="1545"/>
        </w:trPr>
        <w:tc>
          <w:tcPr>
            <w:tcW w:w="1383" w:type="dxa"/>
            <w:tcBorders>
              <w:top w:val="single" w:sz="8"/>
              <w:left w:val="single" w:sz="8"/>
              <w:bottom w:val="single" w:sz="8"/>
              <w:right w:val="single" w:sz="8"/>
            </w:tcBorders>
            <w:tcMar>
              <w:left w:w="108" w:type="dxa"/>
              <w:right w:w="108" w:type="dxa"/>
            </w:tcMar>
            <w:vAlign w:val="top"/>
          </w:tcPr>
          <w:p w:rsidR="18A87C4B" w:rsidP="18A87C4B" w:rsidRDefault="18A87C4B" w14:paraId="5D947F69" w14:textId="7BA496D6">
            <w:pPr>
              <w:spacing w:before="240" w:beforeAutospacing="off" w:after="240" w:afterAutospacing="off"/>
              <w:jc w:val="both"/>
            </w:pPr>
            <w:r w:rsidRPr="18A87C4B" w:rsidR="18A87C4B">
              <w:rPr>
                <w:rFonts w:ascii="Arial" w:hAnsi="Arial" w:eastAsia="Arial" w:cs="Arial"/>
                <w:sz w:val="24"/>
                <w:szCs w:val="24"/>
              </w:rPr>
              <w:t>Enhance referencing skills</w:t>
            </w:r>
          </w:p>
        </w:tc>
        <w:tc>
          <w:tcPr>
            <w:tcW w:w="1465" w:type="dxa"/>
            <w:tcBorders>
              <w:top w:val="single" w:sz="8"/>
              <w:left w:val="single" w:sz="8"/>
              <w:bottom w:val="single" w:sz="8"/>
              <w:right w:val="single" w:sz="8"/>
            </w:tcBorders>
            <w:tcMar>
              <w:left w:w="108" w:type="dxa"/>
              <w:right w:w="108" w:type="dxa"/>
            </w:tcMar>
            <w:vAlign w:val="top"/>
          </w:tcPr>
          <w:p w:rsidR="18A87C4B" w:rsidP="18A87C4B" w:rsidRDefault="18A87C4B" w14:paraId="24E3D327" w14:textId="76377612">
            <w:pPr>
              <w:spacing w:before="240" w:beforeAutospacing="off" w:after="240" w:afterAutospacing="off"/>
              <w:jc w:val="both"/>
            </w:pPr>
            <w:r w:rsidRPr="18A87C4B" w:rsidR="18A87C4B">
              <w:rPr>
                <w:rFonts w:ascii="Arial" w:hAnsi="Arial" w:eastAsia="Arial" w:cs="Arial"/>
                <w:sz w:val="24"/>
                <w:szCs w:val="24"/>
              </w:rPr>
              <w:t>Practice citing sources manually before relying on software</w:t>
            </w:r>
          </w:p>
        </w:tc>
        <w:tc>
          <w:tcPr>
            <w:tcW w:w="1660" w:type="dxa"/>
            <w:tcBorders>
              <w:top w:val="single" w:sz="8"/>
              <w:left w:val="single" w:sz="8"/>
              <w:bottom w:val="single" w:sz="8"/>
              <w:right w:val="single" w:sz="8"/>
            </w:tcBorders>
            <w:tcMar>
              <w:left w:w="108" w:type="dxa"/>
              <w:right w:w="108" w:type="dxa"/>
            </w:tcMar>
            <w:vAlign w:val="top"/>
          </w:tcPr>
          <w:p w:rsidR="18A87C4B" w:rsidP="18A87C4B" w:rsidRDefault="18A87C4B" w14:paraId="7F0D8DC6" w14:textId="3C565AB8">
            <w:pPr>
              <w:spacing w:before="240" w:beforeAutospacing="off" w:after="240" w:afterAutospacing="off"/>
              <w:jc w:val="both"/>
            </w:pPr>
            <w:r w:rsidRPr="18A87C4B" w:rsidR="18A87C4B">
              <w:rPr>
                <w:rFonts w:ascii="Arial" w:hAnsi="Arial" w:eastAsia="Arial" w:cs="Arial"/>
                <w:sz w:val="24"/>
                <w:szCs w:val="24"/>
              </w:rPr>
              <w:t>Confusion with multiple citation styles</w:t>
            </w:r>
          </w:p>
        </w:tc>
        <w:tc>
          <w:tcPr>
            <w:tcW w:w="1445" w:type="dxa"/>
            <w:tcBorders>
              <w:top w:val="single" w:sz="8"/>
              <w:left w:val="single" w:sz="8"/>
              <w:bottom w:val="single" w:sz="8"/>
              <w:right w:val="single" w:sz="8"/>
            </w:tcBorders>
            <w:tcMar>
              <w:left w:w="108" w:type="dxa"/>
              <w:right w:w="108" w:type="dxa"/>
            </w:tcMar>
            <w:vAlign w:val="top"/>
          </w:tcPr>
          <w:p w:rsidR="18A87C4B" w:rsidP="18A87C4B" w:rsidRDefault="18A87C4B" w14:paraId="5466568C" w14:textId="3D6A1A8A">
            <w:pPr>
              <w:spacing w:before="240" w:beforeAutospacing="off" w:after="240" w:afterAutospacing="off"/>
              <w:jc w:val="both"/>
            </w:pPr>
            <w:r w:rsidRPr="18A87C4B" w:rsidR="18A87C4B">
              <w:rPr>
                <w:rFonts w:ascii="Arial" w:hAnsi="Arial" w:eastAsia="Arial" w:cs="Arial"/>
                <w:sz w:val="24"/>
                <w:szCs w:val="24"/>
              </w:rPr>
              <w:t>Referencing guides, library support</w:t>
            </w:r>
          </w:p>
        </w:tc>
        <w:tc>
          <w:tcPr>
            <w:tcW w:w="1356" w:type="dxa"/>
            <w:tcBorders>
              <w:top w:val="single" w:sz="8"/>
              <w:left w:val="single" w:sz="8"/>
              <w:bottom w:val="single" w:sz="8"/>
              <w:right w:val="single" w:sz="8"/>
            </w:tcBorders>
            <w:tcMar>
              <w:left w:w="108" w:type="dxa"/>
              <w:right w:w="108" w:type="dxa"/>
            </w:tcMar>
            <w:vAlign w:val="top"/>
          </w:tcPr>
          <w:p w:rsidR="18A87C4B" w:rsidP="18A87C4B" w:rsidRDefault="18A87C4B" w14:paraId="3457E883" w14:textId="1A30BDB3">
            <w:pPr>
              <w:spacing w:before="240" w:beforeAutospacing="off" w:after="240" w:afterAutospacing="off"/>
              <w:jc w:val="both"/>
            </w:pPr>
            <w:r w:rsidRPr="18A87C4B" w:rsidR="18A87C4B">
              <w:rPr>
                <w:rFonts w:ascii="Arial" w:hAnsi="Arial" w:eastAsia="Arial" w:cs="Arial"/>
                <w:sz w:val="24"/>
                <w:szCs w:val="24"/>
              </w:rPr>
              <w:t>28</w:t>
            </w:r>
            <w:r w:rsidRPr="18A87C4B" w:rsidR="18A87C4B">
              <w:rPr>
                <w:rFonts w:ascii="Arial" w:hAnsi="Arial" w:eastAsia="Arial" w:cs="Arial"/>
                <w:sz w:val="24"/>
                <w:szCs w:val="24"/>
                <w:vertAlign w:val="superscript"/>
              </w:rPr>
              <w:t>th</w:t>
            </w:r>
            <w:r w:rsidRPr="18A87C4B" w:rsidR="18A87C4B">
              <w:rPr>
                <w:rFonts w:ascii="Arial" w:hAnsi="Arial" w:eastAsia="Arial" w:cs="Arial"/>
                <w:sz w:val="24"/>
                <w:szCs w:val="24"/>
              </w:rPr>
              <w:t xml:space="preserve"> April</w:t>
            </w:r>
          </w:p>
        </w:tc>
        <w:tc>
          <w:tcPr>
            <w:tcW w:w="2051" w:type="dxa"/>
            <w:tcBorders>
              <w:top w:val="single" w:sz="8"/>
              <w:left w:val="single" w:sz="8"/>
              <w:bottom w:val="single" w:sz="8"/>
              <w:right w:val="single" w:sz="8"/>
            </w:tcBorders>
            <w:tcMar>
              <w:left w:w="108" w:type="dxa"/>
              <w:right w:w="108" w:type="dxa"/>
            </w:tcMar>
            <w:vAlign w:val="top"/>
          </w:tcPr>
          <w:p w:rsidR="18A87C4B" w:rsidP="18A87C4B" w:rsidRDefault="18A87C4B" w14:paraId="769A7E75" w14:textId="5543A7A1">
            <w:pPr>
              <w:spacing w:before="240" w:beforeAutospacing="off" w:after="240" w:afterAutospacing="off"/>
              <w:jc w:val="both"/>
            </w:pPr>
            <w:r w:rsidRPr="18A87C4B" w:rsidR="18A87C4B">
              <w:rPr>
                <w:rFonts w:ascii="Arial" w:hAnsi="Arial" w:eastAsia="Arial" w:cs="Arial"/>
                <w:sz w:val="24"/>
                <w:szCs w:val="24"/>
              </w:rPr>
              <w:t>Attendance of referencing workshop</w:t>
            </w:r>
          </w:p>
        </w:tc>
      </w:tr>
      <w:tr w:rsidR="18A87C4B" w:rsidTr="18A87C4B" w14:paraId="504D6E21">
        <w:trPr>
          <w:trHeight w:val="1530"/>
        </w:trPr>
        <w:tc>
          <w:tcPr>
            <w:tcW w:w="1383" w:type="dxa"/>
            <w:tcBorders>
              <w:top w:val="single" w:sz="8"/>
              <w:left w:val="single" w:sz="8"/>
              <w:bottom w:val="single" w:sz="8"/>
              <w:right w:val="single" w:sz="8"/>
            </w:tcBorders>
            <w:tcMar>
              <w:left w:w="108" w:type="dxa"/>
              <w:right w:w="108" w:type="dxa"/>
            </w:tcMar>
            <w:vAlign w:val="top"/>
          </w:tcPr>
          <w:p w:rsidR="18A87C4B" w:rsidP="18A87C4B" w:rsidRDefault="18A87C4B" w14:paraId="39F7D557" w14:textId="040BB7A7">
            <w:pPr>
              <w:spacing w:before="240" w:beforeAutospacing="off" w:after="240" w:afterAutospacing="off"/>
              <w:jc w:val="both"/>
            </w:pPr>
            <w:r w:rsidRPr="18A87C4B" w:rsidR="18A87C4B">
              <w:rPr>
                <w:rFonts w:ascii="Arial" w:hAnsi="Arial" w:eastAsia="Arial" w:cs="Arial"/>
                <w:sz w:val="24"/>
                <w:szCs w:val="24"/>
              </w:rPr>
              <w:t>Develop digital collaboration skills</w:t>
            </w:r>
          </w:p>
        </w:tc>
        <w:tc>
          <w:tcPr>
            <w:tcW w:w="1465" w:type="dxa"/>
            <w:tcBorders>
              <w:top w:val="single" w:sz="8"/>
              <w:left w:val="single" w:sz="8"/>
              <w:bottom w:val="single" w:sz="8"/>
              <w:right w:val="single" w:sz="8"/>
            </w:tcBorders>
            <w:tcMar>
              <w:left w:w="108" w:type="dxa"/>
              <w:right w:w="108" w:type="dxa"/>
            </w:tcMar>
            <w:vAlign w:val="top"/>
          </w:tcPr>
          <w:p w:rsidR="18A87C4B" w:rsidP="18A87C4B" w:rsidRDefault="18A87C4B" w14:paraId="52E4CA91" w14:textId="5DBD094E">
            <w:pPr>
              <w:spacing w:before="240" w:beforeAutospacing="off" w:after="240" w:afterAutospacing="off"/>
              <w:jc w:val="both"/>
            </w:pPr>
            <w:r w:rsidRPr="18A87C4B" w:rsidR="18A87C4B">
              <w:rPr>
                <w:rFonts w:ascii="Arial" w:hAnsi="Arial" w:eastAsia="Arial" w:cs="Arial"/>
                <w:sz w:val="24"/>
                <w:szCs w:val="24"/>
              </w:rPr>
              <w:t>Participate in more group projects using Microsoft Teams</w:t>
            </w:r>
          </w:p>
        </w:tc>
        <w:tc>
          <w:tcPr>
            <w:tcW w:w="1660" w:type="dxa"/>
            <w:tcBorders>
              <w:top w:val="single" w:sz="8"/>
              <w:left w:val="single" w:sz="8"/>
              <w:bottom w:val="single" w:sz="8"/>
              <w:right w:val="single" w:sz="8"/>
            </w:tcBorders>
            <w:tcMar>
              <w:left w:w="108" w:type="dxa"/>
              <w:right w:w="108" w:type="dxa"/>
            </w:tcMar>
            <w:vAlign w:val="top"/>
          </w:tcPr>
          <w:p w:rsidR="18A87C4B" w:rsidP="18A87C4B" w:rsidRDefault="18A87C4B" w14:paraId="0F06D495" w14:textId="623B24CC">
            <w:pPr>
              <w:spacing w:before="240" w:beforeAutospacing="off" w:after="240" w:afterAutospacing="off"/>
              <w:jc w:val="both"/>
            </w:pPr>
            <w:r w:rsidRPr="18A87C4B" w:rsidR="18A87C4B">
              <w:rPr>
                <w:rFonts w:ascii="Arial" w:hAnsi="Arial" w:eastAsia="Arial" w:cs="Arial"/>
                <w:sz w:val="24"/>
                <w:szCs w:val="24"/>
              </w:rPr>
              <w:t>Technical issues and lack of engagement from peers</w:t>
            </w:r>
          </w:p>
        </w:tc>
        <w:tc>
          <w:tcPr>
            <w:tcW w:w="1445" w:type="dxa"/>
            <w:tcBorders>
              <w:top w:val="single" w:sz="8"/>
              <w:left w:val="single" w:sz="8"/>
              <w:bottom w:val="single" w:sz="8"/>
              <w:right w:val="single" w:sz="8"/>
            </w:tcBorders>
            <w:tcMar>
              <w:left w:w="108" w:type="dxa"/>
              <w:right w:w="108" w:type="dxa"/>
            </w:tcMar>
            <w:vAlign w:val="top"/>
          </w:tcPr>
          <w:p w:rsidR="18A87C4B" w:rsidP="18A87C4B" w:rsidRDefault="18A87C4B" w14:paraId="33A85D28" w14:textId="0FBB24A1">
            <w:pPr>
              <w:spacing w:before="240" w:beforeAutospacing="off" w:after="240" w:afterAutospacing="off"/>
              <w:jc w:val="both"/>
            </w:pPr>
            <w:r w:rsidRPr="18A87C4B" w:rsidR="18A87C4B">
              <w:rPr>
                <w:rFonts w:ascii="Arial" w:hAnsi="Arial" w:eastAsia="Arial" w:cs="Arial"/>
                <w:sz w:val="24"/>
                <w:szCs w:val="24"/>
              </w:rPr>
              <w:t>University IT support, peer discussions</w:t>
            </w:r>
          </w:p>
        </w:tc>
        <w:tc>
          <w:tcPr>
            <w:tcW w:w="1356" w:type="dxa"/>
            <w:tcBorders>
              <w:top w:val="single" w:sz="8"/>
              <w:left w:val="single" w:sz="8"/>
              <w:bottom w:val="single" w:sz="8"/>
              <w:right w:val="single" w:sz="8"/>
            </w:tcBorders>
            <w:tcMar>
              <w:left w:w="108" w:type="dxa"/>
              <w:right w:w="108" w:type="dxa"/>
            </w:tcMar>
            <w:vAlign w:val="top"/>
          </w:tcPr>
          <w:p w:rsidR="18A87C4B" w:rsidP="18A87C4B" w:rsidRDefault="18A87C4B" w14:paraId="38FD8967" w14:textId="2FB3A2C0">
            <w:pPr>
              <w:spacing w:before="240" w:beforeAutospacing="off" w:after="240" w:afterAutospacing="off"/>
              <w:jc w:val="both"/>
            </w:pPr>
            <w:r w:rsidRPr="18A87C4B" w:rsidR="18A87C4B">
              <w:rPr>
                <w:rFonts w:ascii="Arial" w:hAnsi="Arial" w:eastAsia="Arial" w:cs="Arial"/>
                <w:sz w:val="24"/>
                <w:szCs w:val="24"/>
              </w:rPr>
              <w:t>15</w:t>
            </w:r>
            <w:r w:rsidRPr="18A87C4B" w:rsidR="18A87C4B">
              <w:rPr>
                <w:rFonts w:ascii="Arial" w:hAnsi="Arial" w:eastAsia="Arial" w:cs="Arial"/>
                <w:sz w:val="24"/>
                <w:szCs w:val="24"/>
                <w:vertAlign w:val="superscript"/>
              </w:rPr>
              <w:t>th</w:t>
            </w:r>
            <w:r w:rsidRPr="18A87C4B" w:rsidR="18A87C4B">
              <w:rPr>
                <w:rFonts w:ascii="Arial" w:hAnsi="Arial" w:eastAsia="Arial" w:cs="Arial"/>
                <w:sz w:val="24"/>
                <w:szCs w:val="24"/>
              </w:rPr>
              <w:t xml:space="preserve"> August</w:t>
            </w:r>
          </w:p>
        </w:tc>
        <w:tc>
          <w:tcPr>
            <w:tcW w:w="2051" w:type="dxa"/>
            <w:tcBorders>
              <w:top w:val="single" w:sz="8"/>
              <w:left w:val="single" w:sz="8"/>
              <w:bottom w:val="single" w:sz="8"/>
              <w:right w:val="single" w:sz="8"/>
            </w:tcBorders>
            <w:tcMar>
              <w:left w:w="108" w:type="dxa"/>
              <w:right w:w="108" w:type="dxa"/>
            </w:tcMar>
            <w:vAlign w:val="top"/>
          </w:tcPr>
          <w:p w:rsidR="18A87C4B" w:rsidP="18A87C4B" w:rsidRDefault="18A87C4B" w14:paraId="5702D704" w14:textId="48C2D106">
            <w:pPr>
              <w:spacing w:before="240" w:beforeAutospacing="off" w:after="240" w:afterAutospacing="off"/>
              <w:jc w:val="both"/>
            </w:pPr>
            <w:r w:rsidRPr="18A87C4B" w:rsidR="18A87C4B">
              <w:rPr>
                <w:rFonts w:ascii="Arial" w:hAnsi="Arial" w:eastAsia="Arial" w:cs="Arial"/>
                <w:sz w:val="24"/>
                <w:szCs w:val="24"/>
              </w:rPr>
              <w:t>Time maintance team meetings regularly</w:t>
            </w:r>
          </w:p>
        </w:tc>
      </w:tr>
      <w:tr w:rsidR="18A87C4B" w:rsidTr="18A87C4B" w14:paraId="32C3FC3F">
        <w:trPr>
          <w:trHeight w:val="735"/>
        </w:trPr>
        <w:tc>
          <w:tcPr>
            <w:tcW w:w="1383" w:type="dxa"/>
            <w:tcBorders>
              <w:top w:val="single" w:sz="8"/>
              <w:left w:val="single" w:sz="8"/>
              <w:bottom w:val="single" w:sz="8"/>
              <w:right w:val="single" w:sz="8"/>
            </w:tcBorders>
            <w:tcMar>
              <w:left w:w="108" w:type="dxa"/>
              <w:right w:w="108" w:type="dxa"/>
            </w:tcMar>
            <w:vAlign w:val="top"/>
          </w:tcPr>
          <w:p w:rsidR="18A87C4B" w:rsidP="18A87C4B" w:rsidRDefault="18A87C4B" w14:paraId="5735EC39" w14:textId="750E028C">
            <w:pPr>
              <w:spacing w:before="240" w:beforeAutospacing="off" w:after="240" w:afterAutospacing="off"/>
              <w:jc w:val="both"/>
            </w:pPr>
            <w:r w:rsidRPr="18A87C4B" w:rsidR="18A87C4B">
              <w:rPr>
                <w:rFonts w:ascii="Arial" w:hAnsi="Arial" w:eastAsia="Arial" w:cs="Arial"/>
                <w:sz w:val="24"/>
                <w:szCs w:val="24"/>
              </w:rPr>
              <w:t>Strengthen academic research skills</w:t>
            </w:r>
          </w:p>
        </w:tc>
        <w:tc>
          <w:tcPr>
            <w:tcW w:w="1465" w:type="dxa"/>
            <w:tcBorders>
              <w:top w:val="single" w:sz="8"/>
              <w:left w:val="single" w:sz="8"/>
              <w:bottom w:val="single" w:sz="8"/>
              <w:right w:val="single" w:sz="8"/>
            </w:tcBorders>
            <w:tcMar>
              <w:left w:w="108" w:type="dxa"/>
              <w:right w:w="108" w:type="dxa"/>
            </w:tcMar>
            <w:vAlign w:val="top"/>
          </w:tcPr>
          <w:p w:rsidR="18A87C4B" w:rsidP="18A87C4B" w:rsidRDefault="18A87C4B" w14:paraId="0F93A4E0" w14:textId="217C8AC7">
            <w:pPr>
              <w:spacing w:before="240" w:beforeAutospacing="off" w:after="240" w:afterAutospacing="off"/>
              <w:jc w:val="both"/>
            </w:pPr>
            <w:r w:rsidRPr="18A87C4B" w:rsidR="18A87C4B">
              <w:rPr>
                <w:rFonts w:ascii="Arial" w:hAnsi="Arial" w:eastAsia="Arial" w:cs="Arial"/>
                <w:sz w:val="24"/>
                <w:szCs w:val="24"/>
              </w:rPr>
              <w:t>Using academic information bases instead of general search engines</w:t>
            </w:r>
          </w:p>
        </w:tc>
        <w:tc>
          <w:tcPr>
            <w:tcW w:w="1660" w:type="dxa"/>
            <w:tcBorders>
              <w:top w:val="single" w:sz="8"/>
              <w:left w:val="single" w:sz="8"/>
              <w:bottom w:val="single" w:sz="8"/>
              <w:right w:val="single" w:sz="8"/>
            </w:tcBorders>
            <w:tcMar>
              <w:left w:w="108" w:type="dxa"/>
              <w:right w:w="108" w:type="dxa"/>
            </w:tcMar>
            <w:vAlign w:val="top"/>
          </w:tcPr>
          <w:p w:rsidR="18A87C4B" w:rsidP="18A87C4B" w:rsidRDefault="18A87C4B" w14:paraId="50DEB5A7" w14:textId="1E95DEA4">
            <w:pPr>
              <w:spacing w:before="240" w:beforeAutospacing="off" w:after="240" w:afterAutospacing="off"/>
              <w:jc w:val="both"/>
            </w:pPr>
            <w:r w:rsidRPr="18A87C4B" w:rsidR="18A87C4B">
              <w:rPr>
                <w:rFonts w:ascii="Arial" w:hAnsi="Arial" w:eastAsia="Arial" w:cs="Arial"/>
                <w:sz w:val="24"/>
                <w:szCs w:val="24"/>
              </w:rPr>
              <w:t>Difficulty in filtering relevant sources</w:t>
            </w:r>
          </w:p>
        </w:tc>
        <w:tc>
          <w:tcPr>
            <w:tcW w:w="1445" w:type="dxa"/>
            <w:tcBorders>
              <w:top w:val="single" w:sz="8"/>
              <w:left w:val="single" w:sz="8"/>
              <w:bottom w:val="single" w:sz="8"/>
              <w:right w:val="single" w:sz="8"/>
            </w:tcBorders>
            <w:tcMar>
              <w:left w:w="108" w:type="dxa"/>
              <w:right w:w="108" w:type="dxa"/>
            </w:tcMar>
            <w:vAlign w:val="top"/>
          </w:tcPr>
          <w:p w:rsidR="18A87C4B" w:rsidP="18A87C4B" w:rsidRDefault="18A87C4B" w14:paraId="65504E95" w14:textId="35F481FD">
            <w:pPr>
              <w:spacing w:before="240" w:beforeAutospacing="off" w:after="240" w:afterAutospacing="off"/>
              <w:jc w:val="both"/>
            </w:pPr>
            <w:r w:rsidRPr="18A87C4B" w:rsidR="18A87C4B">
              <w:rPr>
                <w:rFonts w:ascii="Arial" w:hAnsi="Arial" w:eastAsia="Arial" w:cs="Arial"/>
                <w:sz w:val="24"/>
                <w:szCs w:val="24"/>
              </w:rPr>
              <w:t>University library, Google Scholar, research workshops</w:t>
            </w:r>
          </w:p>
        </w:tc>
        <w:tc>
          <w:tcPr>
            <w:tcW w:w="1356" w:type="dxa"/>
            <w:tcBorders>
              <w:top w:val="single" w:sz="8"/>
              <w:left w:val="single" w:sz="8"/>
              <w:bottom w:val="single" w:sz="8"/>
              <w:right w:val="single" w:sz="8"/>
            </w:tcBorders>
            <w:tcMar>
              <w:left w:w="108" w:type="dxa"/>
              <w:right w:w="108" w:type="dxa"/>
            </w:tcMar>
            <w:vAlign w:val="top"/>
          </w:tcPr>
          <w:p w:rsidR="18A87C4B" w:rsidP="18A87C4B" w:rsidRDefault="18A87C4B" w14:paraId="4B5A7557" w14:textId="0FDBBB34">
            <w:pPr>
              <w:spacing w:before="240" w:beforeAutospacing="off" w:after="240" w:afterAutospacing="off"/>
              <w:jc w:val="both"/>
            </w:pPr>
            <w:r w:rsidRPr="18A87C4B" w:rsidR="18A87C4B">
              <w:rPr>
                <w:rFonts w:ascii="Arial" w:hAnsi="Arial" w:eastAsia="Arial" w:cs="Arial"/>
                <w:sz w:val="24"/>
                <w:szCs w:val="24"/>
              </w:rPr>
              <w:t>Continuous</w:t>
            </w:r>
          </w:p>
        </w:tc>
        <w:tc>
          <w:tcPr>
            <w:tcW w:w="2051" w:type="dxa"/>
            <w:tcBorders>
              <w:top w:val="single" w:sz="8"/>
              <w:left w:val="single" w:sz="8"/>
              <w:bottom w:val="single" w:sz="8"/>
              <w:right w:val="single" w:sz="8"/>
            </w:tcBorders>
            <w:tcMar>
              <w:left w:w="108" w:type="dxa"/>
              <w:right w:w="108" w:type="dxa"/>
            </w:tcMar>
            <w:vAlign w:val="top"/>
          </w:tcPr>
          <w:p w:rsidR="18A87C4B" w:rsidP="18A87C4B" w:rsidRDefault="18A87C4B" w14:paraId="408556C2" w14:textId="6A8C339E">
            <w:pPr>
              <w:spacing w:before="240" w:beforeAutospacing="off" w:after="240" w:afterAutospacing="off"/>
              <w:jc w:val="both"/>
            </w:pPr>
            <w:r w:rsidRPr="18A87C4B" w:rsidR="18A87C4B">
              <w:rPr>
                <w:rFonts w:ascii="Arial" w:hAnsi="Arial" w:eastAsia="Arial" w:cs="Arial"/>
                <w:sz w:val="24"/>
                <w:szCs w:val="24"/>
              </w:rPr>
              <w:t>Making use of librarian consultations</w:t>
            </w:r>
          </w:p>
        </w:tc>
      </w:tr>
    </w:tbl>
    <w:p xmlns:wp14="http://schemas.microsoft.com/office/word/2010/wordml" w:rsidP="18A87C4B" wp14:paraId="5B7B3D19" wp14:textId="0B7BE2C7">
      <w:pPr>
        <w:spacing w:before="240" w:beforeAutospacing="off" w:after="240" w:afterAutospacing="off"/>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3C1F0C1A" wp14:textId="43351FA5">
      <w:pPr>
        <w:spacing w:before="240" w:beforeAutospacing="off" w:after="240" w:afterAutospacing="off"/>
        <w:jc w:val="both"/>
      </w:pPr>
      <w:r w:rsidRPr="18A87C4B" w:rsidR="719CB005">
        <w:rPr>
          <w:rFonts w:ascii="Arial" w:hAnsi="Arial" w:eastAsia="Arial" w:cs="Arial"/>
          <w:noProof w:val="0"/>
          <w:sz w:val="24"/>
          <w:szCs w:val="24"/>
          <w:lang w:val="en-US"/>
        </w:rPr>
        <w:t xml:space="preserve">Reference List: </w:t>
      </w:r>
    </w:p>
    <w:p xmlns:wp14="http://schemas.microsoft.com/office/word/2010/wordml" w:rsidP="18A87C4B" wp14:paraId="07F5C719" wp14:textId="6EFE4D5A">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Bassot, B., 2024. </w:t>
      </w:r>
      <w:r w:rsidRPr="18A87C4B" w:rsidR="719CB005">
        <w:rPr>
          <w:rFonts w:ascii="Arial" w:hAnsi="Arial" w:eastAsia="Arial" w:cs="Arial"/>
          <w:i w:val="1"/>
          <w:iCs w:val="1"/>
          <w:noProof w:val="0"/>
          <w:color w:val="222222"/>
          <w:sz w:val="24"/>
          <w:szCs w:val="24"/>
          <w:lang w:val="en-US"/>
        </w:rPr>
        <w:t>The reflective journal</w:t>
      </w:r>
      <w:r w:rsidRPr="18A87C4B" w:rsidR="719CB005">
        <w:rPr>
          <w:rFonts w:ascii="Arial" w:hAnsi="Arial" w:eastAsia="Arial" w:cs="Arial"/>
          <w:noProof w:val="0"/>
          <w:color w:val="222222"/>
          <w:sz w:val="24"/>
          <w:szCs w:val="24"/>
          <w:lang w:val="en-US"/>
        </w:rPr>
        <w:t>. Bloomsbury Publishing.</w:t>
      </w:r>
    </w:p>
    <w:p xmlns:wp14="http://schemas.microsoft.com/office/word/2010/wordml" w:rsidP="18A87C4B" wp14:paraId="1AB2C7F3" wp14:textId="7214BD4D">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1BC70BDA" wp14:textId="4A1FEFA3">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Pieper, M., Roelle, J., vom Hofe, R., Salle, A. and Berthold, K., 2021. Feedback in reflective journals fosters reflection skills of student teachers. </w:t>
      </w:r>
      <w:r w:rsidRPr="18A87C4B" w:rsidR="719CB005">
        <w:rPr>
          <w:rFonts w:ascii="Arial" w:hAnsi="Arial" w:eastAsia="Arial" w:cs="Arial"/>
          <w:i w:val="1"/>
          <w:iCs w:val="1"/>
          <w:noProof w:val="0"/>
          <w:color w:val="222222"/>
          <w:sz w:val="24"/>
          <w:szCs w:val="24"/>
          <w:lang w:val="en-US"/>
        </w:rPr>
        <w:t>Psychology Learning &amp; Teaching</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20</w:t>
      </w:r>
      <w:r w:rsidRPr="18A87C4B" w:rsidR="719CB005">
        <w:rPr>
          <w:rFonts w:ascii="Arial" w:hAnsi="Arial" w:eastAsia="Arial" w:cs="Arial"/>
          <w:noProof w:val="0"/>
          <w:color w:val="222222"/>
          <w:sz w:val="24"/>
          <w:szCs w:val="24"/>
          <w:lang w:val="en-US"/>
        </w:rPr>
        <w:t>(1), pp.107-127.</w:t>
      </w:r>
    </w:p>
    <w:p xmlns:wp14="http://schemas.microsoft.com/office/word/2010/wordml" w:rsidP="18A87C4B" wp14:paraId="02B4FC52" wp14:textId="71A91CF6">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5D5118FE" wp14:textId="714DF2C2">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Ezezika, O. and Johnston, N., 2023. Development and implementation of a reflective writing assignment for undergraduate students in a large public health biology course. </w:t>
      </w:r>
      <w:r w:rsidRPr="18A87C4B" w:rsidR="719CB005">
        <w:rPr>
          <w:rFonts w:ascii="Arial" w:hAnsi="Arial" w:eastAsia="Arial" w:cs="Arial"/>
          <w:i w:val="1"/>
          <w:iCs w:val="1"/>
          <w:noProof w:val="0"/>
          <w:color w:val="222222"/>
          <w:sz w:val="24"/>
          <w:szCs w:val="24"/>
          <w:lang w:val="en-US"/>
        </w:rPr>
        <w:t>Pedagogy in Health Promotion</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9</w:t>
      </w:r>
      <w:r w:rsidRPr="18A87C4B" w:rsidR="719CB005">
        <w:rPr>
          <w:rFonts w:ascii="Arial" w:hAnsi="Arial" w:eastAsia="Arial" w:cs="Arial"/>
          <w:noProof w:val="0"/>
          <w:color w:val="222222"/>
          <w:sz w:val="24"/>
          <w:szCs w:val="24"/>
          <w:lang w:val="en-US"/>
        </w:rPr>
        <w:t>(2), pp.101-115.</w:t>
      </w:r>
    </w:p>
    <w:p xmlns:wp14="http://schemas.microsoft.com/office/word/2010/wordml" w:rsidP="18A87C4B" wp14:paraId="2722C434" wp14:textId="4DB3127F">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6FC9F236" wp14:textId="7DEAD134">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Hashim, S.N.A., Yaacob, A., Suryani, I., Asraf, R.M., Bahador, Z. and Supian, N., 2023. Exploring the Use of Gibbs' Reflective Model in Enhancing In-Service ESL Teachers' Reflective Writing. </w:t>
      </w:r>
      <w:r w:rsidRPr="18A87C4B" w:rsidR="719CB005">
        <w:rPr>
          <w:rFonts w:ascii="Arial" w:hAnsi="Arial" w:eastAsia="Arial" w:cs="Arial"/>
          <w:i w:val="1"/>
          <w:iCs w:val="1"/>
          <w:noProof w:val="0"/>
          <w:color w:val="222222"/>
          <w:sz w:val="24"/>
          <w:szCs w:val="24"/>
          <w:lang w:val="en-US"/>
        </w:rPr>
        <w:t>Arab World English Journal</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14</w:t>
      </w:r>
      <w:r w:rsidRPr="18A87C4B" w:rsidR="719CB005">
        <w:rPr>
          <w:rFonts w:ascii="Arial" w:hAnsi="Arial" w:eastAsia="Arial" w:cs="Arial"/>
          <w:noProof w:val="0"/>
          <w:color w:val="222222"/>
          <w:sz w:val="24"/>
          <w:szCs w:val="24"/>
          <w:lang w:val="en-US"/>
        </w:rPr>
        <w:t>(2).</w:t>
      </w:r>
    </w:p>
    <w:p xmlns:wp14="http://schemas.microsoft.com/office/word/2010/wordml" w:rsidP="18A87C4B" wp14:paraId="1BF5735A" wp14:textId="5CC11A81">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3A887E16" wp14:textId="7C62C75D">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Harithuddin, A.S.M., 2021. A first experience of using failure report as a reflective tool in engineering education. </w:t>
      </w:r>
      <w:r w:rsidRPr="18A87C4B" w:rsidR="719CB005">
        <w:rPr>
          <w:rFonts w:ascii="Arial" w:hAnsi="Arial" w:eastAsia="Arial" w:cs="Arial"/>
          <w:i w:val="1"/>
          <w:iCs w:val="1"/>
          <w:noProof w:val="0"/>
          <w:color w:val="222222"/>
          <w:sz w:val="24"/>
          <w:szCs w:val="24"/>
          <w:lang w:val="en-US"/>
        </w:rPr>
        <w:t>International Journal of Emerging Technologies in Learning (Online)</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16</w:t>
      </w:r>
      <w:r w:rsidRPr="18A87C4B" w:rsidR="719CB005">
        <w:rPr>
          <w:rFonts w:ascii="Arial" w:hAnsi="Arial" w:eastAsia="Arial" w:cs="Arial"/>
          <w:noProof w:val="0"/>
          <w:color w:val="222222"/>
          <w:sz w:val="24"/>
          <w:szCs w:val="24"/>
          <w:lang w:val="en-US"/>
        </w:rPr>
        <w:t>(18), p.23.</w:t>
      </w:r>
    </w:p>
    <w:p xmlns:wp14="http://schemas.microsoft.com/office/word/2010/wordml" w:rsidP="18A87C4B" wp14:paraId="2F859487" wp14:textId="7C042B5F">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02B918A1" wp14:textId="0683D69B">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Akella, D., Gibbs, A., Gilbert, B., Henry, B., Lee, V., Mathis, D. and Williams, V., 2021. Critical reflection and communities of practice as professional development strategies for educators. </w:t>
      </w:r>
      <w:r w:rsidRPr="18A87C4B" w:rsidR="719CB005">
        <w:rPr>
          <w:rFonts w:ascii="Arial" w:hAnsi="Arial" w:eastAsia="Arial" w:cs="Arial"/>
          <w:i w:val="1"/>
          <w:iCs w:val="1"/>
          <w:noProof w:val="0"/>
          <w:color w:val="222222"/>
          <w:sz w:val="24"/>
          <w:szCs w:val="24"/>
          <w:lang w:val="en-US"/>
        </w:rPr>
        <w:t>International Journal for Cross-Disciplinary Subjects in Education (IJCDSE)</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12</w:t>
      </w:r>
      <w:r w:rsidRPr="18A87C4B" w:rsidR="719CB005">
        <w:rPr>
          <w:rFonts w:ascii="Arial" w:hAnsi="Arial" w:eastAsia="Arial" w:cs="Arial"/>
          <w:noProof w:val="0"/>
          <w:color w:val="222222"/>
          <w:sz w:val="24"/>
          <w:szCs w:val="24"/>
          <w:lang w:val="en-US"/>
        </w:rPr>
        <w:t>(1), pp.4339-4349.</w:t>
      </w:r>
    </w:p>
    <w:p xmlns:wp14="http://schemas.microsoft.com/office/word/2010/wordml" w:rsidP="18A87C4B" wp14:paraId="799521FA" wp14:textId="755C704C">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4AF262F7" wp14:textId="0F0ACE09">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Font Jiménez, I., Ortega Sanz, L., González Pascual, J.L., González Sanz, P., Aguarón García, M.J. and Jiménez-Herrera, M.F., 2023. Reflective based learning for nursing ethical competency during clinical practices. </w:t>
      </w:r>
      <w:r w:rsidRPr="18A87C4B" w:rsidR="719CB005">
        <w:rPr>
          <w:rFonts w:ascii="Arial" w:hAnsi="Arial" w:eastAsia="Arial" w:cs="Arial"/>
          <w:i w:val="1"/>
          <w:iCs w:val="1"/>
          <w:noProof w:val="0"/>
          <w:color w:val="222222"/>
          <w:sz w:val="24"/>
          <w:szCs w:val="24"/>
          <w:lang w:val="en-US"/>
        </w:rPr>
        <w:t>Nursing Ethics</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30</w:t>
      </w:r>
      <w:r w:rsidRPr="18A87C4B" w:rsidR="719CB005">
        <w:rPr>
          <w:rFonts w:ascii="Arial" w:hAnsi="Arial" w:eastAsia="Arial" w:cs="Arial"/>
          <w:noProof w:val="0"/>
          <w:color w:val="222222"/>
          <w:sz w:val="24"/>
          <w:szCs w:val="24"/>
          <w:lang w:val="en-US"/>
        </w:rPr>
        <w:t>(4), pp.598-613.</w:t>
      </w:r>
    </w:p>
    <w:p xmlns:wp14="http://schemas.microsoft.com/office/word/2010/wordml" w:rsidP="18A87C4B" wp14:paraId="1D3149B3" wp14:textId="0066A642">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505216AB" wp14:textId="2AB71F2F">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Amir, H., Permatananda, P.A.N.K., Cahyani, D.D., Langelo, W., Rosita, R., Sajodin, S., Noprianty, R., Astuti, A., Suhari, S., Wahyuningsih, S. and Kusumawati, P.D., 2023. Enhancing skill conceptualization, critical thinking, and nursing knowledge through reflective case discussions: a systematic review. </w:t>
      </w:r>
      <w:r w:rsidRPr="18A87C4B" w:rsidR="719CB005">
        <w:rPr>
          <w:rFonts w:ascii="Arial" w:hAnsi="Arial" w:eastAsia="Arial" w:cs="Arial"/>
          <w:i w:val="1"/>
          <w:iCs w:val="1"/>
          <w:noProof w:val="0"/>
          <w:color w:val="222222"/>
          <w:sz w:val="24"/>
          <w:szCs w:val="24"/>
          <w:lang w:val="en-US"/>
        </w:rPr>
        <w:t>Journal of medicine and life</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16</w:t>
      </w:r>
      <w:r w:rsidRPr="18A87C4B" w:rsidR="719CB005">
        <w:rPr>
          <w:rFonts w:ascii="Arial" w:hAnsi="Arial" w:eastAsia="Arial" w:cs="Arial"/>
          <w:noProof w:val="0"/>
          <w:color w:val="222222"/>
          <w:sz w:val="24"/>
          <w:szCs w:val="24"/>
          <w:lang w:val="en-US"/>
        </w:rPr>
        <w:t>(6), p.851.</w:t>
      </w:r>
    </w:p>
    <w:p xmlns:wp14="http://schemas.microsoft.com/office/word/2010/wordml" w:rsidP="18A87C4B" wp14:paraId="47A5A8B7" wp14:textId="077181F2">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38D49F66" wp14:textId="423D0E78">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Ryder, M. and Downs, C., 2022. Rethinking reflective practice: John Boyd’s OODA loop as an alternative to Kolb. </w:t>
      </w:r>
      <w:r w:rsidRPr="18A87C4B" w:rsidR="719CB005">
        <w:rPr>
          <w:rFonts w:ascii="Arial" w:hAnsi="Arial" w:eastAsia="Arial" w:cs="Arial"/>
          <w:i w:val="1"/>
          <w:iCs w:val="1"/>
          <w:noProof w:val="0"/>
          <w:color w:val="222222"/>
          <w:sz w:val="24"/>
          <w:szCs w:val="24"/>
          <w:lang w:val="en-US"/>
        </w:rPr>
        <w:t>The International Journal of Management Education</w:t>
      </w:r>
      <w:r w:rsidRPr="18A87C4B" w:rsidR="719CB005">
        <w:rPr>
          <w:rFonts w:ascii="Arial" w:hAnsi="Arial" w:eastAsia="Arial" w:cs="Arial"/>
          <w:noProof w:val="0"/>
          <w:color w:val="222222"/>
          <w:sz w:val="24"/>
          <w:szCs w:val="24"/>
          <w:lang w:val="en-US"/>
        </w:rPr>
        <w:t xml:space="preserve">, </w:t>
      </w:r>
      <w:r w:rsidRPr="18A87C4B" w:rsidR="719CB005">
        <w:rPr>
          <w:rFonts w:ascii="Arial" w:hAnsi="Arial" w:eastAsia="Arial" w:cs="Arial"/>
          <w:i w:val="1"/>
          <w:iCs w:val="1"/>
          <w:noProof w:val="0"/>
          <w:color w:val="222222"/>
          <w:sz w:val="24"/>
          <w:szCs w:val="24"/>
          <w:lang w:val="en-US"/>
        </w:rPr>
        <w:t>20</w:t>
      </w:r>
      <w:r w:rsidRPr="18A87C4B" w:rsidR="719CB005">
        <w:rPr>
          <w:rFonts w:ascii="Arial" w:hAnsi="Arial" w:eastAsia="Arial" w:cs="Arial"/>
          <w:noProof w:val="0"/>
          <w:color w:val="222222"/>
          <w:sz w:val="24"/>
          <w:szCs w:val="24"/>
          <w:lang w:val="en-US"/>
        </w:rPr>
        <w:t>(3), p.100703.</w:t>
      </w:r>
    </w:p>
    <w:p xmlns:wp14="http://schemas.microsoft.com/office/word/2010/wordml" w:rsidP="18A87C4B" wp14:paraId="4DF46A3F" wp14:textId="2C18B63F">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 </w:t>
      </w:r>
    </w:p>
    <w:p xmlns:wp14="http://schemas.microsoft.com/office/word/2010/wordml" w:rsidP="18A87C4B" wp14:paraId="18CE685E" wp14:textId="06A6EAAE">
      <w:pPr>
        <w:spacing w:before="0" w:beforeAutospacing="off" w:after="160" w:afterAutospacing="off" w:line="254" w:lineRule="auto"/>
      </w:pPr>
      <w:r w:rsidRPr="18A87C4B" w:rsidR="719CB005">
        <w:rPr>
          <w:rFonts w:ascii="Arial" w:hAnsi="Arial" w:eastAsia="Arial" w:cs="Arial"/>
          <w:noProof w:val="0"/>
          <w:color w:val="222222"/>
          <w:sz w:val="24"/>
          <w:szCs w:val="24"/>
          <w:lang w:val="en-US"/>
        </w:rPr>
        <w:t xml:space="preserve">Daniels, J., 2025. Social work must use its collective voice to advocate with and for, carers rights and their protection from harm. </w:t>
      </w:r>
      <w:r w:rsidRPr="18A87C4B" w:rsidR="719CB005">
        <w:rPr>
          <w:rFonts w:ascii="Arial" w:hAnsi="Arial" w:eastAsia="Arial" w:cs="Arial"/>
          <w:i w:val="1"/>
          <w:iCs w:val="1"/>
          <w:noProof w:val="0"/>
          <w:color w:val="222222"/>
          <w:sz w:val="24"/>
          <w:szCs w:val="24"/>
          <w:lang w:val="en-US"/>
        </w:rPr>
        <w:t>The Journal of Adult Protection</w:t>
      </w:r>
      <w:r w:rsidRPr="18A87C4B" w:rsidR="719CB005">
        <w:rPr>
          <w:rFonts w:ascii="Arial" w:hAnsi="Arial" w:eastAsia="Arial" w:cs="Arial"/>
          <w:noProof w:val="0"/>
          <w:color w:val="222222"/>
          <w:sz w:val="24"/>
          <w:szCs w:val="24"/>
          <w:lang w:val="en-US"/>
        </w:rPr>
        <w:t>.</w:t>
      </w:r>
    </w:p>
    <w:p xmlns:wp14="http://schemas.microsoft.com/office/word/2010/wordml" w:rsidP="18A87C4B" wp14:paraId="204D5275" wp14:textId="1AB6A093">
      <w:pPr>
        <w:spacing w:before="240" w:beforeAutospacing="off" w:after="240" w:afterAutospacing="off"/>
        <w:jc w:val="both"/>
      </w:pPr>
      <w:r w:rsidRPr="18A87C4B" w:rsidR="719CB005">
        <w:rPr>
          <w:rFonts w:ascii="Arial" w:hAnsi="Arial" w:eastAsia="Arial" w:cs="Arial"/>
          <w:noProof w:val="0"/>
          <w:sz w:val="24"/>
          <w:szCs w:val="24"/>
          <w:lang w:val="en-US"/>
        </w:rPr>
        <w:t xml:space="preserve"> </w:t>
      </w:r>
    </w:p>
    <w:p xmlns:wp14="http://schemas.microsoft.com/office/word/2010/wordml" w:rsidP="18A87C4B" wp14:paraId="02637DCD" wp14:textId="4153EDC0">
      <w:pPr>
        <w:spacing w:before="0" w:beforeAutospacing="off" w:after="160" w:afterAutospacing="off" w:line="254" w:lineRule="auto"/>
        <w:rPr>
          <w:rFonts w:ascii="Arial" w:hAnsi="Arial" w:eastAsia="Arial" w:cs="Arial"/>
          <w:noProof w:val="0"/>
          <w:sz w:val="24"/>
          <w:szCs w:val="24"/>
          <w:lang w:val="en-US"/>
        </w:rPr>
      </w:pPr>
    </w:p>
    <w:p xmlns:wp14="http://schemas.microsoft.com/office/word/2010/wordml" wp14:paraId="2C078E63" wp14:textId="341C6F8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50DED4"/>
    <w:rsid w:val="0550DED4"/>
    <w:rsid w:val="18A87C4B"/>
    <w:rsid w:val="719CB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0DED4"/>
  <w15:chartTrackingRefBased/>
  <w15:docId w15:val="{DE6B9BBF-81AE-41F3-9E51-A81CA33D60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2025-03-21T23:52:14.6541136Z</dcterms:created>
  <dcterms:modified xsi:type="dcterms:W3CDTF">2025-03-21T23:52:41.4217788Z</dcterms:modified>
  <dc:creator>Syed Hussain (2408771)</dc:creator>
  <lastModifiedBy>Syed Hussain (2408771)</lastModifiedBy>
</coreProperties>
</file>