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b w:val="1"/>
          <w:sz w:val="32"/>
          <w:szCs w:val="32"/>
          <w:u w:val="single"/>
        </w:rPr>
      </w:pPr>
      <w:r w:rsidDel="00000000" w:rsidR="00000000" w:rsidRPr="00000000">
        <w:rPr>
          <w:b w:val="1"/>
          <w:sz w:val="32"/>
          <w:szCs w:val="32"/>
          <w:u w:val="single"/>
          <w:rtl w:val="0"/>
        </w:rPr>
        <w:t xml:space="preserve">Part  I</w:t>
      </w: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373a3c"/>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b w:val="1"/>
          <w:sz w:val="24"/>
          <w:szCs w:val="24"/>
        </w:rPr>
      </w:pPr>
      <w:r w:rsidDel="00000000" w:rsidR="00000000" w:rsidRPr="00000000">
        <w:rPr>
          <w:b w:val="1"/>
          <w:sz w:val="24"/>
          <w:szCs w:val="24"/>
          <w:rtl w:val="0"/>
        </w:rPr>
        <w:t xml:space="preserve">1.1 Introduction</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Frank and Hatak (2014) refer to a literature review as a “knowledge map”, which analyses and synthesises prior literature.</w:t>
      </w:r>
      <w:r w:rsidDel="00000000" w:rsidR="00000000" w:rsidRPr="00000000">
        <w:rPr>
          <w:rtl w:val="0"/>
        </w:rPr>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373a3c"/>
          <w:sz w:val="24"/>
          <w:szCs w:val="24"/>
        </w:rPr>
      </w:pPr>
      <w:r w:rsidDel="00000000" w:rsidR="00000000" w:rsidRPr="00000000">
        <w:rPr>
          <w:rtl w:val="0"/>
        </w:rPr>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A critical literature review is the essential component of doctoral research that provides  an overview of the existing research and knowledge in a particular field.This vital step follows our choice of the research topic leading us to map the literature creating our own database of concepts under the review. The literature review is a foundation on which current knowledge is advanced, new research areas are identified and novel theories evolve (</w:t>
      </w:r>
      <w:r w:rsidDel="00000000" w:rsidR="00000000" w:rsidRPr="00000000">
        <w:rPr>
          <w:sz w:val="24"/>
          <w:szCs w:val="24"/>
          <w:rtl w:val="0"/>
        </w:rPr>
        <w:t xml:space="preserve">Webster and Watson 2002). It also represents a subsequent narrowing down of the research question starting from broader general themes of the literature (</w:t>
      </w:r>
      <w:r w:rsidDel="00000000" w:rsidR="00000000" w:rsidRPr="00000000">
        <w:rPr>
          <w:sz w:val="24"/>
          <w:szCs w:val="24"/>
          <w:rtl w:val="0"/>
        </w:rPr>
        <w:t xml:space="preserve">Lenart and Berdanier 2020)</w:t>
      </w:r>
      <w:r w:rsidDel="00000000" w:rsidR="00000000" w:rsidRPr="00000000">
        <w:rPr>
          <w:sz w:val="24"/>
          <w:szCs w:val="24"/>
          <w:rtl w:val="0"/>
        </w:rPr>
        <w:t xml:space="preserve">. In other words, the reviewing activity follows an inverted triangle diagram in which the base is broader as it appears when the triangle is inverted and the questions of research keep becoming specific/focussed towards the tip of the triangle. It is aptly described by Kitchenham and Charters (2007) that a research question steers the whole process of the literature review.</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45818e"/>
          <w:sz w:val="24"/>
          <w:szCs w:val="24"/>
          <w:highlight w:val="green"/>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The purpose of a critical literature review is to evaluate and synthesise relevant literature, identify gaps in current knowledge, and provide a foundation for further research. A critical review aims to demonstrate that the writer has extensively researched the literature and critically evaluated its quality.</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Literature Reviews vary in their purpose, content and format depending upon the needs and orientation of the researcher. As stated in Cooper (1988) famous taxonomy of literature reviews, their classification is based on central themes of the research question, perspective, whether or if the researcher is neutral or has </w:t>
      </w:r>
      <w:r w:rsidDel="00000000" w:rsidR="00000000" w:rsidRPr="00000000">
        <w:rPr>
          <w:sz w:val="24"/>
          <w:szCs w:val="24"/>
          <w:rtl w:val="0"/>
        </w:rPr>
        <w:t xml:space="preserve">biased</w:t>
      </w:r>
      <w:r w:rsidDel="00000000" w:rsidR="00000000" w:rsidRPr="00000000">
        <w:rPr>
          <w:sz w:val="24"/>
          <w:szCs w:val="24"/>
          <w:rtl w:val="0"/>
        </w:rPr>
        <w:t xml:space="preserve"> approach that could influence the research outcomes, aim including to critically analyse the literature and integrating perspectives, </w:t>
      </w:r>
      <w:r w:rsidDel="00000000" w:rsidR="00000000" w:rsidRPr="00000000">
        <w:rPr>
          <w:sz w:val="24"/>
          <w:szCs w:val="24"/>
          <w:rtl w:val="0"/>
        </w:rPr>
        <w:t xml:space="preserve">extant</w:t>
      </w:r>
      <w:r w:rsidDel="00000000" w:rsidR="00000000" w:rsidRPr="00000000">
        <w:rPr>
          <w:sz w:val="24"/>
          <w:szCs w:val="24"/>
          <w:rtl w:val="0"/>
        </w:rPr>
        <w:t xml:space="preserve"> of literature to be covered, if it is exhaustive or selective, the structure and the audience ranging from scholars and students to the general public.</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A promising literature review at level eight in its format assesses and tracks the developments taking place in the research by identifying the factors shaping the future.This opens avenues for future research making literature review a live working document open to amendments as the topic evolves in ever changing academic and social reality.</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In this report, I will comprehensively explore the purpose, content, and format of a critical literature review for doctoral research.</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b w:val="1"/>
          <w:sz w:val="24"/>
          <w:szCs w:val="24"/>
        </w:rPr>
      </w:pPr>
      <w:r w:rsidDel="00000000" w:rsidR="00000000" w:rsidRPr="00000000">
        <w:rPr>
          <w:b w:val="1"/>
          <w:sz w:val="24"/>
          <w:szCs w:val="24"/>
          <w:rtl w:val="0"/>
        </w:rPr>
        <w:t xml:space="preserve">1.2 Understanding a critical literature review for doctoral research</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As the domains of knowledge expand to contribute to knowledge creation in various disciplines, critical literature reviews have gained currency in the last few decades. A literature review is not only a method to identify, evaluate and synthesise an existing work but also is systematic and explicit in its character as drafted by practitioners and researchers (Fink 2005). </w:t>
      </w:r>
      <w:r w:rsidDel="00000000" w:rsidR="00000000" w:rsidRPr="00000000">
        <w:rPr>
          <w:sz w:val="24"/>
          <w:szCs w:val="24"/>
          <w:rtl w:val="0"/>
        </w:rPr>
        <w:t xml:space="preserve">A yet another definition proposed by </w:t>
      </w:r>
      <w:r w:rsidDel="00000000" w:rsidR="00000000" w:rsidRPr="00000000">
        <w:rPr>
          <w:sz w:val="24"/>
          <w:szCs w:val="24"/>
          <w:rtl w:val="0"/>
        </w:rPr>
        <w:t xml:space="preserve">Booth et. al (2016) and Fink (2005) explains that literature review identifies, evaluates and breaks down the existing literature using a clear and methodical approach. At the doctoral level, a literature review is considered an important part of the research where a researcher not only has to engage with varied theoretical and conceptual frameworks relating to their research question, but also, have to consider the epistemological position</w:t>
      </w:r>
      <w:r w:rsidDel="00000000" w:rsidR="00000000" w:rsidRPr="00000000">
        <w:rPr>
          <w:sz w:val="24"/>
          <w:szCs w:val="24"/>
          <w:rtl w:val="0"/>
        </w:rPr>
        <w:t xml:space="preserve"> and current debates pertinent to their topic (Wisker 2015). As discussed above, it is understood that a literature review is a  systematic process to summarise different viewpoints on a subject matter in a sequential manner . </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But a question still remains as to what is a critical literature review at doctoral level? </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There are different types of literature reviews, however a large-scale relativity in literature review is shown by the categorisation put forward by Grant &amp; Booth (2009). They have identified 14 types of literature reviews as rapid; critical, systematic search and reviews; literature review; mapping/systematic map; mixed studies; meta analysis; umbrella; overview; rapid;state of the art, qualitative systematic; scoping and systematised. However, there is no particular definition of critical literature review.</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According to </w:t>
      </w:r>
      <w:r w:rsidDel="00000000" w:rsidR="00000000" w:rsidRPr="00000000">
        <w:rPr>
          <w:sz w:val="24"/>
          <w:szCs w:val="24"/>
          <w:rtl w:val="0"/>
        </w:rPr>
        <w:t xml:space="preserve">Paré et al. (2015), </w:t>
      </w:r>
      <w:r w:rsidDel="00000000" w:rsidR="00000000" w:rsidRPr="00000000">
        <w:rPr>
          <w:sz w:val="24"/>
          <w:szCs w:val="24"/>
          <w:rtl w:val="0"/>
        </w:rPr>
        <w:t xml:space="preserve">a critical literature review compares a specific literature to an established set of standards. For instance, a reviewer can set his/her own benchmark of minimum requirements, inclusion or rejection criterion. An element of criticality is introduced in reviewing a scholarship when the researcher/practitioner combines  his/her own knowledge with the understanding of the subject, evaluating the context based on our judgement along with a sharp skill to organise the ideas logically and clearly (Saunders and Rojan 2011). The conducting of a critical literature review requires extensive knowledge and is complex cognitive exercise. An ability to segregate facts from opinions based on fact or data based evidence is a primary requirement for such a review (ibid.). Thus, a critical review contextualises the existing literature lending clarity to what is known and not known about the area of research.</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At a doctoral level, it is pertinent to understand the concept of reflective learning in practice (McGhee et al., 2007) evidencing their intellectual growth using chosen methodology. As opined by Le Compte et al., (2003), every literature review holds within it the potential of becoming a ‘legitimate and publishable scholarly document.’ Therefore, it is important that level eight students demonstrate that they are familiar with seminal works and scholars in their respective fields to add quality to their reviews. In addition to this, students are expected to show an understanding of the key theories, phenomenon, vocabulary, historical background and variables in their reviews (Randolph, 2009).</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b w:val="1"/>
          <w:sz w:val="24"/>
          <w:szCs w:val="24"/>
        </w:rPr>
      </w:pPr>
      <w:r w:rsidDel="00000000" w:rsidR="00000000" w:rsidRPr="00000000">
        <w:rPr>
          <w:b w:val="1"/>
          <w:sz w:val="24"/>
          <w:szCs w:val="24"/>
          <w:rtl w:val="0"/>
        </w:rPr>
        <w:t xml:space="preserve">1.3 Purpose, Content and Format of a literature review</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As is elucidated above, a literature review is an important part of any research project (Fisch &amp; Block 2018). It is due to this prevalence that there is a plethora of literature available on the aims, the subject matter and pattern of a literature review. As described by Cresswell (2012), the purpose of a literature review is to categorise study material to be able to evaluate the level and stage of development in a specific area by tracking the previous/existing works of other scholars, so that unique methods explaining and understanding the research topic are formulated and contradictions are resolved. Cresswall (2014) presents the students with three purposes of literature review namely (a) sharing the results of existing research work (b) positioning the study in relation to ongoing developments to fill gaps and expanding literature (c) providing a structure for comparison of research. The writer (ibid) cautions against the duplication of study and waste of energy , time and resources. </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Torraco (2016) highlights five goals of literature review such as (a) review, update and critique the literature; (b) conducting meta analysis of the literature; (c) review, critique and synthesise the literature; (d) reconceptualise the topic; (e) answer specific research questions. Cresswell (2014) finds support in Foss (2017), when it is stated by Foss that a literature review familiarises our readers with key concepts of the study and allows us not only to engage into a conversation with our readers but also carry the dialogue forward from where it started. From the above discussion, it is clear that the purpose of literature depends on the research question corroborated by the philosophical and epistemological stance of the researcher in relation to his study (Machi 2022).</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Now, we briefly discuss the content and format of literature reviews. The study of literature reviews as is evident from the discussion in this work demonstrates that there is no standardised format and content that could be applied to all the reviews. As per the Publication Manual of the American Psychological Association (2010), there are various ways in which the content of a literature review could be arranged. For instance, the research could be grouped on the basis of similar theories or concepts, methodology or the historical background of the field of research. Generally speaking, the reviewer begins the exercise by selecting a topic to review and developing an understanding of the known and unknown aspects of the research question. However, the element of criticality is added to the review only when the reviewer establishes a correlation between his own assertions, previous and existing research and with his target audience  evidencing a logical flow of arguments/findings in the literature review (Wallace &amp; Wray 2016). </w:t>
      </w:r>
      <w:r w:rsidDel="00000000" w:rsidR="00000000" w:rsidRPr="00000000">
        <w:rPr>
          <w:sz w:val="24"/>
          <w:szCs w:val="24"/>
          <w:rtl w:val="0"/>
        </w:rPr>
        <w:t xml:space="preserve">Thus, critical analysis in reading and writing, starting from critical thinking, is an integral part of literature review at doctorate level.</w:t>
      </w:r>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The academic traditions call for a coherent structure for presenting the review and its findings. Fisch &amp; Block (2018) outline six suggestions on the format of the literature review. They suggest students clearly develop and state their research question followed by a systematic identification of the relevant/key literature remaining cautious that all relevant literature could be included but only key literature requires a detailed description. An important feature of these writers' format for literature review is that it must be concept centric, i.e underlying concepts are carefully identified and evaluated to guide towards a better structure of the manuscript and a structured layout. The last two steps include drawing meaningful conclusions and making future </w:t>
      </w:r>
      <w:r w:rsidDel="00000000" w:rsidR="00000000" w:rsidRPr="00000000">
        <w:rPr>
          <w:sz w:val="24"/>
          <w:szCs w:val="24"/>
          <w:rtl w:val="0"/>
        </w:rPr>
        <w:t xml:space="preserve">recommendations</w:t>
      </w:r>
      <w:r w:rsidDel="00000000" w:rsidR="00000000" w:rsidRPr="00000000">
        <w:rPr>
          <w:sz w:val="24"/>
          <w:szCs w:val="24"/>
          <w:rtl w:val="0"/>
        </w:rPr>
        <w:t xml:space="preserve"> keeping within the boundaries of the review (ibid). This step could also be added to the body of the literature review depending upon the review`s topic. Nonetheless, the content and format of critical literature review involves deriving implications , highlighting the gaps in literature and outlining the avenues for future research</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b w:val="1"/>
          <w:sz w:val="24"/>
          <w:szCs w:val="24"/>
        </w:rPr>
      </w:pPr>
      <w:r w:rsidDel="00000000" w:rsidR="00000000" w:rsidRPr="00000000">
        <w:rPr>
          <w:b w:val="1"/>
          <w:sz w:val="24"/>
          <w:szCs w:val="24"/>
          <w:rtl w:val="0"/>
        </w:rPr>
        <w:t xml:space="preserve">1.4 Conclusion</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b w:val="1"/>
          <w:sz w:val="24"/>
          <w:szCs w:val="24"/>
        </w:rPr>
      </w:pP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In summary, it is clearly derived from the aforementioned discussion that writing a literature review is an iterative and a flexible process. As a reviewer, engaging with a vast range of audience, one must use language and tone that has constructive and developmental underpinnings as being overly critical brings in writer bias affecting the quality of literature review, hence the final product.</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To conclude, the reviewers while conducting a critical literature review can follow the golden rule put forth by </w:t>
      </w:r>
      <w:r w:rsidDel="00000000" w:rsidR="00000000" w:rsidRPr="00000000">
        <w:rPr>
          <w:sz w:val="24"/>
          <w:szCs w:val="24"/>
          <w:rtl w:val="0"/>
        </w:rPr>
        <w:t xml:space="preserve">Struck</w:t>
      </w:r>
      <w:r w:rsidDel="00000000" w:rsidR="00000000" w:rsidRPr="00000000">
        <w:rPr>
          <w:sz w:val="24"/>
          <w:szCs w:val="24"/>
          <w:rtl w:val="0"/>
        </w:rPr>
        <w:t xml:space="preserve"> &amp; White (1979), “omit the needless word”.</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Literature Review</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37">
      <w:pPr>
        <w:spacing w:line="360" w:lineRule="auto"/>
        <w:jc w:val="both"/>
        <w:rPr>
          <w:sz w:val="24"/>
          <w:szCs w:val="24"/>
        </w:rPr>
      </w:pPr>
      <w:r w:rsidDel="00000000" w:rsidR="00000000" w:rsidRPr="00000000">
        <w:rPr>
          <w:sz w:val="24"/>
          <w:szCs w:val="24"/>
          <w:highlight w:val="yellow"/>
          <w:rtl w:val="0"/>
        </w:rPr>
        <w:t xml:space="preserve">In</w:t>
      </w:r>
      <w:r w:rsidDel="00000000" w:rsidR="00000000" w:rsidRPr="00000000">
        <w:rPr>
          <w:sz w:val="24"/>
          <w:szCs w:val="24"/>
          <w:rtl w:val="0"/>
        </w:rPr>
        <w:t xml:space="preserve"> the words of Wilson (2007), it is of great significance to understand how people within the corporate field interpret or think about expanding human rights, in order to get a deeper insight into the localisation of human rights. The local NGOs, activists and consultants have the ability to navigate between transnational and local perspectives as they possess the flexibility to understand varied world views, norms, practices, values acting as translators (Levitt &amp; Merry 2009). Similarly, Golan &amp; Orr 2012 emphasises the importance of these external actors who they state that acquire a liminal position which situates them on the borders between different groups allowing them to effectively mediate and facilitate a cross cultural dialogue, negotiating conflict and promoting an understanding and communication with all the involved stakeholders, thus playing a vital role in expanding the legal anthropology (Golan &amp; Orr 2012).</w:t>
      </w:r>
    </w:p>
    <w:p w:rsidR="00000000" w:rsidDel="00000000" w:rsidP="00000000" w:rsidRDefault="00000000" w:rsidRPr="00000000" w14:paraId="00000038">
      <w:pPr>
        <w:spacing w:line="360" w:lineRule="auto"/>
        <w:jc w:val="both"/>
        <w:rPr>
          <w:sz w:val="24"/>
          <w:szCs w:val="24"/>
        </w:rPr>
      </w:pPr>
      <w:r w:rsidDel="00000000" w:rsidR="00000000" w:rsidRPr="00000000">
        <w:rPr>
          <w:rtl w:val="0"/>
        </w:rPr>
      </w:r>
    </w:p>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From the study of above literature, it is understood that both internal actors, i.e people who work in the corporations and external experts could occupy this liminal position, which enables them to move between corporate and universal human rights discourse (Merry 2006a). Apart from this the literature reveals that corporations are gaining prominence in global governance by becoming key players in the realms of human rights as they translate and exercise discursive powers concerning human rights (Sarfaty 2012, 2021). However, the concept of HRDD conflicts with the fundamental corporate objective, which is to maximise profit, prioritising their own financial gains at the cost of vulnerable people. In fact, Muchlinski (2012) makes an accurate observation that most of the corporate governance theories focus on increasing the shareholder value. Human rights considerations, such as protecting the rights of workers, communities and vulnerable groups, may require corporations to make decisions that do not solely prioritise financial gains (ibid). It is argued that this tension raises challenges for corporations in reconciling their economic objectives with their responsibilities towards the UNGP framework of respect, </w:t>
      </w:r>
      <w:r w:rsidDel="00000000" w:rsidR="00000000" w:rsidRPr="00000000">
        <w:rPr>
          <w:sz w:val="24"/>
          <w:szCs w:val="24"/>
          <w:rtl w:val="0"/>
        </w:rPr>
        <w:t xml:space="preserve">protect</w:t>
      </w:r>
      <w:r w:rsidDel="00000000" w:rsidR="00000000" w:rsidRPr="00000000">
        <w:rPr>
          <w:sz w:val="24"/>
          <w:szCs w:val="24"/>
          <w:rtl w:val="0"/>
        </w:rPr>
        <w:t xml:space="preserve"> and remedy and the HRDD mechanisms.</w:t>
      </w:r>
    </w:p>
    <w:p w:rsidR="00000000" w:rsidDel="00000000" w:rsidP="00000000" w:rsidRDefault="00000000" w:rsidRPr="00000000" w14:paraId="0000003A">
      <w:pPr>
        <w:spacing w:line="360" w:lineRule="auto"/>
        <w:jc w:val="both"/>
        <w:rPr>
          <w:sz w:val="24"/>
          <w:szCs w:val="24"/>
        </w:rPr>
      </w:pPr>
      <w:r w:rsidDel="00000000" w:rsidR="00000000" w:rsidRPr="00000000">
        <w:rPr>
          <w:rtl w:val="0"/>
        </w:rPr>
      </w:r>
    </w:p>
    <w:p w:rsidR="00000000" w:rsidDel="00000000" w:rsidP="00000000" w:rsidRDefault="00000000" w:rsidRPr="00000000" w14:paraId="0000003B">
      <w:pPr>
        <w:spacing w:line="360" w:lineRule="auto"/>
        <w:jc w:val="both"/>
        <w:rPr>
          <w:sz w:val="24"/>
          <w:szCs w:val="24"/>
        </w:rPr>
      </w:pPr>
      <w:r w:rsidDel="00000000" w:rsidR="00000000" w:rsidRPr="00000000">
        <w:rPr>
          <w:sz w:val="24"/>
          <w:szCs w:val="24"/>
          <w:rtl w:val="0"/>
        </w:rPr>
        <w:t xml:space="preserve">The UNGPs emphasis on HRDD is a pragmatic approach that makes human rights resonate with the business community in the present day context (Bonnitcha &amp; McCorquodale 2017). This framework employs a consensus building approach using the strategic language of business and management to develop the human rights principles in the field of business and management (Buhmann 2012). The role of effective terminology is also highlighted by McPhail &amp; Ferguson (2016), as they mention that Reporting and Assurance Framework has also supported the cause of corporate accountability in the business world. The inherent qualitative nature of human rights, being based on the individual lived experience of the rights holders, makes it complex for companies to measure or map the impact of their operations on human rights in the same way as they are accustomed to measure other types of impact (Maher 2020). The rise of ethical audits as a means to assess corporate performance on human rights has its underpinnings in the managerialist approach propagated by the UNGPs (Maher et al. 2021a, 2021b). From the understanding of the literature, it is argued that such audits and internal HRDD reporting often prioritise quantification, measurement and economic objectives which may overshadow the subjective experiences of the affected individuals thus making the application of human rights framework in business practice, a distant goal.</w:t>
      </w:r>
    </w:p>
    <w:p w:rsidR="00000000" w:rsidDel="00000000" w:rsidP="00000000" w:rsidRDefault="00000000" w:rsidRPr="00000000" w14:paraId="0000003C">
      <w:pPr>
        <w:spacing w:line="360" w:lineRule="auto"/>
        <w:jc w:val="both"/>
        <w:rPr>
          <w:sz w:val="24"/>
          <w:szCs w:val="24"/>
        </w:rPr>
      </w:pPr>
      <w:r w:rsidDel="00000000" w:rsidR="00000000" w:rsidRPr="00000000">
        <w:rPr>
          <w:rtl w:val="0"/>
        </w:rPr>
      </w:r>
    </w:p>
    <w:p w:rsidR="00000000" w:rsidDel="00000000" w:rsidP="00000000" w:rsidRDefault="00000000" w:rsidRPr="00000000" w14:paraId="0000003D">
      <w:pPr>
        <w:spacing w:line="360" w:lineRule="auto"/>
        <w:jc w:val="both"/>
        <w:rPr>
          <w:sz w:val="24"/>
          <w:szCs w:val="24"/>
        </w:rPr>
      </w:pPr>
      <w:r w:rsidDel="00000000" w:rsidR="00000000" w:rsidRPr="00000000">
        <w:rPr>
          <w:sz w:val="24"/>
          <w:szCs w:val="24"/>
          <w:rtl w:val="0"/>
        </w:rPr>
        <w:t xml:space="preserve">The biggest threat that incorporation of human rights into business and management realms encounters is that if the box ticking and quantifiable metrics approach of the TNCs/MNCs help in addressing the grievances related to corporate human rights approach? The literature is replete with grey areas in this segment as much it remains the same in defining corporate responsibility and accountability. In context of the aforementioned, one is reminded of the words of Scheper (2015) that in such a scenario of audits and following a box ticking approach, the human rights world becomes merely a piece of paper that needs to be managed and accounted for without any actual or constructive engagement. Corporate wrongdoing is not a new phenomenon, in fact, deviant practices become part of the regular work culture of a TNC/MNC (Sykes &amp; Matza 1957), in some cases also becoming part of the mainstream organisational and decision making practice (Janis 1972). The field of management studies on organisational crime has its bearings in the subject of criminology or psychology, </w:t>
      </w:r>
      <w:r w:rsidDel="00000000" w:rsidR="00000000" w:rsidRPr="00000000">
        <w:rPr>
          <w:i w:val="1"/>
          <w:sz w:val="24"/>
          <w:szCs w:val="24"/>
          <w:rtl w:val="0"/>
        </w:rPr>
        <w:t xml:space="preserve">per se,</w:t>
      </w:r>
      <w:r w:rsidDel="00000000" w:rsidR="00000000" w:rsidRPr="00000000">
        <w:rPr>
          <w:sz w:val="24"/>
          <w:szCs w:val="24"/>
          <w:rtl w:val="0"/>
        </w:rPr>
        <w:t xml:space="preserve"> no engagement with international business and human rights scholarship. This is despite the evidence of wrongdoings of corporates as is exhibited in case law </w:t>
      </w:r>
      <w:hyperlink r:id="rId7">
        <w:r w:rsidDel="00000000" w:rsidR="00000000" w:rsidRPr="00000000">
          <w:rPr>
            <w:i w:val="1"/>
            <w:sz w:val="24"/>
            <w:szCs w:val="24"/>
            <w:rtl w:val="0"/>
          </w:rPr>
          <w:t xml:space="preserve">Vedanta Resources PLC and another v. Lungowe and others</w:t>
        </w:r>
      </w:hyperlink>
      <w:hyperlink r:id="rId8">
        <w:r w:rsidDel="00000000" w:rsidR="00000000" w:rsidRPr="00000000">
          <w:rPr>
            <w:sz w:val="24"/>
            <w:szCs w:val="24"/>
            <w:rtl w:val="0"/>
          </w:rPr>
          <w:t xml:space="preserve"> [2019] UKSC</w:t>
        </w:r>
      </w:hyperlink>
      <w:r w:rsidDel="00000000" w:rsidR="00000000" w:rsidRPr="00000000">
        <w:rPr>
          <w:sz w:val="24"/>
          <w:szCs w:val="24"/>
          <w:vertAlign w:val="superscript"/>
        </w:rPr>
        <w:footnoteReference w:customMarkFollows="0" w:id="0"/>
      </w:r>
      <w:r w:rsidDel="00000000" w:rsidR="00000000" w:rsidRPr="00000000">
        <w:rPr>
          <w:sz w:val="24"/>
          <w:szCs w:val="24"/>
          <w:rtl w:val="0"/>
        </w:rPr>
        <w:t xml:space="preserve">, Okpabi v Royal Dutch Shell Plc [2021] UKSC 3</w:t>
      </w:r>
      <w:r w:rsidDel="00000000" w:rsidR="00000000" w:rsidRPr="00000000">
        <w:rPr>
          <w:sz w:val="24"/>
          <w:szCs w:val="24"/>
          <w:vertAlign w:val="superscript"/>
        </w:rPr>
        <w:footnoteReference w:customMarkFollows="0" w:id="1"/>
      </w:r>
      <w:r w:rsidDel="00000000" w:rsidR="00000000" w:rsidRPr="00000000">
        <w:rPr>
          <w:sz w:val="24"/>
          <w:szCs w:val="24"/>
          <w:rtl w:val="0"/>
        </w:rPr>
        <w:t xml:space="preserve"> . The judgements in these cases show the readiness of the courts to remedy the wrongdoings of the state and the corporations when they fail to protect human rights. But as has been identified through the various aspects of HRDD, NAPs, Audits frameworks, there remains a wide chasm which needs to be bridged in bringing about a convergence in the HRDD practices across the corporate sector in the UK and across the globe in consonance with the UNGPs.</w:t>
      </w:r>
    </w:p>
    <w:p w:rsidR="00000000" w:rsidDel="00000000" w:rsidP="00000000" w:rsidRDefault="00000000" w:rsidRPr="00000000" w14:paraId="0000003E">
      <w:pPr>
        <w:spacing w:line="360" w:lineRule="auto"/>
        <w:jc w:val="both"/>
        <w:rPr>
          <w:sz w:val="24"/>
          <w:szCs w:val="24"/>
        </w:rPr>
      </w:pPr>
      <w:r w:rsidDel="00000000" w:rsidR="00000000" w:rsidRPr="00000000">
        <w:rPr>
          <w:rtl w:val="0"/>
        </w:rPr>
      </w:r>
    </w:p>
    <w:p w:rsidR="00000000" w:rsidDel="00000000" w:rsidP="00000000" w:rsidRDefault="00000000" w:rsidRPr="00000000" w14:paraId="0000003F">
      <w:pPr>
        <w:spacing w:line="360" w:lineRule="auto"/>
        <w:jc w:val="both"/>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040">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41">
      <w:pPr>
        <w:spacing w:line="360" w:lineRule="auto"/>
        <w:jc w:val="both"/>
        <w:rPr>
          <w:sz w:val="24"/>
          <w:szCs w:val="24"/>
        </w:rPr>
      </w:pPr>
      <w:r w:rsidDel="00000000" w:rsidR="00000000" w:rsidRPr="00000000">
        <w:rPr>
          <w:sz w:val="24"/>
          <w:szCs w:val="24"/>
          <w:rtl w:val="0"/>
        </w:rPr>
        <w:t xml:space="preserve">This literature review outlines some common themes pertaining to the UNGPs framework and the key HRDD mechanisms. In conclusion, it is asserted that HRDD does have the transformational prowess to address the corporate harms and enhance the corporate accountability. In the context of literature reviewed at this stage, it is contended that the effective incorporation of UNGPs and HRDD could only be envisioned if states and corporations work in tandem with the rights holders to develop a right holder centred legally binding corporate accountability framework. Addressing these challenges involve engaging with the corporate sector to promote a better understanding of human rights and the value of HRDD. It requires exploring ways to align economic interests with the human rights principles and finding mutually beneficial approaches that uphold human rights while also contributing to the long term business sustainability.</w:t>
      </w:r>
    </w:p>
    <w:p w:rsidR="00000000" w:rsidDel="00000000" w:rsidP="00000000" w:rsidRDefault="00000000" w:rsidRPr="00000000" w14:paraId="00000042">
      <w:pPr>
        <w:spacing w:line="360" w:lineRule="auto"/>
        <w:jc w:val="both"/>
        <w:rPr>
          <w:sz w:val="24"/>
          <w:szCs w:val="24"/>
        </w:rPr>
      </w:pPr>
      <w:r w:rsidDel="00000000" w:rsidR="00000000" w:rsidRPr="00000000">
        <w:rPr>
          <w:rtl w:val="0"/>
        </w:rPr>
      </w:r>
    </w:p>
    <w:p w:rsidR="00000000" w:rsidDel="00000000" w:rsidP="00000000" w:rsidRDefault="00000000" w:rsidRPr="00000000" w14:paraId="00000043">
      <w:pPr>
        <w:spacing w:line="360" w:lineRule="auto"/>
        <w:jc w:val="both"/>
        <w:rPr>
          <w:sz w:val="24"/>
          <w:szCs w:val="24"/>
        </w:rPr>
      </w:pPr>
      <w:r w:rsidDel="00000000" w:rsidR="00000000" w:rsidRPr="00000000">
        <w:rPr>
          <w:rtl w:val="0"/>
        </w:rPr>
      </w:r>
    </w:p>
    <w:p w:rsidR="00000000" w:rsidDel="00000000" w:rsidP="00000000" w:rsidRDefault="00000000" w:rsidRPr="00000000" w14:paraId="00000044">
      <w:pPr>
        <w:spacing w:line="360" w:lineRule="auto"/>
        <w:jc w:val="both"/>
        <w:rPr>
          <w:sz w:val="24"/>
          <w:szCs w:val="24"/>
        </w:rPr>
      </w:pPr>
      <w:r w:rsidDel="00000000" w:rsidR="00000000" w:rsidRPr="00000000">
        <w:rPr>
          <w:rtl w:val="0"/>
        </w:rPr>
      </w:r>
    </w:p>
    <w:p w:rsidR="00000000" w:rsidDel="00000000" w:rsidP="00000000" w:rsidRDefault="00000000" w:rsidRPr="00000000" w14:paraId="00000045">
      <w:pPr>
        <w:spacing w:line="360" w:lineRule="auto"/>
        <w:jc w:val="both"/>
        <w:rPr>
          <w:sz w:val="24"/>
          <w:szCs w:val="24"/>
        </w:rPr>
      </w:pPr>
      <w:r w:rsidDel="00000000" w:rsidR="00000000" w:rsidRPr="00000000">
        <w:rPr>
          <w:rtl w:val="0"/>
        </w:rPr>
      </w:r>
    </w:p>
    <w:p w:rsidR="00000000" w:rsidDel="00000000" w:rsidP="00000000" w:rsidRDefault="00000000" w:rsidRPr="00000000" w14:paraId="00000046">
      <w:pPr>
        <w:spacing w:line="360" w:lineRule="auto"/>
        <w:jc w:val="both"/>
        <w:rPr>
          <w:sz w:val="24"/>
          <w:szCs w:val="24"/>
        </w:rPr>
      </w:pPr>
      <w:r w:rsidDel="00000000" w:rsidR="00000000" w:rsidRPr="00000000">
        <w:rPr>
          <w:rtl w:val="0"/>
        </w:rPr>
      </w:r>
    </w:p>
    <w:p w:rsidR="00000000" w:rsidDel="00000000" w:rsidP="00000000" w:rsidRDefault="00000000" w:rsidRPr="00000000" w14:paraId="00000047">
      <w:pPr>
        <w:spacing w:line="360" w:lineRule="auto"/>
        <w:jc w:val="both"/>
        <w:rPr>
          <w:sz w:val="24"/>
          <w:szCs w:val="24"/>
        </w:rPr>
      </w:pPr>
      <w:r w:rsidDel="00000000" w:rsidR="00000000" w:rsidRPr="00000000">
        <w:rPr>
          <w:rtl w:val="0"/>
        </w:rPr>
      </w:r>
    </w:p>
    <w:p w:rsidR="00000000" w:rsidDel="00000000" w:rsidP="00000000" w:rsidRDefault="00000000" w:rsidRPr="00000000" w14:paraId="00000048">
      <w:pPr>
        <w:spacing w:line="360" w:lineRule="auto"/>
        <w:jc w:val="both"/>
        <w:rPr>
          <w:sz w:val="24"/>
          <w:szCs w:val="24"/>
          <w:highlight w:val="yellow"/>
        </w:rPr>
      </w:pPr>
      <w:r w:rsidDel="00000000" w:rsidR="00000000" w:rsidRPr="00000000">
        <w:rPr>
          <w:rtl w:val="0"/>
        </w:rPr>
      </w:r>
    </w:p>
    <w:p w:rsidR="00000000" w:rsidDel="00000000" w:rsidP="00000000" w:rsidRDefault="00000000" w:rsidRPr="00000000" w14:paraId="00000049">
      <w:pPr>
        <w:spacing w:line="360" w:lineRule="auto"/>
        <w:jc w:val="both"/>
        <w:rPr>
          <w:sz w:val="24"/>
          <w:szCs w:val="24"/>
          <w:highlight w:val="yellow"/>
        </w:rPr>
      </w:pPr>
      <w:r w:rsidDel="00000000" w:rsidR="00000000" w:rsidRPr="00000000">
        <w:rPr>
          <w:rtl w:val="0"/>
        </w:rPr>
      </w:r>
    </w:p>
    <w:p w:rsidR="00000000" w:rsidDel="00000000" w:rsidP="00000000" w:rsidRDefault="00000000" w:rsidRPr="00000000" w14:paraId="0000004A">
      <w:pPr>
        <w:jc w:val="both"/>
        <w:rPr/>
      </w:pPr>
      <w:r w:rsidDel="00000000" w:rsidR="00000000" w:rsidRPr="00000000">
        <w:rPr>
          <w:rtl w:val="0"/>
        </w:rPr>
      </w:r>
    </w:p>
    <w:p w:rsidR="00000000" w:rsidDel="00000000" w:rsidP="00000000" w:rsidRDefault="00000000" w:rsidRPr="00000000" w14:paraId="0000004B">
      <w:pPr>
        <w:jc w:val="both"/>
        <w:rPr/>
      </w:pPr>
      <w:r w:rsidDel="00000000" w:rsidR="00000000" w:rsidRPr="00000000">
        <w:rPr>
          <w:rtl w:val="0"/>
        </w:rPr>
      </w:r>
    </w:p>
    <w:p w:rsidR="00000000" w:rsidDel="00000000" w:rsidP="00000000" w:rsidRDefault="00000000" w:rsidRPr="00000000" w14:paraId="0000004C">
      <w:pPr>
        <w:jc w:val="both"/>
        <w:rPr>
          <w:b w:val="1"/>
          <w:sz w:val="24"/>
          <w:szCs w:val="24"/>
          <w:u w:val="single"/>
        </w:rPr>
      </w:pPr>
      <w:r w:rsidDel="00000000" w:rsidR="00000000" w:rsidRPr="00000000">
        <w:rPr>
          <w:rtl w:val="0"/>
        </w:rPr>
      </w:r>
    </w:p>
    <w:p w:rsidR="00000000" w:rsidDel="00000000" w:rsidP="00000000" w:rsidRDefault="00000000" w:rsidRPr="00000000" w14:paraId="0000004D">
      <w:pPr>
        <w:jc w:val="both"/>
        <w:rPr/>
      </w:pPr>
      <w:r w:rsidDel="00000000" w:rsidR="00000000" w:rsidRPr="00000000">
        <w:rPr>
          <w:rtl w:val="0"/>
        </w:rPr>
      </w:r>
    </w:p>
    <w:p w:rsidR="00000000" w:rsidDel="00000000" w:rsidP="00000000" w:rsidRDefault="00000000" w:rsidRPr="00000000" w14:paraId="0000004E">
      <w:pPr>
        <w:jc w:val="both"/>
        <w:rPr/>
      </w:pPr>
      <w:r w:rsidDel="00000000" w:rsidR="00000000" w:rsidRPr="00000000">
        <w:rPr>
          <w:rtl w:val="0"/>
        </w:rPr>
      </w:r>
    </w:p>
    <w:p w:rsidR="00000000" w:rsidDel="00000000" w:rsidP="00000000" w:rsidRDefault="00000000" w:rsidRPr="00000000" w14:paraId="0000004F">
      <w:pPr>
        <w:ind w:left="360" w:hanging="180"/>
        <w:jc w:val="both"/>
        <w:rPr/>
      </w:pPr>
      <w:r w:rsidDel="00000000" w:rsidR="00000000" w:rsidRPr="00000000">
        <w:rPr>
          <w:rtl w:val="0"/>
        </w:rPr>
      </w:r>
    </w:p>
    <w:p w:rsidR="00000000" w:rsidDel="00000000" w:rsidP="00000000" w:rsidRDefault="00000000" w:rsidRPr="00000000" w14:paraId="00000050">
      <w:pPr>
        <w:ind w:left="360" w:hanging="180"/>
        <w:jc w:val="both"/>
        <w:rPr/>
      </w:pPr>
      <w:r w:rsidDel="00000000" w:rsidR="00000000" w:rsidRPr="00000000">
        <w:rPr>
          <w:rtl w:val="0"/>
        </w:rPr>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333333"/>
          <w:sz w:val="24"/>
          <w:szCs w:val="24"/>
          <w:highlight w:val="white"/>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373a3c"/>
          <w:sz w:val="24"/>
          <w:szCs w:val="24"/>
          <w:shd w:fill="fff2cc" w:val="clear"/>
        </w:rPr>
      </w:pPr>
      <w:r w:rsidDel="00000000" w:rsidR="00000000" w:rsidRPr="00000000">
        <w:rPr>
          <w:rtl w:val="0"/>
        </w:rPr>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373a3c"/>
          <w:sz w:val="24"/>
          <w:szCs w:val="24"/>
          <w:shd w:fill="fff2cc" w:val="clear"/>
        </w:rPr>
      </w:pPr>
      <w:r w:rsidDel="00000000" w:rsidR="00000000" w:rsidRPr="00000000">
        <w:rPr>
          <w:rtl w:val="0"/>
        </w:rPr>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373a3c"/>
          <w:sz w:val="24"/>
          <w:szCs w:val="24"/>
          <w:shd w:fill="fff2cc" w:val="clear"/>
        </w:rPr>
      </w:pPr>
      <w:r w:rsidDel="00000000" w:rsidR="00000000" w:rsidRPr="00000000">
        <w:rPr>
          <w:rtl w:val="0"/>
        </w:rPr>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373a3c"/>
          <w:sz w:val="24"/>
          <w:szCs w:val="24"/>
          <w:shd w:fill="fff2cc" w:val="clear"/>
        </w:rPr>
      </w:pPr>
      <w:r w:rsidDel="00000000" w:rsidR="00000000" w:rsidRPr="00000000">
        <w:rPr>
          <w:rtl w:val="0"/>
        </w:rPr>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373a3c"/>
          <w:sz w:val="24"/>
          <w:szCs w:val="24"/>
          <w:shd w:fill="fff2cc" w:val="clear"/>
        </w:rPr>
      </w:pPr>
      <w:r w:rsidDel="00000000" w:rsidR="00000000" w:rsidRPr="00000000">
        <w:rPr>
          <w:rtl w:val="0"/>
        </w:rPr>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373a3c"/>
          <w:sz w:val="24"/>
          <w:szCs w:val="24"/>
          <w:shd w:fill="fff2cc" w:val="clear"/>
        </w:rPr>
      </w:pPr>
      <w:r w:rsidDel="00000000" w:rsidR="00000000" w:rsidRPr="00000000">
        <w:rPr>
          <w:rtl w:val="0"/>
        </w:rPr>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373a3c"/>
          <w:sz w:val="24"/>
          <w:szCs w:val="24"/>
          <w:shd w:fill="fff2cc" w:val="clear"/>
        </w:rPr>
      </w:pPr>
      <w:r w:rsidDel="00000000" w:rsidR="00000000" w:rsidRPr="00000000">
        <w:rPr>
          <w:rtl w:val="0"/>
        </w:rPr>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373a3c"/>
          <w:sz w:val="24"/>
          <w:szCs w:val="24"/>
          <w:shd w:fill="fff2cc" w:val="clear"/>
        </w:rPr>
      </w:pPr>
      <w:r w:rsidDel="00000000" w:rsidR="00000000" w:rsidRPr="00000000">
        <w:rPr>
          <w:rtl w:val="0"/>
        </w:rPr>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rFonts w:ascii="Roboto" w:cs="Roboto" w:eastAsia="Roboto" w:hAnsi="Roboto"/>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https://www.mofo.com/resources/insights/200608-uk-human-rights-violations</w:t>
      </w:r>
    </w:p>
  </w:footnote>
  <w:footnote w:id="1">
    <w:p w:rsidR="00000000" w:rsidDel="00000000" w:rsidP="00000000" w:rsidRDefault="00000000" w:rsidRPr="00000000" w14:paraId="0000006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https://uk.practicallaw.thomsonreuters.com/D-105-6161?transitionType=Default&amp;contextData=(sc.Default)</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supremecourt.uk/cases/docs/uksc-2017-0185-judgment.pdf" TargetMode="External"/><Relationship Id="rId8" Type="http://schemas.openxmlformats.org/officeDocument/2006/relationships/hyperlink" Target="https://www.supremecourt.uk/cases/docs/uksc-2017-0185-judgment.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