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1059673703"/>
        <w:docPartObj>
          <w:docPartGallery w:val="Cover Pages"/>
          <w:docPartUnique/>
        </w:docPartObj>
      </w:sdtPr>
      <w:sdtEndPr>
        <w:rPr>
          <w:rFonts w:ascii="Times New Roman" w:hAnsi="Times New Roman" w:cs="Times New Roman"/>
          <w:color w:val="000000"/>
          <w:kern w:val="0"/>
          <w:sz w:val="22"/>
          <w:szCs w:val="22"/>
          <w14:ligatures w14:val="none"/>
        </w:rPr>
      </w:sdtEndPr>
      <w:sdtContent>
        <w:p w14:paraId="0DF2BDA6" w14:textId="3876A325" w:rsidR="002C22B8" w:rsidRPr="007F5B7E" w:rsidRDefault="002C22B8" w:rsidP="006A22BA">
          <w:pPr>
            <w:spacing w:line="480" w:lineRule="auto"/>
            <w:rPr>
              <w:rFonts w:ascii="Times New Roman" w:hAnsi="Times New Roman" w:cs="Times New Roman"/>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F45A0" w:rsidRPr="007F5B7E" w14:paraId="0564E412" w14:textId="77777777">
            <w:sdt>
              <w:sdtPr>
                <w:rPr>
                  <w:rFonts w:ascii="Times New Roman" w:hAnsi="Times New Roman" w:cs="Times New Roman"/>
                  <w:color w:val="000000" w:themeColor="text1"/>
                  <w:sz w:val="24"/>
                  <w:szCs w:val="24"/>
                </w:rPr>
                <w:alias w:val="Company"/>
                <w:id w:val="13406915"/>
                <w:placeholder>
                  <w:docPart w:val="B2F2EA3CB42ACD4F80C14B579FBABF8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B8D438A" w14:textId="33A654E0" w:rsidR="006F45A0" w:rsidRPr="007F5B7E" w:rsidRDefault="00A65898" w:rsidP="006A22BA">
                    <w:pPr>
                      <w:pStyle w:val="NoSpacing"/>
                      <w:spacing w:line="480" w:lineRule="auto"/>
                      <w:rPr>
                        <w:rFonts w:ascii="Times New Roman" w:hAnsi="Times New Roman" w:cs="Times New Roman"/>
                        <w:color w:val="000000" w:themeColor="text1"/>
                        <w:sz w:val="24"/>
                      </w:rPr>
                    </w:pPr>
                    <w:r w:rsidRPr="007F5B7E">
                      <w:rPr>
                        <w:rFonts w:ascii="Times New Roman" w:hAnsi="Times New Roman" w:cs="Times New Roman"/>
                        <w:color w:val="000000" w:themeColor="text1"/>
                        <w:sz w:val="24"/>
                        <w:szCs w:val="24"/>
                      </w:rPr>
                      <w:t>UWTSD</w:t>
                    </w:r>
                  </w:p>
                </w:tc>
              </w:sdtContent>
            </w:sdt>
          </w:tr>
          <w:tr w:rsidR="006F45A0" w:rsidRPr="007F5B7E" w14:paraId="0E2093F2" w14:textId="77777777">
            <w:tc>
              <w:tcPr>
                <w:tcW w:w="7672" w:type="dxa"/>
              </w:tcPr>
              <w:sdt>
                <w:sdtPr>
                  <w:rPr>
                    <w:rFonts w:ascii="Times New Roman" w:hAnsi="Times New Roman" w:cs="Times New Roman"/>
                    <w:color w:val="000000" w:themeColor="text1"/>
                    <w:sz w:val="56"/>
                    <w:szCs w:val="56"/>
                  </w:rPr>
                  <w:alias w:val="Title"/>
                  <w:id w:val="13406919"/>
                  <w:placeholder>
                    <w:docPart w:val="3B5A8F661A3B8344AA4E3D5DCC6B7307"/>
                  </w:placeholder>
                  <w:dataBinding w:prefixMappings="xmlns:ns0='http://schemas.openxmlformats.org/package/2006/metadata/core-properties' xmlns:ns1='http://purl.org/dc/elements/1.1/'" w:xpath="/ns0:coreProperties[1]/ns1:title[1]" w:storeItemID="{6C3C8BC8-F283-45AE-878A-BAB7291924A1}"/>
                  <w:text/>
                </w:sdtPr>
                <w:sdtContent>
                  <w:p w14:paraId="0A8E3F57" w14:textId="7B85F722" w:rsidR="006F45A0" w:rsidRPr="007F5B7E" w:rsidRDefault="00A65898" w:rsidP="006A22BA">
                    <w:pPr>
                      <w:pStyle w:val="NoSpacing"/>
                      <w:spacing w:line="360" w:lineRule="auto"/>
                      <w:rPr>
                        <w:rFonts w:ascii="Times New Roman" w:eastAsiaTheme="majorEastAsia" w:hAnsi="Times New Roman" w:cs="Times New Roman"/>
                        <w:color w:val="000000" w:themeColor="text1"/>
                        <w:sz w:val="88"/>
                        <w:szCs w:val="88"/>
                      </w:rPr>
                    </w:pPr>
                    <w:proofErr w:type="gramStart"/>
                    <w:r w:rsidRPr="007F5B7E">
                      <w:rPr>
                        <w:rFonts w:ascii="Times New Roman" w:hAnsi="Times New Roman" w:cs="Times New Roman"/>
                        <w:color w:val="000000" w:themeColor="text1"/>
                        <w:sz w:val="56"/>
                        <w:szCs w:val="56"/>
                      </w:rPr>
                      <w:t>”If</w:t>
                    </w:r>
                    <w:proofErr w:type="gramEnd"/>
                    <w:r w:rsidRPr="007F5B7E">
                      <w:rPr>
                        <w:rFonts w:ascii="Times New Roman" w:hAnsi="Times New Roman" w:cs="Times New Roman"/>
                        <w:color w:val="000000" w:themeColor="text1"/>
                        <w:sz w:val="56"/>
                        <w:szCs w:val="56"/>
                      </w:rPr>
                      <w:t xml:space="preserve"> you were a man for a day”: Gender performance, power, collective action </w:t>
                    </w:r>
                    <w:r w:rsidR="00A4332F" w:rsidRPr="007F5B7E">
                      <w:rPr>
                        <w:rFonts w:ascii="Times New Roman" w:hAnsi="Times New Roman" w:cs="Times New Roman"/>
                        <w:color w:val="000000" w:themeColor="text1"/>
                        <w:sz w:val="56"/>
                        <w:szCs w:val="56"/>
                      </w:rPr>
                      <w:t>and</w:t>
                    </w:r>
                    <w:r w:rsidRPr="007F5B7E">
                      <w:rPr>
                        <w:rFonts w:ascii="Times New Roman" w:hAnsi="Times New Roman" w:cs="Times New Roman"/>
                        <w:color w:val="000000" w:themeColor="text1"/>
                        <w:sz w:val="56"/>
                        <w:szCs w:val="56"/>
                      </w:rPr>
                      <w:t xml:space="preserve"> the social construction on equality within the UK workplace between 1925 and 2025.</w:t>
                    </w:r>
                  </w:p>
                </w:sdtContent>
              </w:sdt>
            </w:tc>
          </w:tr>
          <w:tr w:rsidR="006F45A0" w:rsidRPr="007F5B7E" w14:paraId="13BDBC14" w14:textId="77777777">
            <w:tc>
              <w:tcPr>
                <w:tcW w:w="7672" w:type="dxa"/>
                <w:tcMar>
                  <w:top w:w="216" w:type="dxa"/>
                  <w:left w:w="115" w:type="dxa"/>
                  <w:bottom w:w="216" w:type="dxa"/>
                  <w:right w:w="115" w:type="dxa"/>
                </w:tcMar>
              </w:tcPr>
              <w:p w14:paraId="12D86C41" w14:textId="21B010A6" w:rsidR="006F45A0" w:rsidRPr="007F5B7E" w:rsidRDefault="00D15FEE" w:rsidP="006A22BA">
                <w:pPr>
                  <w:pStyle w:val="NoSpacing"/>
                  <w:spacing w:line="360" w:lineRule="auto"/>
                  <w:rPr>
                    <w:rFonts w:ascii="Times New Roman" w:hAnsi="Times New Roman" w:cs="Times New Roman"/>
                    <w:color w:val="000000" w:themeColor="text1"/>
                    <w:sz w:val="24"/>
                  </w:rPr>
                </w:pPr>
                <w:r w:rsidRPr="007F5B7E">
                  <w:rPr>
                    <w:rFonts w:ascii="Times New Roman" w:hAnsi="Times New Roman" w:cs="Times New Roman"/>
                    <w:color w:val="000000" w:themeColor="text1"/>
                    <w:sz w:val="24"/>
                    <w:szCs w:val="24"/>
                  </w:rPr>
                  <w:t>Master’s Dissertation</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6F45A0" w:rsidRPr="007F5B7E" w14:paraId="12DE0126" w14:textId="77777777">
            <w:tc>
              <w:tcPr>
                <w:tcW w:w="7221" w:type="dxa"/>
                <w:tcMar>
                  <w:top w:w="216" w:type="dxa"/>
                  <w:left w:w="115" w:type="dxa"/>
                  <w:bottom w:w="216" w:type="dxa"/>
                  <w:right w:w="115" w:type="dxa"/>
                </w:tcMar>
              </w:tcPr>
              <w:sdt>
                <w:sdtPr>
                  <w:rPr>
                    <w:rFonts w:ascii="Times New Roman" w:hAnsi="Times New Roman" w:cs="Times New Roman"/>
                    <w:color w:val="000000" w:themeColor="text1"/>
                    <w:sz w:val="28"/>
                    <w:szCs w:val="28"/>
                  </w:rPr>
                  <w:alias w:val="Author"/>
                  <w:id w:val="13406928"/>
                  <w:placeholder>
                    <w:docPart w:val="06ABD6FD3F21E248A3651809BF299B61"/>
                  </w:placeholder>
                  <w:dataBinding w:prefixMappings="xmlns:ns0='http://schemas.openxmlformats.org/package/2006/metadata/core-properties' xmlns:ns1='http://purl.org/dc/elements/1.1/'" w:xpath="/ns0:coreProperties[1]/ns1:creator[1]" w:storeItemID="{6C3C8BC8-F283-45AE-878A-BAB7291924A1}"/>
                  <w:text/>
                </w:sdtPr>
                <w:sdtContent>
                  <w:p w14:paraId="70E50329" w14:textId="5EED55E4" w:rsidR="006F45A0" w:rsidRPr="007F5B7E" w:rsidRDefault="006F45A0" w:rsidP="006A22BA">
                    <w:pPr>
                      <w:pStyle w:val="NoSpacing"/>
                      <w:spacing w:line="360" w:lineRule="auto"/>
                      <w:rPr>
                        <w:rFonts w:ascii="Times New Roman" w:hAnsi="Times New Roman" w:cs="Times New Roman"/>
                        <w:color w:val="000000" w:themeColor="text1"/>
                        <w:sz w:val="28"/>
                        <w:szCs w:val="28"/>
                      </w:rPr>
                    </w:pPr>
                    <w:r w:rsidRPr="007F5B7E">
                      <w:rPr>
                        <w:rFonts w:ascii="Times New Roman" w:hAnsi="Times New Roman" w:cs="Times New Roman"/>
                        <w:color w:val="000000" w:themeColor="text1"/>
                        <w:sz w:val="28"/>
                        <w:szCs w:val="28"/>
                      </w:rPr>
                      <w:t>Jasmine Williams</w:t>
                    </w:r>
                  </w:p>
                </w:sdtContent>
              </w:sdt>
              <w:sdt>
                <w:sdtPr>
                  <w:rPr>
                    <w:rFonts w:ascii="Times New Roman" w:hAnsi="Times New Roman" w:cs="Times New Roman"/>
                    <w:color w:val="000000" w:themeColor="text1"/>
                    <w:sz w:val="28"/>
                    <w:szCs w:val="28"/>
                  </w:rPr>
                  <w:alias w:val="Date"/>
                  <w:tag w:val="Date"/>
                  <w:id w:val="13406932"/>
                  <w:placeholder>
                    <w:docPart w:val="F13C56C9A392B548945C35A1ED4CCAAE"/>
                  </w:placeholder>
                  <w:dataBinding w:prefixMappings="xmlns:ns0='http://schemas.microsoft.com/office/2006/coverPageProps'" w:xpath="/ns0:CoverPageProperties[1]/ns0:PublishDate[1]" w:storeItemID="{55AF091B-3C7A-41E3-B477-F2FDAA23CFDA}"/>
                  <w:date w:fullDate="2026-05-01T00:00:00Z">
                    <w:dateFormat w:val="M-d-yyyy"/>
                    <w:lid w:val="en-US"/>
                    <w:storeMappedDataAs w:val="dateTime"/>
                    <w:calendar w:val="gregorian"/>
                  </w:date>
                </w:sdtPr>
                <w:sdtContent>
                  <w:p w14:paraId="1CB72911" w14:textId="4E295419" w:rsidR="006F45A0" w:rsidRPr="007F5B7E" w:rsidRDefault="001125ED" w:rsidP="006A22BA">
                    <w:pPr>
                      <w:pStyle w:val="NoSpacing"/>
                      <w:spacing w:line="360" w:lineRule="auto"/>
                      <w:rPr>
                        <w:rFonts w:ascii="Times New Roman" w:hAnsi="Times New Roman" w:cs="Times New Roman"/>
                        <w:color w:val="000000" w:themeColor="text1"/>
                        <w:sz w:val="28"/>
                        <w:szCs w:val="28"/>
                      </w:rPr>
                    </w:pPr>
                    <w:r w:rsidRPr="007F5B7E">
                      <w:rPr>
                        <w:rFonts w:ascii="Times New Roman" w:hAnsi="Times New Roman" w:cs="Times New Roman"/>
                        <w:color w:val="000000" w:themeColor="text1"/>
                        <w:sz w:val="28"/>
                        <w:szCs w:val="28"/>
                      </w:rPr>
                      <w:t>5-1-2026</w:t>
                    </w:r>
                  </w:p>
                </w:sdtContent>
              </w:sdt>
              <w:p w14:paraId="39AF3DAE" w14:textId="77777777" w:rsidR="006F45A0" w:rsidRPr="007F5B7E" w:rsidRDefault="006F45A0" w:rsidP="006A22BA">
                <w:pPr>
                  <w:pStyle w:val="NoSpacing"/>
                  <w:spacing w:line="360" w:lineRule="auto"/>
                  <w:rPr>
                    <w:rFonts w:ascii="Times New Roman" w:hAnsi="Times New Roman" w:cs="Times New Roman"/>
                    <w:color w:val="000000" w:themeColor="text1"/>
                  </w:rPr>
                </w:pPr>
              </w:p>
            </w:tc>
          </w:tr>
        </w:tbl>
        <w:p w14:paraId="3F590AF4" w14:textId="77777777" w:rsidR="001125ED" w:rsidRPr="007F5B7E" w:rsidRDefault="006F45A0" w:rsidP="006A22BA">
          <w:pPr>
            <w:spacing w:line="480" w:lineRule="auto"/>
            <w:rPr>
              <w:rFonts w:ascii="Times New Roman" w:hAnsi="Times New Roman" w:cs="Times New Roman"/>
              <w:color w:val="000000" w:themeColor="text1"/>
              <w:kern w:val="0"/>
              <w:sz w:val="22"/>
              <w:szCs w:val="22"/>
              <w14:ligatures w14:val="none"/>
            </w:rPr>
          </w:pPr>
          <w:r w:rsidRPr="007F5B7E">
            <w:rPr>
              <w:rFonts w:ascii="Times New Roman" w:hAnsi="Times New Roman" w:cs="Times New Roman"/>
              <w:color w:val="000000" w:themeColor="text1"/>
              <w:kern w:val="0"/>
              <w:sz w:val="22"/>
              <w:szCs w:val="22"/>
              <w14:ligatures w14:val="none"/>
            </w:rPr>
            <w:br w:type="page"/>
          </w:r>
        </w:p>
        <w:p w14:paraId="074568B8" w14:textId="5B50A1B9" w:rsidR="00593B48" w:rsidRPr="007F5B7E" w:rsidRDefault="00000000" w:rsidP="006A22BA">
          <w:pPr>
            <w:spacing w:line="480" w:lineRule="auto"/>
            <w:rPr>
              <w:rFonts w:ascii="Times New Roman" w:hAnsi="Times New Roman" w:cs="Times New Roman"/>
              <w:color w:val="000000"/>
              <w:kern w:val="0"/>
              <w:sz w:val="22"/>
              <w:szCs w:val="22"/>
              <w14:ligatures w14:val="none"/>
            </w:rPr>
          </w:pPr>
        </w:p>
      </w:sdtContent>
    </w:sdt>
    <w:p w14:paraId="051660AC" w14:textId="30730D5B" w:rsidR="00513897" w:rsidRPr="007F5B7E" w:rsidRDefault="00513897" w:rsidP="006A22BA">
      <w:pPr>
        <w:pStyle w:val="Heading1"/>
        <w:spacing w:line="360" w:lineRule="auto"/>
        <w:rPr>
          <w:rFonts w:ascii="Times New Roman" w:hAnsi="Times New Roman" w:cs="Times New Roman"/>
          <w:color w:val="000000" w:themeColor="text1"/>
        </w:rPr>
      </w:pPr>
      <w:bookmarkStart w:id="0" w:name="_Toc229346229"/>
      <w:r w:rsidRPr="007F5B7E">
        <w:rPr>
          <w:rFonts w:ascii="Times New Roman" w:hAnsi="Times New Roman" w:cs="Times New Roman"/>
          <w:color w:val="000000" w:themeColor="text1"/>
        </w:rPr>
        <w:t>Master’s Degrees Dissertation</w:t>
      </w:r>
      <w:r w:rsidR="00292086" w:rsidRPr="007F5B7E">
        <w:rPr>
          <w:rFonts w:ascii="Times New Roman" w:hAnsi="Times New Roman" w:cs="Times New Roman"/>
          <w:color w:val="000000" w:themeColor="text1"/>
        </w:rPr>
        <w:t xml:space="preserve"> </w:t>
      </w:r>
      <w:r w:rsidRPr="007F5B7E">
        <w:rPr>
          <w:rFonts w:ascii="Times New Roman" w:hAnsi="Times New Roman" w:cs="Times New Roman"/>
          <w:color w:val="000000" w:themeColor="text1"/>
        </w:rPr>
        <w:t>Declaration Form</w:t>
      </w:r>
      <w:r w:rsidR="00292086" w:rsidRPr="007F5B7E">
        <w:rPr>
          <w:rFonts w:ascii="Times New Roman" w:hAnsi="Times New Roman" w:cs="Times New Roman"/>
          <w:color w:val="000000" w:themeColor="text1"/>
        </w:rPr>
        <w:t>:</w:t>
      </w:r>
      <w:bookmarkEnd w:id="0"/>
    </w:p>
    <w:p w14:paraId="51200936" w14:textId="48D430BA"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1.</w:t>
      </w:r>
      <w:r w:rsidRPr="007F5B7E">
        <w:rPr>
          <w:rFonts w:ascii="Times New Roman" w:hAnsi="Times New Roman" w:cs="Times New Roman"/>
          <w:kern w:val="0"/>
          <w14:ligatures w14:val="none"/>
        </w:rPr>
        <w:tab/>
        <w:t>This work has not previously been accepted in substance for any degree and is not being concurrently submitted in candidature for any degree.</w:t>
      </w:r>
    </w:p>
    <w:p w14:paraId="1EEFA54C" w14:textId="5168CE71"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2.</w:t>
      </w:r>
      <w:r w:rsidRPr="007F5B7E">
        <w:rPr>
          <w:rFonts w:ascii="Times New Roman" w:hAnsi="Times New Roman" w:cs="Times New Roman"/>
          <w:kern w:val="0"/>
          <w14:ligatures w14:val="none"/>
        </w:rPr>
        <w:tab/>
        <w:t xml:space="preserve">This dissertation is being submitted in partial fulfilment of the requirements for the degree </w:t>
      </w:r>
      <w:proofErr w:type="gramStart"/>
      <w:r w:rsidRPr="007F5B7E">
        <w:rPr>
          <w:rFonts w:ascii="Times New Roman" w:hAnsi="Times New Roman" w:cs="Times New Roman"/>
          <w:kern w:val="0"/>
          <w14:ligatures w14:val="none"/>
        </w:rPr>
        <w:t>of :</w:t>
      </w:r>
      <w:proofErr w:type="gramEnd"/>
      <w:r w:rsidRPr="007F5B7E">
        <w:rPr>
          <w:rFonts w:ascii="Times New Roman" w:hAnsi="Times New Roman" w:cs="Times New Roman"/>
          <w:kern w:val="0"/>
          <w14:ligatures w14:val="none"/>
        </w:rPr>
        <w:t xml:space="preserve"> [</w:t>
      </w:r>
      <w:r w:rsidR="007F5B7E" w:rsidRPr="007F5B7E">
        <w:rPr>
          <w:rFonts w:ascii="Times New Roman" w:hAnsi="Times New Roman" w:cs="Times New Roman"/>
          <w:kern w:val="0"/>
          <w14:ligatures w14:val="none"/>
        </w:rPr>
        <w:t>MA Equity and Diversity in Society and MA Harmony in Practice (ECED7010/ECGE7002Q/ECHA7001)</w:t>
      </w:r>
      <w:r w:rsidRPr="007F5B7E">
        <w:rPr>
          <w:rFonts w:ascii="Times New Roman" w:hAnsi="Times New Roman" w:cs="Times New Roman"/>
          <w:kern w:val="0"/>
          <w14:ligatures w14:val="none"/>
        </w:rPr>
        <w:t>]</w:t>
      </w:r>
    </w:p>
    <w:p w14:paraId="59F4717D" w14:textId="3CC4A7F5"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3.</w:t>
      </w:r>
      <w:r w:rsidRPr="007F5B7E">
        <w:rPr>
          <w:rFonts w:ascii="Times New Roman" w:hAnsi="Times New Roman" w:cs="Times New Roman"/>
          <w:kern w:val="0"/>
          <w14:ligatures w14:val="none"/>
        </w:rPr>
        <w:tab/>
        <w:t>This dissertation is the result of my own independent work/investigation, except where otherwise stated.  A reference list is appended.</w:t>
      </w:r>
    </w:p>
    <w:p w14:paraId="7D595EC6" w14:textId="5F6C32DA"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4.</w:t>
      </w:r>
      <w:r w:rsidRPr="007F5B7E">
        <w:rPr>
          <w:rFonts w:ascii="Times New Roman" w:hAnsi="Times New Roman" w:cs="Times New Roman"/>
          <w:kern w:val="0"/>
          <w14:ligatures w14:val="none"/>
        </w:rPr>
        <w:tab/>
        <w:t>Please Choose one of the following statements [DELETE AS APPROPRIATE]</w:t>
      </w:r>
      <w:r w:rsidRPr="007F5B7E">
        <w:rPr>
          <w:rFonts w:ascii="Times New Roman" w:hAnsi="Times New Roman" w:cs="Times New Roman"/>
          <w:kern w:val="0"/>
          <w14:ligatures w14:val="none"/>
        </w:rPr>
        <w:tab/>
      </w:r>
    </w:p>
    <w:p w14:paraId="6895CA7D" w14:textId="73EAF230"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b.</w:t>
      </w:r>
      <w:r w:rsidRPr="007F5B7E">
        <w:rPr>
          <w:rFonts w:ascii="Times New Roman" w:hAnsi="Times New Roman" w:cs="Times New Roman"/>
          <w:kern w:val="0"/>
          <w14:ligatures w14:val="none"/>
        </w:rPr>
        <w:tab/>
        <w:t xml:space="preserve">I acknowledge the use of </w:t>
      </w:r>
      <w:r w:rsidR="00302BDD" w:rsidRPr="007F5B7E">
        <w:rPr>
          <w:rFonts w:ascii="Times New Roman" w:hAnsi="Times New Roman" w:cs="Times New Roman"/>
          <w:kern w:val="0"/>
          <w14:ligatures w14:val="none"/>
        </w:rPr>
        <w:t>Chat GPT</w:t>
      </w:r>
      <w:r w:rsidRPr="007F5B7E">
        <w:rPr>
          <w:rFonts w:ascii="Times New Roman" w:hAnsi="Times New Roman" w:cs="Times New Roman"/>
          <w:kern w:val="0"/>
          <w14:ligatures w14:val="none"/>
        </w:rPr>
        <w:t xml:space="preserve"> [</w:t>
      </w:r>
      <w:r w:rsidR="000F2925" w:rsidRPr="007F5B7E">
        <w:rPr>
          <w:rFonts w:ascii="Times New Roman" w:hAnsi="Times New Roman" w:cs="Times New Roman"/>
          <w:kern w:val="0"/>
          <w14:ligatures w14:val="none"/>
        </w:rPr>
        <w:t>https://www.bing.com/aclk?ld=e8DY7M_bP_9UYRQBNC5KS5GDVUCUwniLCv8Bf_-0rVgjiIB-PVkMUQ54YvWVEapaHDIpdvq-XQ3aivjdCgvMEUZ5xxI9j6RsnG8qEpRRQjUMm3EttD-uWY7hkJdVER_51X8I2zT_77g5lnf8-ZGoCYcOY0M3EgkI43iDnWSgYD6FWt_pEv1LgUdx66q_qfIgfGSXeyddITGBqa3MYShOzqYvMIKig&amp;u=aHR0cHMlM2ElMmYlMmZ1c2UuYWklM2Ztb2RlbCUzZGdwdC01JTI2dXRtX3NvdXJjZSUzZGJpbmclMjZ1dG1fbWVkaXVtJTNkY3BjJTI2dXRtX2NhbXBhaWduJTNkVUstRU4tRGVza3RvcC1TZWFyY2gtVXNlQUklMjZ1dG1fY2FtcGFpZ25faWQlM2Q1MjM3MTc1NjUlMjZ1dG1fYWRncm91cCUzZFVLLUVOLUNoYXRHUFQtR2VuZXJpYy1FeGFjdCUyNnV0bV9hZGdyb3VwX2lkJTNkMTMyOTMxMjI4OTY3MTgwNyUyNnV0bV90ZXJtJTNkY2hhdCUyNTIwZ3B0JTI2dXRtX21hdGNoX3R5cGUlM2RlJTI2dXRtX2NvbnRlbnQlM2QlMjZ1dG1fY29udGVudF9pZCUzZCUyNnV0bV9mdW5uZWwlM2QlMjZwYXJ0bmVyJTNkV00lMjZpZCUzZFoyOXZaMnhsZkdOd1kzeDdYMk5oYlhCaGFXZHVmWHg3YTJWNWQyOXlaSDE4ZTJOeVpXRjBhWFpsZlh4OGUyRmtaM0p2ZFhCcFpIMThlMTloWkdkeWIzVndmWHg3WTNKbFlYUnBkbVY5JTI2dXJsJTNkaHR0cHMlMjUzQSUyNTJGJTI1MkZ1c2UuYWklMjUzRm1vZGVsJTI1M0RncHQtNSUyNm1zY2xraWQlM2QyZmIxNTQ2NDg5NTAxMzBjYmIwZTNkOWVhNGMwNTU0NQ&amp;rlid=2fb1546489</w:t>
      </w:r>
      <w:r w:rsidR="000F2925" w:rsidRPr="007F5B7E">
        <w:rPr>
          <w:rFonts w:ascii="Times New Roman" w:hAnsi="Times New Roman" w:cs="Times New Roman"/>
          <w:kern w:val="0"/>
          <w14:ligatures w14:val="none"/>
        </w:rPr>
        <w:lastRenderedPageBreak/>
        <w:t>50130cbb0e3d9ea4c05545</w:t>
      </w:r>
      <w:r w:rsidRPr="007F5B7E">
        <w:rPr>
          <w:rFonts w:ascii="Times New Roman" w:hAnsi="Times New Roman" w:cs="Times New Roman"/>
          <w:kern w:val="0"/>
          <w14:ligatures w14:val="none"/>
        </w:rPr>
        <w:t xml:space="preserve">] </w:t>
      </w:r>
      <w:r w:rsidR="008E2E3A" w:rsidRPr="007F5B7E">
        <w:rPr>
          <w:rFonts w:ascii="Times New Roman" w:hAnsi="Times New Roman" w:cs="Times New Roman"/>
          <w:kern w:val="0"/>
          <w14:ligatures w14:val="none"/>
        </w:rPr>
        <w:t xml:space="preserve">between </w:t>
      </w:r>
      <w:r w:rsidR="007F0D3C" w:rsidRPr="007F5B7E">
        <w:rPr>
          <w:rFonts w:ascii="Times New Roman" w:hAnsi="Times New Roman" w:cs="Times New Roman"/>
          <w:kern w:val="0"/>
          <w14:ligatures w14:val="none"/>
        </w:rPr>
        <w:t>January</w:t>
      </w:r>
      <w:r w:rsidR="00485586" w:rsidRPr="007F5B7E">
        <w:rPr>
          <w:rFonts w:ascii="Times New Roman" w:hAnsi="Times New Roman" w:cs="Times New Roman"/>
          <w:kern w:val="0"/>
          <w14:ligatures w14:val="none"/>
        </w:rPr>
        <w:t xml:space="preserve"> 7</w:t>
      </w:r>
      <w:r w:rsidR="00485586" w:rsidRPr="007F5B7E">
        <w:rPr>
          <w:rFonts w:ascii="Times New Roman" w:hAnsi="Times New Roman" w:cs="Times New Roman"/>
          <w:kern w:val="0"/>
          <w:vertAlign w:val="superscript"/>
          <w14:ligatures w14:val="none"/>
        </w:rPr>
        <w:t>th</w:t>
      </w:r>
      <w:r w:rsidR="00485586" w:rsidRPr="007F5B7E">
        <w:rPr>
          <w:rFonts w:ascii="Times New Roman" w:hAnsi="Times New Roman" w:cs="Times New Roman"/>
          <w:kern w:val="0"/>
          <w14:ligatures w14:val="none"/>
        </w:rPr>
        <w:t xml:space="preserve"> </w:t>
      </w:r>
      <w:r w:rsidR="008E2E3A" w:rsidRPr="007F5B7E">
        <w:rPr>
          <w:rFonts w:ascii="Times New Roman" w:hAnsi="Times New Roman" w:cs="Times New Roman"/>
          <w:kern w:val="0"/>
          <w14:ligatures w14:val="none"/>
        </w:rPr>
        <w:t xml:space="preserve"> 2025 to </w:t>
      </w:r>
      <w:r w:rsidR="00526672" w:rsidRPr="007F5B7E">
        <w:rPr>
          <w:rFonts w:ascii="Times New Roman" w:hAnsi="Times New Roman" w:cs="Times New Roman"/>
          <w:kern w:val="0"/>
          <w14:ligatures w14:val="none"/>
        </w:rPr>
        <w:t xml:space="preserve">May </w:t>
      </w:r>
      <w:r w:rsidR="007F0D3C" w:rsidRPr="007F5B7E">
        <w:rPr>
          <w:rFonts w:ascii="Times New Roman" w:hAnsi="Times New Roman" w:cs="Times New Roman"/>
          <w:kern w:val="0"/>
          <w14:ligatures w14:val="none"/>
        </w:rPr>
        <w:t>10</w:t>
      </w:r>
      <w:r w:rsidR="007F0D3C" w:rsidRPr="007F5B7E">
        <w:rPr>
          <w:rFonts w:ascii="Times New Roman" w:hAnsi="Times New Roman" w:cs="Times New Roman"/>
          <w:kern w:val="0"/>
          <w:vertAlign w:val="superscript"/>
          <w14:ligatures w14:val="none"/>
        </w:rPr>
        <w:t>th</w:t>
      </w:r>
      <w:r w:rsidR="007F0D3C" w:rsidRPr="007F5B7E">
        <w:rPr>
          <w:rFonts w:ascii="Times New Roman" w:hAnsi="Times New Roman" w:cs="Times New Roman"/>
          <w:kern w:val="0"/>
          <w14:ligatures w14:val="none"/>
        </w:rPr>
        <w:t xml:space="preserve"> </w:t>
      </w:r>
      <w:r w:rsidR="00526672" w:rsidRPr="007F5B7E">
        <w:rPr>
          <w:rFonts w:ascii="Times New Roman" w:hAnsi="Times New Roman" w:cs="Times New Roman"/>
          <w:kern w:val="0"/>
          <w14:ligatures w14:val="none"/>
        </w:rPr>
        <w:t>2026 to proofread my work</w:t>
      </w:r>
      <w:r w:rsidRPr="007F5B7E">
        <w:rPr>
          <w:rFonts w:ascii="Times New Roman" w:hAnsi="Times New Roman" w:cs="Times New Roman"/>
          <w:kern w:val="0"/>
          <w14:ligatures w14:val="none"/>
        </w:rPr>
        <w:t xml:space="preserve">. </w:t>
      </w:r>
    </w:p>
    <w:p w14:paraId="5586014A" w14:textId="666EDECA"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i.</w:t>
      </w:r>
      <w:r w:rsidRPr="007F5B7E">
        <w:rPr>
          <w:rFonts w:ascii="Times New Roman" w:hAnsi="Times New Roman" w:cs="Times New Roman"/>
          <w:kern w:val="0"/>
          <w14:ligatures w14:val="none"/>
        </w:rPr>
        <w:tab/>
        <w:t xml:space="preserve">I used the prompt(s): Please </w:t>
      </w:r>
      <w:r w:rsidR="00231178" w:rsidRPr="007F5B7E">
        <w:rPr>
          <w:rFonts w:ascii="Times New Roman" w:hAnsi="Times New Roman" w:cs="Times New Roman"/>
          <w:kern w:val="0"/>
          <w14:ligatures w14:val="none"/>
        </w:rPr>
        <w:t xml:space="preserve">give your opinion on </w:t>
      </w:r>
      <w:r w:rsidRPr="007F5B7E">
        <w:rPr>
          <w:rFonts w:ascii="Times New Roman" w:hAnsi="Times New Roman" w:cs="Times New Roman"/>
          <w:kern w:val="0"/>
          <w14:ligatures w14:val="none"/>
        </w:rPr>
        <w:t xml:space="preserve">the following text </w:t>
      </w:r>
      <w:r w:rsidR="008F14FA" w:rsidRPr="007F5B7E">
        <w:rPr>
          <w:rFonts w:ascii="Times New Roman" w:hAnsi="Times New Roman" w:cs="Times New Roman"/>
          <w:kern w:val="0"/>
          <w14:ligatures w14:val="none"/>
        </w:rPr>
        <w:t>and check</w:t>
      </w:r>
      <w:r w:rsidR="00A92DB3" w:rsidRPr="007F5B7E">
        <w:rPr>
          <w:rFonts w:ascii="Times New Roman" w:hAnsi="Times New Roman" w:cs="Times New Roman"/>
          <w:kern w:val="0"/>
          <w14:ligatures w14:val="none"/>
        </w:rPr>
        <w:t xml:space="preserve"> </w:t>
      </w:r>
      <w:r w:rsidR="00695923" w:rsidRPr="007F5B7E">
        <w:rPr>
          <w:rFonts w:ascii="Times New Roman" w:hAnsi="Times New Roman" w:cs="Times New Roman"/>
          <w:kern w:val="0"/>
          <w14:ligatures w14:val="none"/>
        </w:rPr>
        <w:t>spelling</w:t>
      </w:r>
      <w:r w:rsidRPr="007F5B7E">
        <w:rPr>
          <w:rFonts w:ascii="Times New Roman" w:hAnsi="Times New Roman" w:cs="Times New Roman"/>
          <w:kern w:val="0"/>
          <w14:ligatures w14:val="none"/>
        </w:rPr>
        <w:t xml:space="preserve">, grammar and </w:t>
      </w:r>
      <w:r w:rsidR="006A22BA">
        <w:rPr>
          <w:rFonts w:ascii="Times New Roman" w:hAnsi="Times New Roman" w:cs="Times New Roman"/>
          <w:kern w:val="0"/>
          <w14:ligatures w14:val="none"/>
        </w:rPr>
        <w:t>syntax and structure.</w:t>
      </w:r>
    </w:p>
    <w:p w14:paraId="55295B79" w14:textId="54E7AEA9"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ii.</w:t>
      </w:r>
      <w:r w:rsidRPr="007F5B7E">
        <w:rPr>
          <w:rFonts w:ascii="Times New Roman" w:hAnsi="Times New Roman" w:cs="Times New Roman"/>
          <w:kern w:val="0"/>
          <w14:ligatures w14:val="none"/>
        </w:rPr>
        <w:tab/>
        <w:t>I confirm that I have not presented any AI generated text as my own work. I confirm I have copies of my drafts, notes, and other resources I used before, and after the use of AI tools which I may be asked to provide in evidence.</w:t>
      </w:r>
    </w:p>
    <w:p w14:paraId="2EA70B06" w14:textId="77777777"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5.</w:t>
      </w:r>
      <w:r w:rsidRPr="007F5B7E">
        <w:rPr>
          <w:rFonts w:ascii="Times New Roman" w:hAnsi="Times New Roman" w:cs="Times New Roman"/>
          <w:kern w:val="0"/>
          <w14:ligatures w14:val="none"/>
        </w:rPr>
        <w:tab/>
        <w:t xml:space="preserve">I hereby give consent for my dissertation, if accepted, to be available for photocopying, inter- library loan, and for deposit in the University’s digital repository </w:t>
      </w:r>
    </w:p>
    <w:p w14:paraId="595EA564" w14:textId="77777777" w:rsidR="00513897" w:rsidRPr="007F5B7E" w:rsidRDefault="00513897" w:rsidP="006A22BA">
      <w:pPr>
        <w:spacing w:before="240" w:after="240" w:line="360" w:lineRule="auto"/>
        <w:rPr>
          <w:rFonts w:ascii="Times New Roman" w:hAnsi="Times New Roman" w:cs="Times New Roman"/>
          <w:kern w:val="0"/>
          <w14:ligatures w14:val="none"/>
        </w:rPr>
      </w:pPr>
    </w:p>
    <w:p w14:paraId="1EFBE0B8" w14:textId="1F601DC4"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Signed (candidate)………</w:t>
      </w:r>
      <w:proofErr w:type="gramStart"/>
      <w:r w:rsidR="007F5B7E">
        <w:rPr>
          <w:rFonts w:ascii="Times New Roman" w:hAnsi="Times New Roman" w:cs="Times New Roman"/>
          <w:kern w:val="0"/>
          <w14:ligatures w14:val="none"/>
        </w:rPr>
        <w:t>J.W</w:t>
      </w:r>
      <w:proofErr w:type="gramEnd"/>
      <w:r w:rsidRPr="007F5B7E">
        <w:rPr>
          <w:rFonts w:ascii="Times New Roman" w:hAnsi="Times New Roman" w:cs="Times New Roman"/>
          <w:kern w:val="0"/>
          <w14:ligatures w14:val="none"/>
        </w:rPr>
        <w:t>……………………………….………….…………...</w:t>
      </w:r>
    </w:p>
    <w:p w14:paraId="3FE8C231" w14:textId="77777777" w:rsidR="00513897" w:rsidRPr="007F5B7E" w:rsidRDefault="00513897" w:rsidP="006A22BA">
      <w:pPr>
        <w:spacing w:before="240" w:after="240" w:line="360" w:lineRule="auto"/>
        <w:rPr>
          <w:rFonts w:ascii="Times New Roman" w:hAnsi="Times New Roman" w:cs="Times New Roman"/>
          <w:kern w:val="0"/>
          <w14:ligatures w14:val="none"/>
        </w:rPr>
      </w:pPr>
    </w:p>
    <w:p w14:paraId="5F6EB95A" w14:textId="264EE75A"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Date…</w:t>
      </w:r>
      <w:r w:rsidR="007F5B7E">
        <w:rPr>
          <w:rFonts w:ascii="Times New Roman" w:hAnsi="Times New Roman" w:cs="Times New Roman"/>
          <w:kern w:val="0"/>
          <w14:ligatures w14:val="none"/>
        </w:rPr>
        <w:t>10/05/2026</w:t>
      </w:r>
      <w:r w:rsidRPr="007F5B7E">
        <w:rPr>
          <w:rFonts w:ascii="Times New Roman" w:hAnsi="Times New Roman" w:cs="Times New Roman"/>
          <w:kern w:val="0"/>
          <w14:ligatures w14:val="none"/>
        </w:rPr>
        <w:t>……………………………………………….…………….…………</w:t>
      </w:r>
      <w:proofErr w:type="gramStart"/>
      <w:r w:rsidRPr="007F5B7E">
        <w:rPr>
          <w:rFonts w:ascii="Times New Roman" w:hAnsi="Times New Roman" w:cs="Times New Roman"/>
          <w:kern w:val="0"/>
          <w14:ligatures w14:val="none"/>
        </w:rPr>
        <w:t>…..</w:t>
      </w:r>
      <w:proofErr w:type="gramEnd"/>
    </w:p>
    <w:p w14:paraId="35C98C96" w14:textId="77777777" w:rsidR="00513897" w:rsidRPr="007F5B7E" w:rsidRDefault="00513897" w:rsidP="006A22BA">
      <w:pPr>
        <w:spacing w:before="240" w:after="240" w:line="360" w:lineRule="auto"/>
        <w:rPr>
          <w:rFonts w:ascii="Times New Roman" w:hAnsi="Times New Roman" w:cs="Times New Roman"/>
          <w:kern w:val="0"/>
          <w14:ligatures w14:val="none"/>
        </w:rPr>
      </w:pPr>
    </w:p>
    <w:p w14:paraId="102316A2" w14:textId="77777777"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Supervisor’s Declaration.</w:t>
      </w:r>
    </w:p>
    <w:p w14:paraId="2D280AE9" w14:textId="77777777"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I am satisfied that this work is the result of the student’s own efforts.</w:t>
      </w:r>
    </w:p>
    <w:p w14:paraId="7437601D" w14:textId="5B90A093" w:rsidR="00513897" w:rsidRPr="007F5B7E" w:rsidRDefault="001825FE"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noProof/>
          <w:kern w:val="0"/>
        </w:rPr>
        <w:drawing>
          <wp:anchor distT="0" distB="0" distL="114300" distR="114300" simplePos="0" relativeHeight="251659264" behindDoc="0" locked="0" layoutInCell="1" allowOverlap="1" wp14:anchorId="5C84CA6D" wp14:editId="04E32674">
            <wp:simplePos x="0" y="0"/>
            <wp:positionH relativeFrom="column">
              <wp:posOffset>2238375</wp:posOffset>
            </wp:positionH>
            <wp:positionV relativeFrom="paragraph">
              <wp:posOffset>150495</wp:posOffset>
            </wp:positionV>
            <wp:extent cx="742950" cy="367684"/>
            <wp:effectExtent l="0" t="0" r="0" b="0"/>
            <wp:wrapNone/>
            <wp:docPr id="398570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70710" name="Picture 3985707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2950" cy="367684"/>
                    </a:xfrm>
                    <a:prstGeom prst="rect">
                      <a:avLst/>
                    </a:prstGeom>
                  </pic:spPr>
                </pic:pic>
              </a:graphicData>
            </a:graphic>
            <wp14:sizeRelH relativeFrom="margin">
              <wp14:pctWidth>0</wp14:pctWidth>
            </wp14:sizeRelH>
            <wp14:sizeRelV relativeFrom="margin">
              <wp14:pctHeight>0</wp14:pctHeight>
            </wp14:sizeRelV>
          </wp:anchor>
        </w:drawing>
      </w:r>
    </w:p>
    <w:p w14:paraId="0B6F1FB7" w14:textId="76F62259"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Signed (Supervisor)…</w:t>
      </w:r>
      <w:r w:rsidR="003C037F" w:rsidRPr="007F5B7E">
        <w:rPr>
          <w:rFonts w:ascii="Times New Roman" w:hAnsi="Times New Roman" w:cs="Times New Roman"/>
          <w:kern w:val="0"/>
          <w14:ligatures w14:val="none"/>
        </w:rPr>
        <w:t>Ken Dicks</w:t>
      </w:r>
    </w:p>
    <w:p w14:paraId="4120679A" w14:textId="7A054763" w:rsidR="00513897" w:rsidRPr="007F5B7E" w:rsidRDefault="00513897" w:rsidP="006A22BA">
      <w:pPr>
        <w:spacing w:before="240" w:after="240" w:line="360" w:lineRule="auto"/>
        <w:rPr>
          <w:rFonts w:ascii="Times New Roman" w:hAnsi="Times New Roman" w:cs="Times New Roman"/>
          <w:kern w:val="0"/>
          <w14:ligatures w14:val="none"/>
        </w:rPr>
      </w:pPr>
      <w:r w:rsidRPr="007F5B7E">
        <w:rPr>
          <w:rFonts w:ascii="Times New Roman" w:hAnsi="Times New Roman" w:cs="Times New Roman"/>
          <w:kern w:val="0"/>
          <w14:ligatures w14:val="none"/>
        </w:rPr>
        <w:t>Date…</w:t>
      </w:r>
      <w:r w:rsidR="003C037F" w:rsidRPr="007F5B7E">
        <w:rPr>
          <w:rFonts w:ascii="Times New Roman" w:hAnsi="Times New Roman" w:cs="Times New Roman"/>
          <w:kern w:val="0"/>
          <w14:ligatures w14:val="none"/>
        </w:rPr>
        <w:t>06/05/2026</w:t>
      </w:r>
    </w:p>
    <w:p w14:paraId="68691248" w14:textId="77777777" w:rsidR="00513897" w:rsidRPr="007F5B7E" w:rsidRDefault="00513897" w:rsidP="006A22BA">
      <w:pPr>
        <w:spacing w:before="240" w:after="240" w:line="360" w:lineRule="auto"/>
        <w:rPr>
          <w:rFonts w:ascii="Times New Roman" w:hAnsi="Times New Roman" w:cs="Times New Roman"/>
          <w:kern w:val="0"/>
          <w14:ligatures w14:val="none"/>
        </w:rPr>
      </w:pPr>
    </w:p>
    <w:p w14:paraId="5321C15E" w14:textId="77777777" w:rsidR="00513897" w:rsidRPr="007F5B7E" w:rsidRDefault="00513897" w:rsidP="006A22BA">
      <w:pPr>
        <w:spacing w:before="240" w:after="240" w:line="360" w:lineRule="auto"/>
        <w:rPr>
          <w:rFonts w:ascii="Times New Roman" w:hAnsi="Times New Roman" w:cs="Times New Roman"/>
          <w:kern w:val="0"/>
          <w14:ligatures w14:val="none"/>
        </w:rPr>
      </w:pPr>
    </w:p>
    <w:p w14:paraId="7CC5F0EA" w14:textId="77777777" w:rsidR="00513897" w:rsidRPr="007F5B7E" w:rsidRDefault="00513897" w:rsidP="006A22BA">
      <w:pPr>
        <w:spacing w:before="240" w:after="240" w:line="480" w:lineRule="auto"/>
        <w:rPr>
          <w:rFonts w:ascii="Times New Roman" w:hAnsi="Times New Roman" w:cs="Times New Roman"/>
          <w:kern w:val="0"/>
          <w14:ligatures w14:val="none"/>
        </w:rPr>
      </w:pPr>
    </w:p>
    <w:p w14:paraId="3021CFC7" w14:textId="77777777" w:rsidR="007F5B7E" w:rsidRPr="007F5B7E" w:rsidRDefault="007F5B7E" w:rsidP="006A22BA">
      <w:pPr>
        <w:spacing w:before="240" w:after="240" w:line="480" w:lineRule="auto"/>
        <w:rPr>
          <w:rFonts w:ascii="Times New Roman" w:hAnsi="Times New Roman" w:cs="Times New Roman"/>
          <w:color w:val="000000"/>
          <w:kern w:val="0"/>
          <w:sz w:val="22"/>
          <w:szCs w:val="22"/>
          <w14:ligatures w14:val="none"/>
        </w:rPr>
      </w:pPr>
    </w:p>
    <w:p w14:paraId="25EFD29E" w14:textId="2D09E1BD" w:rsidR="006467FA" w:rsidRPr="007F5B7E" w:rsidRDefault="00F6665A" w:rsidP="006A22BA">
      <w:pPr>
        <w:pStyle w:val="Heading1"/>
        <w:spacing w:line="480" w:lineRule="auto"/>
        <w:rPr>
          <w:rFonts w:ascii="Times New Roman" w:hAnsi="Times New Roman" w:cs="Times New Roman"/>
          <w:color w:val="000000" w:themeColor="text1"/>
          <w:sz w:val="28"/>
          <w:szCs w:val="28"/>
        </w:rPr>
      </w:pPr>
      <w:bookmarkStart w:id="1" w:name="_Toc229346230"/>
      <w:proofErr w:type="spellStart"/>
      <w:r w:rsidRPr="007F5B7E">
        <w:rPr>
          <w:rFonts w:ascii="Times New Roman" w:hAnsi="Times New Roman" w:cs="Times New Roman"/>
          <w:color w:val="000000" w:themeColor="text1"/>
          <w:sz w:val="28"/>
          <w:szCs w:val="28"/>
        </w:rPr>
        <w:lastRenderedPageBreak/>
        <w:t>Aknowledgements</w:t>
      </w:r>
      <w:proofErr w:type="spellEnd"/>
      <w:r w:rsidR="006467FA" w:rsidRPr="007F5B7E">
        <w:rPr>
          <w:rFonts w:ascii="Times New Roman" w:hAnsi="Times New Roman" w:cs="Times New Roman"/>
          <w:color w:val="000000" w:themeColor="text1"/>
          <w:sz w:val="28"/>
          <w:szCs w:val="28"/>
        </w:rPr>
        <w:t>:</w:t>
      </w:r>
      <w:bookmarkEnd w:id="1"/>
    </w:p>
    <w:p w14:paraId="712507B3" w14:textId="2A201D1E" w:rsidR="001B47F5" w:rsidRPr="007F5B7E" w:rsidRDefault="001B47F5" w:rsidP="006A22BA">
      <w:pPr>
        <w:spacing w:before="240" w:after="240" w:line="480" w:lineRule="auto"/>
        <w:jc w:val="both"/>
        <w:rPr>
          <w:rFonts w:ascii="Times New Roman" w:hAnsi="Times New Roman" w:cs="Times New Roman"/>
          <w:color w:val="000000"/>
          <w:kern w:val="0"/>
          <w14:ligatures w14:val="none"/>
        </w:rPr>
      </w:pPr>
      <w:r w:rsidRPr="007F5B7E">
        <w:rPr>
          <w:rFonts w:ascii="Times New Roman" w:hAnsi="Times New Roman" w:cs="Times New Roman"/>
          <w:color w:val="000000"/>
          <w:kern w:val="0"/>
          <w14:ligatures w14:val="none"/>
        </w:rPr>
        <w:t xml:space="preserve">I would like to express my gratitude to my dissertation supervisor and academic support, Mr Ken Dick and Ms Nuala Davies, for their invaluable feedback, continuous support and guidance, throughout the duration of this work. Their expertise and encouragement were instrumental in shaping the direction of my research on equality, masters writing experience and degree subject </w:t>
      </w:r>
      <w:proofErr w:type="gramStart"/>
      <w:r w:rsidRPr="007F5B7E">
        <w:rPr>
          <w:rFonts w:ascii="Times New Roman" w:hAnsi="Times New Roman" w:cs="Times New Roman"/>
          <w:color w:val="000000"/>
          <w:kern w:val="0"/>
          <w14:ligatures w14:val="none"/>
        </w:rPr>
        <w:t>engagement as a whole</w:t>
      </w:r>
      <w:proofErr w:type="gramEnd"/>
      <w:r w:rsidRPr="007F5B7E">
        <w:rPr>
          <w:rFonts w:ascii="Times New Roman" w:hAnsi="Times New Roman" w:cs="Times New Roman"/>
          <w:color w:val="000000"/>
          <w:kern w:val="0"/>
          <w14:ligatures w14:val="none"/>
        </w:rPr>
        <w:t xml:space="preserve">. </w:t>
      </w:r>
    </w:p>
    <w:p w14:paraId="43489B5B" w14:textId="16D4185C" w:rsidR="001B47F5" w:rsidRPr="007F5B7E" w:rsidRDefault="001B47F5" w:rsidP="006A22BA">
      <w:pPr>
        <w:spacing w:before="240" w:after="240" w:line="480" w:lineRule="auto"/>
        <w:jc w:val="both"/>
        <w:rPr>
          <w:rFonts w:ascii="Times New Roman" w:hAnsi="Times New Roman" w:cs="Times New Roman"/>
          <w:color w:val="000000"/>
          <w:kern w:val="0"/>
          <w14:ligatures w14:val="none"/>
        </w:rPr>
      </w:pPr>
      <w:r w:rsidRPr="007F5B7E">
        <w:rPr>
          <w:rFonts w:ascii="Times New Roman" w:hAnsi="Times New Roman" w:cs="Times New Roman"/>
          <w:color w:val="000000"/>
          <w:kern w:val="0"/>
          <w14:ligatures w14:val="none"/>
        </w:rPr>
        <w:t xml:space="preserve">In addition, thanks go out to my friends and family for their continued patience, encouragement and support </w:t>
      </w:r>
      <w:r w:rsidR="006A22BA" w:rsidRPr="007F5B7E">
        <w:rPr>
          <w:rFonts w:ascii="Times New Roman" w:hAnsi="Times New Roman" w:cs="Times New Roman"/>
          <w:color w:val="000000"/>
          <w:kern w:val="0"/>
          <w14:ligatures w14:val="none"/>
        </w:rPr>
        <w:t>throughout</w:t>
      </w:r>
      <w:r w:rsidRPr="007F5B7E">
        <w:rPr>
          <w:rFonts w:ascii="Times New Roman" w:hAnsi="Times New Roman" w:cs="Times New Roman"/>
          <w:color w:val="000000"/>
          <w:kern w:val="0"/>
          <w14:ligatures w14:val="none"/>
        </w:rPr>
        <w:t xml:space="preserve"> this process. It </w:t>
      </w:r>
      <w:r w:rsidR="006A22BA">
        <w:rPr>
          <w:rFonts w:ascii="Times New Roman" w:hAnsi="Times New Roman" w:cs="Times New Roman"/>
          <w:color w:val="000000"/>
          <w:kern w:val="0"/>
          <w14:ligatures w14:val="none"/>
        </w:rPr>
        <w:t>has</w:t>
      </w:r>
      <w:r w:rsidRPr="007F5B7E">
        <w:rPr>
          <w:rFonts w:ascii="Times New Roman" w:hAnsi="Times New Roman" w:cs="Times New Roman"/>
          <w:color w:val="000000"/>
          <w:kern w:val="0"/>
          <w14:ligatures w14:val="none"/>
        </w:rPr>
        <w:t xml:space="preserve"> been invaluable in keeping me sane and motivated </w:t>
      </w:r>
      <w:r w:rsidR="006A22BA" w:rsidRPr="007F5B7E">
        <w:rPr>
          <w:rFonts w:ascii="Times New Roman" w:hAnsi="Times New Roman" w:cs="Times New Roman"/>
          <w:color w:val="000000"/>
          <w:kern w:val="0"/>
          <w14:ligatures w14:val="none"/>
        </w:rPr>
        <w:t>throughout</w:t>
      </w:r>
      <w:r w:rsidRPr="007F5B7E">
        <w:rPr>
          <w:rFonts w:ascii="Times New Roman" w:hAnsi="Times New Roman" w:cs="Times New Roman"/>
          <w:color w:val="000000"/>
          <w:kern w:val="0"/>
          <w14:ligatures w14:val="none"/>
        </w:rPr>
        <w:t xml:space="preserve"> the </w:t>
      </w:r>
      <w:proofErr w:type="gramStart"/>
      <w:r w:rsidRPr="007F5B7E">
        <w:rPr>
          <w:rFonts w:ascii="Times New Roman" w:hAnsi="Times New Roman" w:cs="Times New Roman"/>
          <w:color w:val="000000"/>
          <w:kern w:val="0"/>
          <w14:ligatures w14:val="none"/>
        </w:rPr>
        <w:t>courses</w:t>
      </w:r>
      <w:proofErr w:type="gramEnd"/>
      <w:r w:rsidRPr="007F5B7E">
        <w:rPr>
          <w:rFonts w:ascii="Times New Roman" w:hAnsi="Times New Roman" w:cs="Times New Roman"/>
          <w:color w:val="000000"/>
          <w:kern w:val="0"/>
          <w14:ligatures w14:val="none"/>
        </w:rPr>
        <w:t xml:space="preserve"> duration. </w:t>
      </w:r>
    </w:p>
    <w:p w14:paraId="537CCB39" w14:textId="77777777" w:rsidR="001B47F5" w:rsidRPr="007F5B7E" w:rsidRDefault="001B47F5" w:rsidP="006A22BA">
      <w:pPr>
        <w:spacing w:before="240" w:after="240" w:line="480" w:lineRule="auto"/>
        <w:jc w:val="both"/>
        <w:rPr>
          <w:rFonts w:ascii="Times New Roman" w:hAnsi="Times New Roman" w:cs="Times New Roman"/>
          <w:color w:val="000000"/>
          <w:kern w:val="0"/>
          <w14:ligatures w14:val="none"/>
        </w:rPr>
      </w:pPr>
      <w:r w:rsidRPr="007F5B7E">
        <w:rPr>
          <w:rFonts w:ascii="Times New Roman" w:hAnsi="Times New Roman" w:cs="Times New Roman"/>
          <w:color w:val="000000"/>
          <w:kern w:val="0"/>
          <w14:ligatures w14:val="none"/>
        </w:rPr>
        <w:t xml:space="preserve">Finally, I would like to thank all the woman who came before me, willing to speak up within spaces designed to keep them repressed, creating opportunities when those presented to them lacked the quality effort progress, despite opposition and lack of faith. Those within my life who taught me how to perform without allowing gender identity restricting my growth. </w:t>
      </w:r>
    </w:p>
    <w:p w14:paraId="758D2963" w14:textId="77777777" w:rsidR="001B47F5" w:rsidRPr="007F5B7E" w:rsidRDefault="001B47F5" w:rsidP="006A22BA">
      <w:pPr>
        <w:spacing w:before="240" w:after="240" w:line="480" w:lineRule="auto"/>
        <w:rPr>
          <w:rFonts w:ascii="Times New Roman" w:hAnsi="Times New Roman" w:cs="Times New Roman"/>
          <w:color w:val="000000"/>
          <w:kern w:val="0"/>
          <w:sz w:val="22"/>
          <w:szCs w:val="22"/>
          <w14:ligatures w14:val="none"/>
        </w:rPr>
      </w:pPr>
    </w:p>
    <w:p w14:paraId="4379B972" w14:textId="77777777" w:rsidR="001B47F5" w:rsidRPr="007F5B7E" w:rsidRDefault="001B47F5" w:rsidP="006A22BA">
      <w:pPr>
        <w:spacing w:before="240" w:after="240" w:line="480" w:lineRule="auto"/>
        <w:rPr>
          <w:rFonts w:ascii="Times New Roman" w:hAnsi="Times New Roman" w:cs="Times New Roman"/>
          <w:color w:val="000000"/>
          <w:kern w:val="0"/>
          <w:sz w:val="22"/>
          <w:szCs w:val="22"/>
          <w14:ligatures w14:val="none"/>
        </w:rPr>
      </w:pPr>
    </w:p>
    <w:p w14:paraId="2FCC1545" w14:textId="77777777" w:rsidR="001B47F5" w:rsidRPr="007F5B7E" w:rsidRDefault="001B47F5" w:rsidP="006A22BA">
      <w:pPr>
        <w:spacing w:before="240" w:after="240" w:line="480" w:lineRule="auto"/>
        <w:rPr>
          <w:rFonts w:ascii="Times New Roman" w:hAnsi="Times New Roman" w:cs="Times New Roman"/>
          <w:color w:val="000000"/>
          <w:kern w:val="0"/>
          <w:sz w:val="22"/>
          <w:szCs w:val="22"/>
          <w14:ligatures w14:val="none"/>
        </w:rPr>
      </w:pPr>
    </w:p>
    <w:p w14:paraId="4358BD27" w14:textId="77777777" w:rsidR="001B47F5" w:rsidRPr="007F5B7E" w:rsidRDefault="001B47F5" w:rsidP="006A22BA">
      <w:pPr>
        <w:spacing w:before="240" w:after="240" w:line="480" w:lineRule="auto"/>
        <w:rPr>
          <w:rFonts w:ascii="Times New Roman" w:hAnsi="Times New Roman" w:cs="Times New Roman"/>
          <w:color w:val="000000"/>
          <w:kern w:val="0"/>
          <w:sz w:val="22"/>
          <w:szCs w:val="22"/>
          <w14:ligatures w14:val="none"/>
        </w:rPr>
      </w:pPr>
    </w:p>
    <w:p w14:paraId="3E5D46C7" w14:textId="77777777" w:rsidR="001B47F5" w:rsidRPr="007F5B7E" w:rsidRDefault="001B47F5" w:rsidP="006A22BA">
      <w:pPr>
        <w:spacing w:before="240" w:after="240" w:line="480" w:lineRule="auto"/>
        <w:rPr>
          <w:rFonts w:ascii="Times New Roman" w:hAnsi="Times New Roman" w:cs="Times New Roman"/>
          <w:color w:val="000000"/>
          <w:kern w:val="0"/>
          <w:sz w:val="22"/>
          <w:szCs w:val="22"/>
          <w14:ligatures w14:val="none"/>
        </w:rPr>
      </w:pPr>
    </w:p>
    <w:p w14:paraId="1B711052" w14:textId="77777777" w:rsidR="001B47F5" w:rsidRPr="007F5B7E" w:rsidRDefault="001B47F5" w:rsidP="006A22BA">
      <w:pPr>
        <w:spacing w:before="240" w:after="240" w:line="480" w:lineRule="auto"/>
        <w:rPr>
          <w:rFonts w:ascii="Times New Roman" w:hAnsi="Times New Roman" w:cs="Times New Roman"/>
          <w:color w:val="000000"/>
          <w:kern w:val="0"/>
          <w:sz w:val="22"/>
          <w:szCs w:val="22"/>
          <w14:ligatures w14:val="none"/>
        </w:rPr>
      </w:pPr>
    </w:p>
    <w:p w14:paraId="78621046" w14:textId="77777777" w:rsidR="006467FA" w:rsidRPr="007F5B7E" w:rsidRDefault="006467FA" w:rsidP="006A22BA">
      <w:pPr>
        <w:spacing w:before="240" w:after="240" w:line="480" w:lineRule="auto"/>
        <w:rPr>
          <w:rFonts w:ascii="Times New Roman" w:hAnsi="Times New Roman" w:cs="Times New Roman"/>
          <w:kern w:val="0"/>
          <w14:ligatures w14:val="none"/>
        </w:rPr>
      </w:pPr>
    </w:p>
    <w:p w14:paraId="662EEF40" w14:textId="7C80F39D" w:rsidR="007501C8" w:rsidRPr="007F5B7E" w:rsidRDefault="00F6665A" w:rsidP="006A22BA">
      <w:pPr>
        <w:pStyle w:val="Heading1"/>
        <w:spacing w:line="480" w:lineRule="auto"/>
        <w:rPr>
          <w:rFonts w:ascii="Times New Roman" w:hAnsi="Times New Roman" w:cs="Times New Roman"/>
          <w:color w:val="000000" w:themeColor="text1"/>
          <w:sz w:val="28"/>
          <w:szCs w:val="28"/>
        </w:rPr>
      </w:pPr>
      <w:bookmarkStart w:id="2" w:name="_Toc229346231"/>
      <w:r w:rsidRPr="007F5B7E">
        <w:rPr>
          <w:rFonts w:ascii="Times New Roman" w:hAnsi="Times New Roman" w:cs="Times New Roman"/>
          <w:color w:val="000000" w:themeColor="text1"/>
          <w:sz w:val="28"/>
          <w:szCs w:val="28"/>
        </w:rPr>
        <w:lastRenderedPageBreak/>
        <w:t>Abstract</w:t>
      </w:r>
      <w:r w:rsidR="006F17FC" w:rsidRPr="007F5B7E">
        <w:rPr>
          <w:rFonts w:ascii="Times New Roman" w:hAnsi="Times New Roman" w:cs="Times New Roman"/>
          <w:color w:val="000000" w:themeColor="text1"/>
          <w:sz w:val="28"/>
          <w:szCs w:val="28"/>
        </w:rPr>
        <w:t>:</w:t>
      </w:r>
      <w:bookmarkEnd w:id="2"/>
    </w:p>
    <w:p w14:paraId="31EC2CEC" w14:textId="7A0EC0AC" w:rsidR="001B47F5" w:rsidRPr="007F5B7E" w:rsidRDefault="001B47F5" w:rsidP="006A22BA">
      <w:pPr>
        <w:spacing w:before="240" w:after="240" w:line="480" w:lineRule="auto"/>
        <w:jc w:val="both"/>
        <w:rPr>
          <w:rFonts w:ascii="Times New Roman" w:hAnsi="Times New Roman" w:cs="Times New Roman"/>
          <w:color w:val="000000"/>
          <w:kern w:val="0"/>
          <w14:ligatures w14:val="none"/>
        </w:rPr>
      </w:pPr>
      <w:r w:rsidRPr="007F5B7E">
        <w:rPr>
          <w:rFonts w:ascii="Times New Roman" w:hAnsi="Times New Roman" w:cs="Times New Roman"/>
          <w:color w:val="000000"/>
          <w:kern w:val="0"/>
          <w14:ligatures w14:val="none"/>
        </w:rPr>
        <w:t>This dissertation sets out to identify persistent themes regarding the evolution of gender inequality within the UK workforce since 1925 up until 2025. Using feminist and sociology theories to examine how inequality has been reproduced through workplace subcultures and networks, gender performance and expectations and well as organisational structures and institutional practice despite a century of legislative, policy reform and social action.</w:t>
      </w:r>
    </w:p>
    <w:p w14:paraId="05B00C1B" w14:textId="61B74F45" w:rsidR="001B47F5" w:rsidRPr="007F5B7E" w:rsidRDefault="001B47F5" w:rsidP="006A22BA">
      <w:pPr>
        <w:spacing w:before="240" w:after="240" w:line="480" w:lineRule="auto"/>
        <w:jc w:val="both"/>
        <w:rPr>
          <w:rFonts w:ascii="Times New Roman" w:hAnsi="Times New Roman" w:cs="Times New Roman"/>
          <w:color w:val="000000"/>
          <w:kern w:val="0"/>
          <w14:ligatures w14:val="none"/>
        </w:rPr>
      </w:pPr>
      <w:r w:rsidRPr="007F5B7E">
        <w:rPr>
          <w:rFonts w:ascii="Times New Roman" w:hAnsi="Times New Roman" w:cs="Times New Roman"/>
          <w:color w:val="000000"/>
          <w:kern w:val="0"/>
          <w14:ligatures w14:val="none"/>
        </w:rPr>
        <w:t xml:space="preserve">The research adopted a qualitative interpretivist methodology grounding in secondary research and critical literature review, including but not limited to academic publications, organisational policy documents, statistics and case studies. Using thematic and historical lens to aid in analysis the dissertation traces the evolution of workplace inequality from post war welfare policy to diversity initiatives and workplace practices.  Informed by key theorists on gender performance, intersectionality and hegemonic masculinity; such as Judith Butler, West and Zimmerman, Joan Acker, Connell and Crenshaw. Used to analyse how concepts of workplace professionalism, leadership and authority are influenced by historic gendered and masculinised norms. The dissertation also introduced the thought experiment of ‘if you were a man for a day’ and a tool for critically examining how gender influences internal self-concepts of how one should be perceived and presented within their chosen social spheres and working environments all stemming down to concepts of space and belonging. </w:t>
      </w:r>
    </w:p>
    <w:p w14:paraId="507CF29D" w14:textId="4778B33D" w:rsidR="001B47F5" w:rsidRPr="007F5B7E" w:rsidRDefault="001B47F5" w:rsidP="006A22BA">
      <w:pPr>
        <w:spacing w:before="240" w:after="240" w:line="480" w:lineRule="auto"/>
        <w:jc w:val="both"/>
        <w:rPr>
          <w:rFonts w:ascii="Times New Roman" w:hAnsi="Times New Roman" w:cs="Times New Roman"/>
          <w:color w:val="000000"/>
          <w:kern w:val="0"/>
          <w14:ligatures w14:val="none"/>
        </w:rPr>
      </w:pPr>
      <w:r w:rsidRPr="007F5B7E">
        <w:rPr>
          <w:rFonts w:ascii="Times New Roman" w:hAnsi="Times New Roman" w:cs="Times New Roman"/>
          <w:color w:val="000000"/>
          <w:kern w:val="0"/>
          <w14:ligatures w14:val="none"/>
        </w:rPr>
        <w:t xml:space="preserve">The findings suggest that while over legal barriers to woman's participation and access within the UK workforce has shown significant progress on paper through legislation such as the Equal Pay Act 1970 and Equality Act 2010. </w:t>
      </w:r>
      <w:proofErr w:type="gramStart"/>
      <w:r w:rsidRPr="007F5B7E">
        <w:rPr>
          <w:rFonts w:ascii="Times New Roman" w:hAnsi="Times New Roman" w:cs="Times New Roman"/>
          <w:color w:val="000000"/>
          <w:kern w:val="0"/>
          <w14:ligatures w14:val="none"/>
        </w:rPr>
        <w:t>However</w:t>
      </w:r>
      <w:proofErr w:type="gramEnd"/>
      <w:r w:rsidRPr="007F5B7E">
        <w:rPr>
          <w:rFonts w:ascii="Times New Roman" w:hAnsi="Times New Roman" w:cs="Times New Roman"/>
          <w:color w:val="000000"/>
          <w:kern w:val="0"/>
          <w14:ligatures w14:val="none"/>
        </w:rPr>
        <w:t xml:space="preserve"> evidence suggests inequality has not reduced but simply adapted to adopt a more subtle and indirect approaches such as unequal distribution of domestic labour, burdens and responsibilities, occupational segregation and informal networking cultures. Expectations surrounding gender identity and performance </w:t>
      </w:r>
      <w:r w:rsidRPr="007F5B7E">
        <w:rPr>
          <w:rFonts w:ascii="Times New Roman" w:hAnsi="Times New Roman" w:cs="Times New Roman"/>
          <w:color w:val="000000"/>
          <w:kern w:val="0"/>
          <w14:ligatures w14:val="none"/>
        </w:rPr>
        <w:lastRenderedPageBreak/>
        <w:t xml:space="preserve">continue to shape economic and workforce dynamics/outcomes. This dissertation argues that workplace inequality is not sustained solely through formal modes of institutional discrimination but rather a collection of covert, unassuming everyday social interactions and cultural expectations that normalise gendered hierarchies within organisations and institutions that function off the back of them, for example a woman use resurgence during economic change and instability. </w:t>
      </w:r>
    </w:p>
    <w:p w14:paraId="7CF9858E" w14:textId="64745164" w:rsidR="007501C8" w:rsidRPr="007F5B7E" w:rsidRDefault="001B47F5" w:rsidP="006A22BA">
      <w:pPr>
        <w:spacing w:before="240" w:after="240" w:line="480" w:lineRule="auto"/>
        <w:jc w:val="both"/>
        <w:rPr>
          <w:rFonts w:ascii="Times New Roman" w:hAnsi="Times New Roman" w:cs="Times New Roman"/>
          <w:color w:val="000000"/>
          <w:kern w:val="0"/>
          <w14:ligatures w14:val="none"/>
        </w:rPr>
      </w:pPr>
      <w:proofErr w:type="gramStart"/>
      <w:r w:rsidRPr="007F5B7E">
        <w:rPr>
          <w:rFonts w:ascii="Times New Roman" w:hAnsi="Times New Roman" w:cs="Times New Roman"/>
          <w:color w:val="000000"/>
          <w:kern w:val="0"/>
          <w14:ligatures w14:val="none"/>
        </w:rPr>
        <w:t>Overall</w:t>
      </w:r>
      <w:proofErr w:type="gramEnd"/>
      <w:r w:rsidRPr="007F5B7E">
        <w:rPr>
          <w:rFonts w:ascii="Times New Roman" w:hAnsi="Times New Roman" w:cs="Times New Roman"/>
          <w:color w:val="000000"/>
          <w:kern w:val="0"/>
          <w14:ligatures w14:val="none"/>
        </w:rPr>
        <w:t xml:space="preserve"> this dissertation concludes that lasting, meaningful workplace change and equality to exist it cannot be obtained through legislation alone. Structural and cultural differences must occur to challenge embedded social and institutional assumptions and bias regarding authority, gender and responsibility. Aiming to contribute to ongoing debate pertaining to gender, intersectionality, equality and informal cultural networks by demonstrating how gender inequality has remained a socially constructed issue reproduced and reinforced throughout the very fabric of the UK workforce and social </w:t>
      </w:r>
      <w:proofErr w:type="spellStart"/>
      <w:r w:rsidRPr="007F5B7E">
        <w:rPr>
          <w:rFonts w:ascii="Times New Roman" w:hAnsi="Times New Roman" w:cs="Times New Roman"/>
          <w:color w:val="000000"/>
          <w:kern w:val="0"/>
          <w14:ligatures w14:val="none"/>
        </w:rPr>
        <w:t>normatives</w:t>
      </w:r>
      <w:proofErr w:type="spellEnd"/>
      <w:r w:rsidRPr="007F5B7E">
        <w:rPr>
          <w:rFonts w:ascii="Times New Roman" w:hAnsi="Times New Roman" w:cs="Times New Roman"/>
          <w:color w:val="000000"/>
          <w:kern w:val="0"/>
          <w14:ligatures w14:val="none"/>
        </w:rPr>
        <w:t>.</w:t>
      </w:r>
    </w:p>
    <w:p w14:paraId="1D6EC423" w14:textId="77777777" w:rsidR="007501C8" w:rsidRPr="007F5B7E" w:rsidRDefault="007501C8" w:rsidP="006A22BA">
      <w:pPr>
        <w:spacing w:before="240" w:after="240" w:line="480" w:lineRule="auto"/>
        <w:jc w:val="both"/>
        <w:rPr>
          <w:rFonts w:ascii="Times New Roman" w:hAnsi="Times New Roman" w:cs="Times New Roman"/>
          <w:color w:val="000000"/>
          <w:kern w:val="0"/>
          <w14:ligatures w14:val="none"/>
        </w:rPr>
      </w:pPr>
    </w:p>
    <w:p w14:paraId="3C0DF67F" w14:textId="77777777" w:rsidR="007501C8" w:rsidRPr="007F5B7E" w:rsidRDefault="007501C8" w:rsidP="006A22BA">
      <w:pPr>
        <w:spacing w:before="240" w:after="240" w:line="480" w:lineRule="auto"/>
        <w:jc w:val="both"/>
        <w:rPr>
          <w:rFonts w:ascii="Times New Roman" w:hAnsi="Times New Roman" w:cs="Times New Roman"/>
          <w:color w:val="000000"/>
          <w:kern w:val="0"/>
          <w14:ligatures w14:val="none"/>
        </w:rPr>
      </w:pPr>
    </w:p>
    <w:p w14:paraId="2E6E2644" w14:textId="77777777" w:rsidR="007501C8" w:rsidRPr="007F5B7E" w:rsidRDefault="007501C8" w:rsidP="006A22BA">
      <w:pPr>
        <w:spacing w:before="240" w:after="240" w:line="480" w:lineRule="auto"/>
        <w:rPr>
          <w:rFonts w:ascii="Times New Roman" w:hAnsi="Times New Roman" w:cs="Times New Roman"/>
          <w:color w:val="000000"/>
          <w:kern w:val="0"/>
          <w:sz w:val="22"/>
          <w:szCs w:val="22"/>
          <w14:ligatures w14:val="none"/>
        </w:rPr>
      </w:pPr>
    </w:p>
    <w:p w14:paraId="7A13D161" w14:textId="77777777" w:rsidR="007501C8" w:rsidRPr="007F5B7E" w:rsidRDefault="007501C8" w:rsidP="006A22BA">
      <w:pPr>
        <w:spacing w:before="240" w:after="240" w:line="480" w:lineRule="auto"/>
        <w:rPr>
          <w:rFonts w:ascii="Times New Roman" w:hAnsi="Times New Roman" w:cs="Times New Roman"/>
          <w:color w:val="000000"/>
          <w:kern w:val="0"/>
          <w:sz w:val="22"/>
          <w:szCs w:val="22"/>
          <w14:ligatures w14:val="none"/>
        </w:rPr>
      </w:pPr>
    </w:p>
    <w:p w14:paraId="379A2B37" w14:textId="67267CF9" w:rsidR="007501C8" w:rsidRDefault="007501C8" w:rsidP="006A22BA">
      <w:pPr>
        <w:spacing w:before="240" w:after="240" w:line="480" w:lineRule="auto"/>
        <w:rPr>
          <w:rFonts w:ascii="Times New Roman" w:hAnsi="Times New Roman" w:cs="Times New Roman"/>
          <w:color w:val="000000"/>
          <w:kern w:val="0"/>
          <w:sz w:val="22"/>
          <w:szCs w:val="22"/>
          <w14:ligatures w14:val="none"/>
        </w:rPr>
      </w:pPr>
    </w:p>
    <w:p w14:paraId="5A172A5B" w14:textId="77777777" w:rsidR="006A22BA" w:rsidRPr="007F5B7E" w:rsidRDefault="006A22BA" w:rsidP="006A22BA">
      <w:pPr>
        <w:spacing w:before="240" w:after="240" w:line="480" w:lineRule="auto"/>
        <w:rPr>
          <w:rFonts w:ascii="Times New Roman" w:hAnsi="Times New Roman" w:cs="Times New Roman"/>
          <w:color w:val="000000"/>
          <w:kern w:val="0"/>
          <w:sz w:val="22"/>
          <w:szCs w:val="22"/>
          <w14:ligatures w14:val="none"/>
        </w:rPr>
      </w:pPr>
    </w:p>
    <w:p w14:paraId="137CB3F3" w14:textId="77777777" w:rsidR="007501C8" w:rsidRPr="007F5B7E" w:rsidRDefault="007501C8" w:rsidP="006A22BA">
      <w:pPr>
        <w:spacing w:before="240" w:after="240" w:line="480" w:lineRule="auto"/>
        <w:rPr>
          <w:rFonts w:ascii="Times New Roman" w:hAnsi="Times New Roman" w:cs="Times New Roman"/>
          <w:kern w:val="0"/>
          <w14:ligatures w14:val="none"/>
        </w:rPr>
      </w:pPr>
    </w:p>
    <w:sdt>
      <w:sdtPr>
        <w:rPr>
          <w:rFonts w:ascii="Times New Roman" w:eastAsiaTheme="minorEastAsia" w:hAnsi="Times New Roman" w:cs="Times New Roman"/>
          <w:color w:val="auto"/>
          <w:kern w:val="2"/>
          <w:sz w:val="24"/>
          <w:szCs w:val="24"/>
          <w:lang w:val="en-GB" w:eastAsia="en-GB"/>
          <w14:ligatures w14:val="standardContextual"/>
        </w:rPr>
        <w:id w:val="2120401633"/>
        <w:docPartObj>
          <w:docPartGallery w:val="Table of Contents"/>
          <w:docPartUnique/>
        </w:docPartObj>
      </w:sdtPr>
      <w:sdtEndPr>
        <w:rPr>
          <w:noProof/>
        </w:rPr>
      </w:sdtEndPr>
      <w:sdtContent>
        <w:p w14:paraId="0F048D83" w14:textId="03B50BD2" w:rsidR="007F6A98" w:rsidRPr="007F5B7E" w:rsidRDefault="00F6665A" w:rsidP="006A22BA">
          <w:pPr>
            <w:pStyle w:val="TOCHeading"/>
            <w:spacing w:line="480" w:lineRule="auto"/>
            <w:rPr>
              <w:rFonts w:ascii="Times New Roman" w:hAnsi="Times New Roman" w:cs="Times New Roman"/>
              <w:color w:val="000000" w:themeColor="text1"/>
              <w:sz w:val="28"/>
              <w:szCs w:val="28"/>
            </w:rPr>
          </w:pPr>
          <w:r w:rsidRPr="007F5B7E">
            <w:rPr>
              <w:rFonts w:ascii="Times New Roman" w:hAnsi="Times New Roman" w:cs="Times New Roman"/>
              <w:color w:val="000000" w:themeColor="text1"/>
              <w:sz w:val="28"/>
              <w:szCs w:val="28"/>
            </w:rPr>
            <w:t xml:space="preserve">Table of </w:t>
          </w:r>
          <w:r w:rsidR="007F6A98" w:rsidRPr="007F5B7E">
            <w:rPr>
              <w:rFonts w:ascii="Times New Roman" w:hAnsi="Times New Roman" w:cs="Times New Roman"/>
              <w:color w:val="000000" w:themeColor="text1"/>
              <w:sz w:val="28"/>
              <w:szCs w:val="28"/>
            </w:rPr>
            <w:t>Contents</w:t>
          </w:r>
          <w:r w:rsidR="007F5B7E" w:rsidRPr="007F5B7E">
            <w:rPr>
              <w:rFonts w:ascii="Times New Roman" w:hAnsi="Times New Roman" w:cs="Times New Roman"/>
              <w:color w:val="000000" w:themeColor="text1"/>
              <w:sz w:val="28"/>
              <w:szCs w:val="28"/>
            </w:rPr>
            <w:t>:</w:t>
          </w:r>
        </w:p>
        <w:p w14:paraId="201B5F3E" w14:textId="272339B1" w:rsidR="006E55E1" w:rsidRDefault="007F6A98">
          <w:pPr>
            <w:pStyle w:val="TOC1"/>
            <w:tabs>
              <w:tab w:val="right" w:leader="dot" w:pos="9016"/>
            </w:tabs>
            <w:rPr>
              <w:noProof/>
            </w:rPr>
          </w:pPr>
          <w:r w:rsidRPr="007F5B7E">
            <w:rPr>
              <w:rFonts w:ascii="Times New Roman" w:hAnsi="Times New Roman" w:cs="Times New Roman"/>
            </w:rPr>
            <w:fldChar w:fldCharType="begin"/>
          </w:r>
          <w:r w:rsidRPr="007F5B7E">
            <w:rPr>
              <w:rFonts w:ascii="Times New Roman" w:hAnsi="Times New Roman" w:cs="Times New Roman"/>
            </w:rPr>
            <w:instrText xml:space="preserve"> TOC \o "1-3" \h \z \u </w:instrText>
          </w:r>
          <w:r w:rsidRPr="007F5B7E">
            <w:rPr>
              <w:rFonts w:ascii="Times New Roman" w:hAnsi="Times New Roman" w:cs="Times New Roman"/>
            </w:rPr>
            <w:fldChar w:fldCharType="separate"/>
          </w:r>
          <w:hyperlink w:anchor="_Toc229346229" w:history="1">
            <w:r w:rsidR="006E55E1" w:rsidRPr="004E1037">
              <w:rPr>
                <w:rStyle w:val="Hyperlink"/>
                <w:rFonts w:ascii="Times New Roman" w:hAnsi="Times New Roman" w:cs="Times New Roman"/>
                <w:noProof/>
              </w:rPr>
              <w:t>Master’s Degrees Dissertation Declaration Form:</w:t>
            </w:r>
            <w:r w:rsidR="006E55E1">
              <w:rPr>
                <w:noProof/>
                <w:webHidden/>
              </w:rPr>
              <w:tab/>
            </w:r>
            <w:r w:rsidR="006E55E1">
              <w:rPr>
                <w:noProof/>
                <w:webHidden/>
              </w:rPr>
              <w:fldChar w:fldCharType="begin"/>
            </w:r>
            <w:r w:rsidR="006E55E1">
              <w:rPr>
                <w:noProof/>
                <w:webHidden/>
              </w:rPr>
              <w:instrText xml:space="preserve"> PAGEREF _Toc229346229 \h </w:instrText>
            </w:r>
            <w:r w:rsidR="006E55E1">
              <w:rPr>
                <w:noProof/>
                <w:webHidden/>
              </w:rPr>
            </w:r>
            <w:r w:rsidR="006E55E1">
              <w:rPr>
                <w:noProof/>
                <w:webHidden/>
              </w:rPr>
              <w:fldChar w:fldCharType="separate"/>
            </w:r>
            <w:r w:rsidR="006E55E1">
              <w:rPr>
                <w:noProof/>
                <w:webHidden/>
              </w:rPr>
              <w:t>1</w:t>
            </w:r>
            <w:r w:rsidR="006E55E1">
              <w:rPr>
                <w:noProof/>
                <w:webHidden/>
              </w:rPr>
              <w:fldChar w:fldCharType="end"/>
            </w:r>
          </w:hyperlink>
        </w:p>
        <w:p w14:paraId="5521941B" w14:textId="0F0189EF" w:rsidR="006E55E1" w:rsidRDefault="006E55E1">
          <w:pPr>
            <w:pStyle w:val="TOC1"/>
            <w:tabs>
              <w:tab w:val="right" w:leader="dot" w:pos="9016"/>
            </w:tabs>
            <w:rPr>
              <w:noProof/>
            </w:rPr>
          </w:pPr>
          <w:hyperlink w:anchor="_Toc229346230" w:history="1">
            <w:r w:rsidRPr="004E1037">
              <w:rPr>
                <w:rStyle w:val="Hyperlink"/>
                <w:rFonts w:ascii="Times New Roman" w:hAnsi="Times New Roman" w:cs="Times New Roman"/>
                <w:noProof/>
              </w:rPr>
              <w:t>Aknowledgements:</w:t>
            </w:r>
            <w:r>
              <w:rPr>
                <w:noProof/>
                <w:webHidden/>
              </w:rPr>
              <w:tab/>
            </w:r>
            <w:r>
              <w:rPr>
                <w:noProof/>
                <w:webHidden/>
              </w:rPr>
              <w:fldChar w:fldCharType="begin"/>
            </w:r>
            <w:r>
              <w:rPr>
                <w:noProof/>
                <w:webHidden/>
              </w:rPr>
              <w:instrText xml:space="preserve"> PAGEREF _Toc229346230 \h </w:instrText>
            </w:r>
            <w:r>
              <w:rPr>
                <w:noProof/>
                <w:webHidden/>
              </w:rPr>
            </w:r>
            <w:r>
              <w:rPr>
                <w:noProof/>
                <w:webHidden/>
              </w:rPr>
              <w:fldChar w:fldCharType="separate"/>
            </w:r>
            <w:r>
              <w:rPr>
                <w:noProof/>
                <w:webHidden/>
              </w:rPr>
              <w:t>3</w:t>
            </w:r>
            <w:r>
              <w:rPr>
                <w:noProof/>
                <w:webHidden/>
              </w:rPr>
              <w:fldChar w:fldCharType="end"/>
            </w:r>
          </w:hyperlink>
        </w:p>
        <w:p w14:paraId="043BADB3" w14:textId="4EC136A1" w:rsidR="006E55E1" w:rsidRDefault="006E55E1">
          <w:pPr>
            <w:pStyle w:val="TOC1"/>
            <w:tabs>
              <w:tab w:val="right" w:leader="dot" w:pos="9016"/>
            </w:tabs>
            <w:rPr>
              <w:noProof/>
            </w:rPr>
          </w:pPr>
          <w:hyperlink w:anchor="_Toc229346231" w:history="1">
            <w:r w:rsidRPr="004E1037">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_Toc229346231 \h </w:instrText>
            </w:r>
            <w:r>
              <w:rPr>
                <w:noProof/>
                <w:webHidden/>
              </w:rPr>
            </w:r>
            <w:r>
              <w:rPr>
                <w:noProof/>
                <w:webHidden/>
              </w:rPr>
              <w:fldChar w:fldCharType="separate"/>
            </w:r>
            <w:r>
              <w:rPr>
                <w:noProof/>
                <w:webHidden/>
              </w:rPr>
              <w:t>4</w:t>
            </w:r>
            <w:r>
              <w:rPr>
                <w:noProof/>
                <w:webHidden/>
              </w:rPr>
              <w:fldChar w:fldCharType="end"/>
            </w:r>
          </w:hyperlink>
        </w:p>
        <w:p w14:paraId="00834FFF" w14:textId="3AA58FA2" w:rsidR="006E55E1" w:rsidRDefault="006E55E1">
          <w:pPr>
            <w:pStyle w:val="TOC1"/>
            <w:tabs>
              <w:tab w:val="right" w:leader="dot" w:pos="9016"/>
            </w:tabs>
            <w:rPr>
              <w:noProof/>
            </w:rPr>
          </w:pPr>
          <w:hyperlink w:anchor="_Toc229346232" w:history="1">
            <w:r w:rsidRPr="004E1037">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_Toc229346232 \h </w:instrText>
            </w:r>
            <w:r>
              <w:rPr>
                <w:noProof/>
                <w:webHidden/>
              </w:rPr>
            </w:r>
            <w:r>
              <w:rPr>
                <w:noProof/>
                <w:webHidden/>
              </w:rPr>
              <w:fldChar w:fldCharType="separate"/>
            </w:r>
            <w:r>
              <w:rPr>
                <w:noProof/>
                <w:webHidden/>
              </w:rPr>
              <w:t>7</w:t>
            </w:r>
            <w:r>
              <w:rPr>
                <w:noProof/>
                <w:webHidden/>
              </w:rPr>
              <w:fldChar w:fldCharType="end"/>
            </w:r>
          </w:hyperlink>
        </w:p>
        <w:p w14:paraId="48A0A44E" w14:textId="7352EF31" w:rsidR="006E55E1" w:rsidRDefault="006E55E1">
          <w:pPr>
            <w:pStyle w:val="TOC1"/>
            <w:tabs>
              <w:tab w:val="right" w:leader="dot" w:pos="9016"/>
            </w:tabs>
            <w:rPr>
              <w:noProof/>
            </w:rPr>
          </w:pPr>
          <w:hyperlink w:anchor="_Toc229346233" w:history="1">
            <w:r w:rsidRPr="004E1037">
              <w:rPr>
                <w:rStyle w:val="Hyperlink"/>
                <w:rFonts w:ascii="Times New Roman" w:eastAsia="Times New Roman" w:hAnsi="Times New Roman" w:cs="Times New Roman"/>
                <w:noProof/>
              </w:rPr>
              <w:t>Literature Review:</w:t>
            </w:r>
            <w:r>
              <w:rPr>
                <w:noProof/>
                <w:webHidden/>
              </w:rPr>
              <w:tab/>
            </w:r>
            <w:r>
              <w:rPr>
                <w:noProof/>
                <w:webHidden/>
              </w:rPr>
              <w:fldChar w:fldCharType="begin"/>
            </w:r>
            <w:r>
              <w:rPr>
                <w:noProof/>
                <w:webHidden/>
              </w:rPr>
              <w:instrText xml:space="preserve"> PAGEREF _Toc229346233 \h </w:instrText>
            </w:r>
            <w:r>
              <w:rPr>
                <w:noProof/>
                <w:webHidden/>
              </w:rPr>
            </w:r>
            <w:r>
              <w:rPr>
                <w:noProof/>
                <w:webHidden/>
              </w:rPr>
              <w:fldChar w:fldCharType="separate"/>
            </w:r>
            <w:r>
              <w:rPr>
                <w:noProof/>
                <w:webHidden/>
              </w:rPr>
              <w:t>12</w:t>
            </w:r>
            <w:r>
              <w:rPr>
                <w:noProof/>
                <w:webHidden/>
              </w:rPr>
              <w:fldChar w:fldCharType="end"/>
            </w:r>
          </w:hyperlink>
        </w:p>
        <w:p w14:paraId="55CC26CB" w14:textId="0D651EDF" w:rsidR="006E55E1" w:rsidRDefault="006E55E1">
          <w:pPr>
            <w:pStyle w:val="TOC1"/>
            <w:tabs>
              <w:tab w:val="right" w:leader="dot" w:pos="9016"/>
            </w:tabs>
            <w:rPr>
              <w:noProof/>
            </w:rPr>
          </w:pPr>
          <w:hyperlink w:anchor="_Toc229346234" w:history="1">
            <w:r w:rsidRPr="004E1037">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_Toc229346234 \h </w:instrText>
            </w:r>
            <w:r>
              <w:rPr>
                <w:noProof/>
                <w:webHidden/>
              </w:rPr>
            </w:r>
            <w:r>
              <w:rPr>
                <w:noProof/>
                <w:webHidden/>
              </w:rPr>
              <w:fldChar w:fldCharType="separate"/>
            </w:r>
            <w:r>
              <w:rPr>
                <w:noProof/>
                <w:webHidden/>
              </w:rPr>
              <w:t>25</w:t>
            </w:r>
            <w:r>
              <w:rPr>
                <w:noProof/>
                <w:webHidden/>
              </w:rPr>
              <w:fldChar w:fldCharType="end"/>
            </w:r>
          </w:hyperlink>
        </w:p>
        <w:p w14:paraId="13F9129D" w14:textId="64687858" w:rsidR="006E55E1" w:rsidRDefault="006E55E1">
          <w:pPr>
            <w:pStyle w:val="TOC1"/>
            <w:tabs>
              <w:tab w:val="right" w:leader="dot" w:pos="9016"/>
            </w:tabs>
            <w:rPr>
              <w:noProof/>
            </w:rPr>
          </w:pPr>
          <w:hyperlink w:anchor="_Toc229346235" w:history="1">
            <w:r w:rsidRPr="004E1037">
              <w:rPr>
                <w:rStyle w:val="Hyperlink"/>
                <w:rFonts w:ascii="Times New Roman" w:eastAsia="Times New Roman" w:hAnsi="Times New Roman" w:cs="Times New Roman"/>
                <w:noProof/>
              </w:rPr>
              <w:t>Historical context:</w:t>
            </w:r>
            <w:r>
              <w:rPr>
                <w:noProof/>
                <w:webHidden/>
              </w:rPr>
              <w:tab/>
            </w:r>
            <w:r>
              <w:rPr>
                <w:noProof/>
                <w:webHidden/>
              </w:rPr>
              <w:fldChar w:fldCharType="begin"/>
            </w:r>
            <w:r>
              <w:rPr>
                <w:noProof/>
                <w:webHidden/>
              </w:rPr>
              <w:instrText xml:space="preserve"> PAGEREF _Toc229346235 \h </w:instrText>
            </w:r>
            <w:r>
              <w:rPr>
                <w:noProof/>
                <w:webHidden/>
              </w:rPr>
            </w:r>
            <w:r>
              <w:rPr>
                <w:noProof/>
                <w:webHidden/>
              </w:rPr>
              <w:fldChar w:fldCharType="separate"/>
            </w:r>
            <w:r>
              <w:rPr>
                <w:noProof/>
                <w:webHidden/>
              </w:rPr>
              <w:t>31</w:t>
            </w:r>
            <w:r>
              <w:rPr>
                <w:noProof/>
                <w:webHidden/>
              </w:rPr>
              <w:fldChar w:fldCharType="end"/>
            </w:r>
          </w:hyperlink>
        </w:p>
        <w:p w14:paraId="554BD4D8" w14:textId="507589C8" w:rsidR="006E55E1" w:rsidRDefault="006E55E1">
          <w:pPr>
            <w:pStyle w:val="TOC1"/>
            <w:tabs>
              <w:tab w:val="right" w:leader="dot" w:pos="9016"/>
            </w:tabs>
            <w:rPr>
              <w:noProof/>
            </w:rPr>
          </w:pPr>
          <w:hyperlink w:anchor="_Toc229346236" w:history="1">
            <w:r w:rsidRPr="004E1037">
              <w:rPr>
                <w:rStyle w:val="Hyperlink"/>
                <w:rFonts w:ascii="Times New Roman" w:hAnsi="Times New Roman" w:cs="Times New Roman"/>
                <w:noProof/>
              </w:rPr>
              <w:t>Discussion of the findings:</w:t>
            </w:r>
            <w:r>
              <w:rPr>
                <w:noProof/>
                <w:webHidden/>
              </w:rPr>
              <w:tab/>
            </w:r>
            <w:r>
              <w:rPr>
                <w:noProof/>
                <w:webHidden/>
              </w:rPr>
              <w:fldChar w:fldCharType="begin"/>
            </w:r>
            <w:r>
              <w:rPr>
                <w:noProof/>
                <w:webHidden/>
              </w:rPr>
              <w:instrText xml:space="preserve"> PAGEREF _Toc229346236 \h </w:instrText>
            </w:r>
            <w:r>
              <w:rPr>
                <w:noProof/>
                <w:webHidden/>
              </w:rPr>
            </w:r>
            <w:r>
              <w:rPr>
                <w:noProof/>
                <w:webHidden/>
              </w:rPr>
              <w:fldChar w:fldCharType="separate"/>
            </w:r>
            <w:r>
              <w:rPr>
                <w:noProof/>
                <w:webHidden/>
              </w:rPr>
              <w:t>42</w:t>
            </w:r>
            <w:r>
              <w:rPr>
                <w:noProof/>
                <w:webHidden/>
              </w:rPr>
              <w:fldChar w:fldCharType="end"/>
            </w:r>
          </w:hyperlink>
        </w:p>
        <w:p w14:paraId="59314B11" w14:textId="01C88C77" w:rsidR="006E55E1" w:rsidRDefault="006E55E1">
          <w:pPr>
            <w:pStyle w:val="TOC1"/>
            <w:tabs>
              <w:tab w:val="right" w:leader="dot" w:pos="9016"/>
            </w:tabs>
            <w:rPr>
              <w:noProof/>
            </w:rPr>
          </w:pPr>
          <w:hyperlink w:anchor="_Toc229346237" w:history="1">
            <w:r w:rsidRPr="004E103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_Toc229346237 \h </w:instrText>
            </w:r>
            <w:r>
              <w:rPr>
                <w:noProof/>
                <w:webHidden/>
              </w:rPr>
            </w:r>
            <w:r>
              <w:rPr>
                <w:noProof/>
                <w:webHidden/>
              </w:rPr>
              <w:fldChar w:fldCharType="separate"/>
            </w:r>
            <w:r>
              <w:rPr>
                <w:noProof/>
                <w:webHidden/>
              </w:rPr>
              <w:t>53</w:t>
            </w:r>
            <w:r>
              <w:rPr>
                <w:noProof/>
                <w:webHidden/>
              </w:rPr>
              <w:fldChar w:fldCharType="end"/>
            </w:r>
          </w:hyperlink>
        </w:p>
        <w:p w14:paraId="5319BAE5" w14:textId="64392858" w:rsidR="006E55E1" w:rsidRDefault="006E55E1">
          <w:pPr>
            <w:pStyle w:val="TOC1"/>
            <w:tabs>
              <w:tab w:val="right" w:leader="dot" w:pos="9016"/>
            </w:tabs>
            <w:rPr>
              <w:noProof/>
            </w:rPr>
          </w:pPr>
          <w:hyperlink w:anchor="_Toc229346238" w:history="1">
            <w:r w:rsidRPr="004E1037">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_Toc229346238 \h </w:instrText>
            </w:r>
            <w:r>
              <w:rPr>
                <w:noProof/>
                <w:webHidden/>
              </w:rPr>
            </w:r>
            <w:r>
              <w:rPr>
                <w:noProof/>
                <w:webHidden/>
              </w:rPr>
              <w:fldChar w:fldCharType="separate"/>
            </w:r>
            <w:r>
              <w:rPr>
                <w:noProof/>
                <w:webHidden/>
              </w:rPr>
              <w:t>55</w:t>
            </w:r>
            <w:r>
              <w:rPr>
                <w:noProof/>
                <w:webHidden/>
              </w:rPr>
              <w:fldChar w:fldCharType="end"/>
            </w:r>
          </w:hyperlink>
        </w:p>
        <w:p w14:paraId="5BCFE76F" w14:textId="1D23B65D" w:rsidR="007501C8" w:rsidRPr="005C3000" w:rsidRDefault="007F6A98" w:rsidP="005C3000">
          <w:pPr>
            <w:spacing w:line="480" w:lineRule="auto"/>
            <w:rPr>
              <w:rFonts w:ascii="Times New Roman" w:hAnsi="Times New Roman" w:cs="Times New Roman"/>
            </w:rPr>
          </w:pPr>
          <w:r w:rsidRPr="007F5B7E">
            <w:rPr>
              <w:rFonts w:ascii="Times New Roman" w:hAnsi="Times New Roman" w:cs="Times New Roman"/>
              <w:noProof/>
            </w:rPr>
            <w:fldChar w:fldCharType="end"/>
          </w:r>
        </w:p>
      </w:sdtContent>
    </w:sdt>
    <w:p w14:paraId="61C45E8C" w14:textId="77777777" w:rsidR="006F17FC" w:rsidRDefault="006F17FC" w:rsidP="006A22BA">
      <w:pPr>
        <w:spacing w:after="0" w:line="480" w:lineRule="auto"/>
        <w:rPr>
          <w:rFonts w:ascii="Times New Roman" w:eastAsia="Times New Roman" w:hAnsi="Times New Roman" w:cs="Times New Roman"/>
          <w:kern w:val="0"/>
          <w14:ligatures w14:val="none"/>
        </w:rPr>
      </w:pPr>
    </w:p>
    <w:p w14:paraId="780E2733" w14:textId="77777777" w:rsidR="005C3000" w:rsidRDefault="005C3000" w:rsidP="006A22BA">
      <w:pPr>
        <w:spacing w:after="0" w:line="480" w:lineRule="auto"/>
        <w:rPr>
          <w:rFonts w:ascii="Times New Roman" w:eastAsia="Times New Roman" w:hAnsi="Times New Roman" w:cs="Times New Roman"/>
          <w:kern w:val="0"/>
          <w14:ligatures w14:val="none"/>
        </w:rPr>
      </w:pPr>
    </w:p>
    <w:p w14:paraId="4DC04F18" w14:textId="77777777" w:rsidR="005C3000" w:rsidRDefault="005C3000" w:rsidP="006A22BA">
      <w:pPr>
        <w:spacing w:after="0" w:line="480" w:lineRule="auto"/>
        <w:rPr>
          <w:rFonts w:ascii="Times New Roman" w:eastAsia="Times New Roman" w:hAnsi="Times New Roman" w:cs="Times New Roman"/>
          <w:kern w:val="0"/>
          <w14:ligatures w14:val="none"/>
        </w:rPr>
      </w:pPr>
    </w:p>
    <w:p w14:paraId="159424FE" w14:textId="77777777" w:rsidR="005C3000" w:rsidRDefault="005C3000" w:rsidP="006A22BA">
      <w:pPr>
        <w:spacing w:after="0" w:line="480" w:lineRule="auto"/>
        <w:rPr>
          <w:rFonts w:ascii="Times New Roman" w:eastAsia="Times New Roman" w:hAnsi="Times New Roman" w:cs="Times New Roman"/>
          <w:kern w:val="0"/>
          <w14:ligatures w14:val="none"/>
        </w:rPr>
      </w:pPr>
    </w:p>
    <w:p w14:paraId="7F2D1D92" w14:textId="77777777" w:rsidR="005C3000" w:rsidRDefault="005C3000" w:rsidP="006A22BA">
      <w:pPr>
        <w:spacing w:after="0" w:line="480" w:lineRule="auto"/>
        <w:rPr>
          <w:rFonts w:ascii="Times New Roman" w:eastAsia="Times New Roman" w:hAnsi="Times New Roman" w:cs="Times New Roman"/>
          <w:kern w:val="0"/>
          <w14:ligatures w14:val="none"/>
        </w:rPr>
      </w:pPr>
    </w:p>
    <w:p w14:paraId="4520CC15" w14:textId="77777777" w:rsidR="005C3000" w:rsidRDefault="005C3000" w:rsidP="006A22BA">
      <w:pPr>
        <w:spacing w:after="0" w:line="480" w:lineRule="auto"/>
        <w:rPr>
          <w:rFonts w:ascii="Times New Roman" w:eastAsia="Times New Roman" w:hAnsi="Times New Roman" w:cs="Times New Roman"/>
          <w:kern w:val="0"/>
          <w14:ligatures w14:val="none"/>
        </w:rPr>
      </w:pPr>
    </w:p>
    <w:p w14:paraId="0CE2BA1E" w14:textId="77777777" w:rsidR="005C3000" w:rsidRDefault="005C3000" w:rsidP="006A22BA">
      <w:pPr>
        <w:spacing w:after="0" w:line="480" w:lineRule="auto"/>
        <w:rPr>
          <w:rFonts w:ascii="Times New Roman" w:eastAsia="Times New Roman" w:hAnsi="Times New Roman" w:cs="Times New Roman"/>
          <w:kern w:val="0"/>
          <w14:ligatures w14:val="none"/>
        </w:rPr>
      </w:pPr>
    </w:p>
    <w:p w14:paraId="1DA97C8E" w14:textId="77777777" w:rsidR="005C3000" w:rsidRDefault="005C3000" w:rsidP="006A22BA">
      <w:pPr>
        <w:spacing w:after="0" w:line="480" w:lineRule="auto"/>
        <w:rPr>
          <w:rFonts w:ascii="Times New Roman" w:eastAsia="Times New Roman" w:hAnsi="Times New Roman" w:cs="Times New Roman"/>
          <w:kern w:val="0"/>
          <w14:ligatures w14:val="none"/>
        </w:rPr>
      </w:pPr>
    </w:p>
    <w:p w14:paraId="0C453E04" w14:textId="77777777" w:rsidR="005C3000" w:rsidRDefault="005C3000" w:rsidP="006A22BA">
      <w:pPr>
        <w:spacing w:after="0" w:line="480" w:lineRule="auto"/>
        <w:rPr>
          <w:rFonts w:ascii="Times New Roman" w:eastAsia="Times New Roman" w:hAnsi="Times New Roman" w:cs="Times New Roman"/>
          <w:kern w:val="0"/>
          <w14:ligatures w14:val="none"/>
        </w:rPr>
      </w:pPr>
    </w:p>
    <w:p w14:paraId="37917DA4" w14:textId="77777777" w:rsidR="005C3000" w:rsidRDefault="005C3000" w:rsidP="006A22BA">
      <w:pPr>
        <w:spacing w:after="0" w:line="480" w:lineRule="auto"/>
        <w:rPr>
          <w:rFonts w:ascii="Times New Roman" w:eastAsia="Times New Roman" w:hAnsi="Times New Roman" w:cs="Times New Roman"/>
          <w:kern w:val="0"/>
          <w14:ligatures w14:val="none"/>
        </w:rPr>
      </w:pPr>
    </w:p>
    <w:p w14:paraId="1B30C9AB" w14:textId="77777777" w:rsidR="005C3000" w:rsidRDefault="005C3000" w:rsidP="006A22BA">
      <w:pPr>
        <w:spacing w:after="0" w:line="480" w:lineRule="auto"/>
        <w:rPr>
          <w:rFonts w:ascii="Times New Roman" w:eastAsia="Times New Roman" w:hAnsi="Times New Roman" w:cs="Times New Roman"/>
          <w:kern w:val="0"/>
          <w14:ligatures w14:val="none"/>
        </w:rPr>
      </w:pPr>
    </w:p>
    <w:p w14:paraId="44038493" w14:textId="77777777" w:rsidR="005C3000" w:rsidRDefault="005C3000" w:rsidP="006A22BA">
      <w:pPr>
        <w:spacing w:after="0" w:line="480" w:lineRule="auto"/>
        <w:rPr>
          <w:rFonts w:ascii="Times New Roman" w:eastAsia="Times New Roman" w:hAnsi="Times New Roman" w:cs="Times New Roman"/>
          <w:kern w:val="0"/>
          <w14:ligatures w14:val="none"/>
        </w:rPr>
      </w:pPr>
    </w:p>
    <w:p w14:paraId="73BAF7F3" w14:textId="77777777" w:rsidR="005C3000" w:rsidRDefault="005C3000" w:rsidP="006A22BA">
      <w:pPr>
        <w:spacing w:after="0" w:line="480" w:lineRule="auto"/>
        <w:rPr>
          <w:rFonts w:ascii="Times New Roman" w:eastAsia="Times New Roman" w:hAnsi="Times New Roman" w:cs="Times New Roman"/>
          <w:kern w:val="0"/>
          <w14:ligatures w14:val="none"/>
        </w:rPr>
      </w:pPr>
    </w:p>
    <w:p w14:paraId="0A51244B" w14:textId="77777777" w:rsidR="005C3000" w:rsidRDefault="005C3000" w:rsidP="006A22BA">
      <w:pPr>
        <w:spacing w:after="0" w:line="480" w:lineRule="auto"/>
        <w:rPr>
          <w:rFonts w:ascii="Times New Roman" w:eastAsia="Times New Roman" w:hAnsi="Times New Roman" w:cs="Times New Roman"/>
          <w:kern w:val="0"/>
          <w14:ligatures w14:val="none"/>
        </w:rPr>
      </w:pPr>
    </w:p>
    <w:p w14:paraId="144155FB" w14:textId="77777777" w:rsidR="005C3000" w:rsidRPr="007F5B7E" w:rsidRDefault="005C3000" w:rsidP="006A22BA">
      <w:pPr>
        <w:spacing w:after="0" w:line="480" w:lineRule="auto"/>
        <w:rPr>
          <w:rFonts w:ascii="Times New Roman" w:eastAsia="Times New Roman" w:hAnsi="Times New Roman" w:cs="Times New Roman"/>
          <w:kern w:val="0"/>
          <w14:ligatures w14:val="none"/>
        </w:rPr>
      </w:pPr>
    </w:p>
    <w:p w14:paraId="705DC90B" w14:textId="77777777" w:rsidR="00F6665A" w:rsidRDefault="00F6665A" w:rsidP="006A22BA">
      <w:pPr>
        <w:pStyle w:val="Heading1"/>
        <w:spacing w:line="480" w:lineRule="auto"/>
        <w:rPr>
          <w:rFonts w:ascii="Times New Roman" w:eastAsia="Times New Roman" w:hAnsi="Times New Roman" w:cs="Times New Roman"/>
          <w:color w:val="000000" w:themeColor="text1"/>
          <w:sz w:val="28"/>
          <w:szCs w:val="28"/>
        </w:rPr>
      </w:pPr>
      <w:bookmarkStart w:id="3" w:name="_Toc229346232"/>
      <w:r w:rsidRPr="007F5B7E">
        <w:rPr>
          <w:rFonts w:ascii="Times New Roman" w:eastAsia="Times New Roman" w:hAnsi="Times New Roman" w:cs="Times New Roman"/>
          <w:color w:val="000000" w:themeColor="text1"/>
          <w:sz w:val="28"/>
          <w:szCs w:val="28"/>
        </w:rPr>
        <w:lastRenderedPageBreak/>
        <w:t>Introduction:</w:t>
      </w:r>
      <w:bookmarkEnd w:id="3"/>
    </w:p>
    <w:p w14:paraId="7E1B78FC" w14:textId="59FD0BD2"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Gender inequality within the United Kingdom has been a persistent feature of social engagement, economic stance, employment and access to opportunities over the last century. Despite numerous legislative reforms, positive action/activism, and broadening cultural norms, an unequal distribution of power/authority and legitimacy continues to structure employment, informing and reinforcing gendered gaps and spaces. This dissertation examines how gendered power, identity, and legitimacy have been (re)produced, socially constructed, contested, and embedded in the UK’s institutional framework, shaping workplace norms and inequalities from 1925 to 2025. </w:t>
      </w:r>
    </w:p>
    <w:p w14:paraId="47F36E71" w14:textId="5BBB6429"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This paper explores the organisational norms, policies, and interventions across the last century to highlight the durability of gender inequality. It examines how patterns of inequality have evolved, becoming concealed and reinforced within the UK's employment sphere. Whilst formal barriers to employment inclusion in the UK are consistently reduced, to address this historic gender bias, inequality has not disappeared. Inequality has been reorganised to hide in plain sight throughout the recruitment and employment processes, from interview to role allocation, contact and position stability. Gendered assumptions continue to influence recruitment, promotion, pay, social and formal evaluations of performance and merit, leadership norms, and the distribution of responsibility and expectation, rooted in accountability. As Joan Acker (1990) argues, “organisations are not gender-neutral; they are sites where gender is produced.” (Acker, 1990, p. 32). This theory presents a central argument and concern: gender inequality is not merely the byproduct of an individual's prejudice or historical patterns, but rather a consistent process produced and reinforced in the organisation, practice, and culture of the everyday UK workplace. </w:t>
      </w:r>
    </w:p>
    <w:p w14:paraId="46F53C10" w14:textId="3CF0A226"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lastRenderedPageBreak/>
        <w:t xml:space="preserve">The present argument of this dissertation adopts an historic position beginning in 1925, marked by the First World War's restructuring of occupational norms following male deployment in the UK. This led to the reassessment of women’s abilities and legitimacy. The restructuring of social norms over the last century has been shaped by equality legislation, ideologies such as neoliberalism, and renewed feminist and positive action mobilisation. This lens aims to examine the continuity and development of hierarchies within gendered spaces and how these systems are recognised, legitimised, and reinforced even in plain view.   Understanding gender as a performative, relational, and political tool is necessary for exploring workplace interaction and experience. Judith Butler argued in 1990 that “there is no gender identity behind the expressions of gender; identity is performatively constituted by the very ‘expressions’ that are said to be its results” (Butler, 1990, p.137), which challenges accounts of gender difference and highlights the role of repetitive and collective action in sustaining inequality. </w:t>
      </w:r>
    </w:p>
    <w:p w14:paraId="490E0D26"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Similarly, West and Zimmerman (1987) argue, “gender is not something we are, but something we do” (West and Zimmerman, 1987, p.14). This again emphasises how interaction, performance, and behaviour within the workplace reinforce sites where gender is continuously enacted and judged. Constructed based on these theoretical grounds, this dissertation introduces the conceptual tool and thought experiment ‘If you were a man for a day’ as an analytical device. Rather than treating it as a literal change or a biological difference, the thought experiment aims to explore and understand individual conceptual shifts in personality, positionality, and performance. </w:t>
      </w:r>
    </w:p>
    <w:p w14:paraId="3B1B54C1" w14:textId="77777777" w:rsidR="005C3000" w:rsidRPr="005C3000" w:rsidRDefault="005C3000" w:rsidP="005C3000">
      <w:pPr>
        <w:spacing w:line="480" w:lineRule="auto"/>
        <w:jc w:val="both"/>
        <w:rPr>
          <w:rFonts w:ascii="Times New Roman" w:hAnsi="Times New Roman" w:cs="Times New Roman"/>
        </w:rPr>
      </w:pPr>
    </w:p>
    <w:p w14:paraId="606CD66A" w14:textId="7BB01822"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It invites critical reflection on how credibility, authority, safety, risk, emotional labour, and organisational belonging are experienced and interpreted differently, depending on one’s perceived gender and individual circumstances. By repositioning the subject within the </w:t>
      </w:r>
      <w:r w:rsidRPr="005C3000">
        <w:rPr>
          <w:rFonts w:ascii="Times New Roman" w:hAnsi="Times New Roman" w:cs="Times New Roman"/>
        </w:rPr>
        <w:lastRenderedPageBreak/>
        <w:t xml:space="preserve">employment sphere and gendered workplace norms and values, the device aids in providing visibility to the often overlooked, internalised social privilege associated with masculinity. It exposes how gendered power is embodied and normalised in everyday life and social interaction. </w:t>
      </w:r>
    </w:p>
    <w:p w14:paraId="25655EC0" w14:textId="2184B02E" w:rsid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This approach aligns with feminist traditions that seek to modify unjust power dynamics by making them visible.  As Joan Scott (1986) argues, “gender is a primary way of signifying relationships of power.” (Scott, 1986, p.42) The thought experiment serves as a methodological prompt that highlights how power relations are lived/acted rather than structured/presented, thereby drawing attention to individual/micro experiences and expressions of gender inequality while remaining grounded in an institutional/macro context and analysis of the UK workforce. This reflects Sara Ahmed’s (2017) insistence that “feminism is homework: you have to keep doing it; you have to keep saying it.” (Ahmed, 2017, p.22) This positions the fight against gender inequality as an ongoing process, adapting to persistent shifts in employment opportunities whilst simultaneously acknowledging prejudice embedded in everyday practice.</w:t>
      </w:r>
    </w:p>
    <w:p w14:paraId="72EE7371" w14:textId="77777777" w:rsidR="005C3000" w:rsidRPr="005C3000" w:rsidRDefault="005C3000" w:rsidP="005C3000">
      <w:pPr>
        <w:spacing w:line="480" w:lineRule="auto"/>
        <w:jc w:val="both"/>
        <w:rPr>
          <w:rFonts w:ascii="Times New Roman" w:hAnsi="Times New Roman" w:cs="Times New Roman"/>
        </w:rPr>
      </w:pPr>
    </w:p>
    <w:p w14:paraId="6A5244AF"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The dissertation further engages with theories of hegemonic masculinity to examine how certain forms of masculinity become culturally legitimised within UK workplaces. Connell and Messerschmidt (2005) describe hegemonic masculinity as that which “embodies the currently accepted answer to the problem of the legitimacy of patriarchy.” (Connell and Messerschmidt, 2005, p.11) Within workplace settings, this legitimacy manifests through the social norms associated with leadership, such as availability, competitiveness, emotional restraint, and uninterrupted career trajectories. These are typically associated with male colleagues who do not have the constraints of female anatomy nor gender bias in familial relationships that systematically advantage some workers while marginalising others. </w:t>
      </w:r>
    </w:p>
    <w:p w14:paraId="7121DDF7"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lastRenderedPageBreak/>
        <w:t xml:space="preserve">It is important that the analysis does not treat gender as a singular or universal experience. Recognising ethnicity, experience, and personal/organisational morale can impact the way gender is performed, engaged with and valued within the workplace. Drawing on Kimberlé Crenshaw’s (1989) concept of intersectionality, “the intersectional experience is greater than the sum of racism and sexism” (Crenshaw, 1989, p.60), this dissertation aims to recognise that workplace gender inequality is shaped by race, class, sexuality, disability, and trans identity among a multitude of personal, social and institutional effects. In 2008, Stryker argued that “the categories of ‘man’ and ‘woman’ are themselves historical constructs” (Stryker, 2008). This sheds light on how refusing to accept fixed gender binaries can offer a more inclusive, sensitive, and historical account of workplace power dynamics and equality. </w:t>
      </w:r>
    </w:p>
    <w:p w14:paraId="1C73E244" w14:textId="77777777" w:rsidR="005C3000" w:rsidRPr="005C3000" w:rsidRDefault="005C3000" w:rsidP="005C3000">
      <w:pPr>
        <w:spacing w:line="480" w:lineRule="auto"/>
        <w:jc w:val="both"/>
        <w:rPr>
          <w:rFonts w:ascii="Times New Roman" w:hAnsi="Times New Roman" w:cs="Times New Roman"/>
        </w:rPr>
      </w:pPr>
    </w:p>
    <w:p w14:paraId="7FA8652D" w14:textId="19D9E658"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This dissertation is greatly influenced and anchored by Jiang and Zhou’s (2022) analysis of gender inequality in the UK employment relationship. Using a similar model/structure, moving from historical background to contemporary inequalities, theoretical explanations, mechanisms, and reform pathways. This provides a framework for examining how historic patterns of discrimination persist despite formal commitments made to equality. They note, “gender inequality in employment in the UK has persisted on the labour market,” with mechanisms such as recruitment bias, unequal care burdens, and gender coded labour norms continuing to shape employment/labour outcomes.</w:t>
      </w:r>
    </w:p>
    <w:p w14:paraId="0F11100D" w14:textId="77777777" w:rsidR="005C3000" w:rsidRPr="005C3000" w:rsidRDefault="005C3000" w:rsidP="005C3000">
      <w:pPr>
        <w:spacing w:line="480" w:lineRule="auto"/>
        <w:jc w:val="both"/>
        <w:rPr>
          <w:rFonts w:ascii="Times New Roman" w:hAnsi="Times New Roman" w:cs="Times New Roman"/>
        </w:rPr>
      </w:pPr>
    </w:p>
    <w:p w14:paraId="3CB55CBC" w14:textId="7A3E6774" w:rsid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Ultimately, this dissertation seeks not only to document inequality but to explain how it is reproduced, legitimised, and occasionally disrupted by integrating feminist theory, workplace sociology, policy history, and analytical tools such as the “if you were a man for a day” thought process, for critical reflection on how workplace power might be reimagined and transformed. </w:t>
      </w:r>
      <w:r w:rsidRPr="005C3000">
        <w:rPr>
          <w:rFonts w:ascii="Times New Roman" w:hAnsi="Times New Roman" w:cs="Times New Roman"/>
        </w:rPr>
        <w:lastRenderedPageBreak/>
        <w:t xml:space="preserve">This study argues that gender inequality in the UK employment </w:t>
      </w:r>
      <w:proofErr w:type="gramStart"/>
      <w:r w:rsidRPr="005C3000">
        <w:rPr>
          <w:rFonts w:ascii="Times New Roman" w:hAnsi="Times New Roman" w:cs="Times New Roman"/>
        </w:rPr>
        <w:t>sector  is</w:t>
      </w:r>
      <w:proofErr w:type="gramEnd"/>
      <w:r w:rsidRPr="005C3000">
        <w:rPr>
          <w:rFonts w:ascii="Times New Roman" w:hAnsi="Times New Roman" w:cs="Times New Roman"/>
        </w:rPr>
        <w:t xml:space="preserve"> sustained through performance, routine, institutional hierarchies, culture, and reinforced stereotypes. Despite a century of policy, visibility and positive action, the position of gender equality remains fluid and highly individualised within institutions.</w:t>
      </w:r>
    </w:p>
    <w:p w14:paraId="77B89996" w14:textId="77777777" w:rsidR="005C3000" w:rsidRDefault="005C3000" w:rsidP="005C3000">
      <w:pPr>
        <w:spacing w:line="480" w:lineRule="auto"/>
        <w:jc w:val="both"/>
        <w:rPr>
          <w:rFonts w:ascii="Times New Roman" w:hAnsi="Times New Roman" w:cs="Times New Roman"/>
        </w:rPr>
      </w:pPr>
    </w:p>
    <w:p w14:paraId="2A84D76A" w14:textId="77777777" w:rsidR="005C3000" w:rsidRDefault="005C3000" w:rsidP="005C3000">
      <w:pPr>
        <w:spacing w:line="480" w:lineRule="auto"/>
        <w:jc w:val="both"/>
        <w:rPr>
          <w:rFonts w:ascii="Times New Roman" w:hAnsi="Times New Roman" w:cs="Times New Roman"/>
        </w:rPr>
      </w:pPr>
    </w:p>
    <w:p w14:paraId="4E1D90E9" w14:textId="77777777" w:rsidR="005C3000" w:rsidRDefault="005C3000" w:rsidP="005C3000">
      <w:pPr>
        <w:spacing w:line="480" w:lineRule="auto"/>
        <w:jc w:val="both"/>
        <w:rPr>
          <w:rFonts w:ascii="Times New Roman" w:hAnsi="Times New Roman" w:cs="Times New Roman"/>
        </w:rPr>
      </w:pPr>
    </w:p>
    <w:p w14:paraId="477AF6F6" w14:textId="77777777" w:rsidR="005C3000" w:rsidRDefault="005C3000" w:rsidP="005C3000">
      <w:pPr>
        <w:spacing w:line="480" w:lineRule="auto"/>
        <w:jc w:val="both"/>
        <w:rPr>
          <w:rFonts w:ascii="Times New Roman" w:hAnsi="Times New Roman" w:cs="Times New Roman"/>
        </w:rPr>
      </w:pPr>
    </w:p>
    <w:p w14:paraId="572BFAAE" w14:textId="77777777" w:rsidR="005C3000" w:rsidRDefault="005C3000" w:rsidP="005C3000">
      <w:pPr>
        <w:spacing w:line="480" w:lineRule="auto"/>
        <w:jc w:val="both"/>
        <w:rPr>
          <w:rFonts w:ascii="Times New Roman" w:hAnsi="Times New Roman" w:cs="Times New Roman"/>
        </w:rPr>
      </w:pPr>
    </w:p>
    <w:p w14:paraId="744182A0" w14:textId="77777777" w:rsidR="005C3000" w:rsidRDefault="005C3000" w:rsidP="005C3000">
      <w:pPr>
        <w:spacing w:line="480" w:lineRule="auto"/>
        <w:jc w:val="both"/>
        <w:rPr>
          <w:rFonts w:ascii="Times New Roman" w:hAnsi="Times New Roman" w:cs="Times New Roman"/>
        </w:rPr>
      </w:pPr>
    </w:p>
    <w:p w14:paraId="560ACF84" w14:textId="77777777" w:rsidR="005C3000" w:rsidRDefault="005C3000" w:rsidP="005C3000">
      <w:pPr>
        <w:spacing w:line="480" w:lineRule="auto"/>
        <w:jc w:val="both"/>
        <w:rPr>
          <w:rFonts w:ascii="Times New Roman" w:hAnsi="Times New Roman" w:cs="Times New Roman"/>
        </w:rPr>
      </w:pPr>
    </w:p>
    <w:p w14:paraId="49FD84A1" w14:textId="77777777" w:rsidR="005C3000" w:rsidRDefault="005C3000" w:rsidP="005C3000">
      <w:pPr>
        <w:spacing w:line="480" w:lineRule="auto"/>
        <w:jc w:val="both"/>
        <w:rPr>
          <w:rFonts w:ascii="Times New Roman" w:hAnsi="Times New Roman" w:cs="Times New Roman"/>
        </w:rPr>
      </w:pPr>
    </w:p>
    <w:p w14:paraId="75668CD5" w14:textId="77777777" w:rsidR="005C3000" w:rsidRDefault="005C3000" w:rsidP="005C3000">
      <w:pPr>
        <w:spacing w:line="480" w:lineRule="auto"/>
        <w:jc w:val="both"/>
        <w:rPr>
          <w:rFonts w:ascii="Times New Roman" w:hAnsi="Times New Roman" w:cs="Times New Roman"/>
        </w:rPr>
      </w:pPr>
    </w:p>
    <w:p w14:paraId="78D8259D" w14:textId="77777777" w:rsidR="005C3000" w:rsidRDefault="005C3000" w:rsidP="005C3000">
      <w:pPr>
        <w:spacing w:line="480" w:lineRule="auto"/>
        <w:jc w:val="both"/>
        <w:rPr>
          <w:rFonts w:ascii="Times New Roman" w:hAnsi="Times New Roman" w:cs="Times New Roman"/>
        </w:rPr>
      </w:pPr>
    </w:p>
    <w:p w14:paraId="588473B0" w14:textId="77777777" w:rsidR="005C3000" w:rsidRDefault="005C3000" w:rsidP="005C3000">
      <w:pPr>
        <w:spacing w:line="480" w:lineRule="auto"/>
        <w:jc w:val="both"/>
        <w:rPr>
          <w:rFonts w:ascii="Times New Roman" w:hAnsi="Times New Roman" w:cs="Times New Roman"/>
        </w:rPr>
      </w:pPr>
    </w:p>
    <w:p w14:paraId="20472DF4" w14:textId="77777777" w:rsidR="005C3000" w:rsidRDefault="005C3000" w:rsidP="005C3000">
      <w:pPr>
        <w:spacing w:line="480" w:lineRule="auto"/>
        <w:jc w:val="both"/>
        <w:rPr>
          <w:rFonts w:ascii="Times New Roman" w:hAnsi="Times New Roman" w:cs="Times New Roman"/>
        </w:rPr>
      </w:pPr>
    </w:p>
    <w:p w14:paraId="33C67F2F" w14:textId="77777777" w:rsidR="005C3000" w:rsidRDefault="005C3000" w:rsidP="005C3000">
      <w:pPr>
        <w:spacing w:line="480" w:lineRule="auto"/>
        <w:jc w:val="both"/>
        <w:rPr>
          <w:rFonts w:ascii="Times New Roman" w:hAnsi="Times New Roman" w:cs="Times New Roman"/>
        </w:rPr>
      </w:pPr>
    </w:p>
    <w:p w14:paraId="6A248CE9" w14:textId="77777777" w:rsidR="005C3000" w:rsidRDefault="005C3000" w:rsidP="005C3000">
      <w:pPr>
        <w:spacing w:line="480" w:lineRule="auto"/>
        <w:jc w:val="both"/>
        <w:rPr>
          <w:rFonts w:ascii="Times New Roman" w:hAnsi="Times New Roman" w:cs="Times New Roman"/>
        </w:rPr>
      </w:pPr>
    </w:p>
    <w:p w14:paraId="471CFE0D" w14:textId="77777777" w:rsidR="005C3000" w:rsidRDefault="005C3000" w:rsidP="005C3000">
      <w:pPr>
        <w:spacing w:line="480" w:lineRule="auto"/>
        <w:jc w:val="both"/>
        <w:rPr>
          <w:rFonts w:ascii="Times New Roman" w:hAnsi="Times New Roman" w:cs="Times New Roman"/>
        </w:rPr>
      </w:pPr>
    </w:p>
    <w:p w14:paraId="0E9E3802" w14:textId="77777777" w:rsidR="005C3000" w:rsidRPr="005C3000" w:rsidRDefault="005C3000" w:rsidP="005C3000">
      <w:pPr>
        <w:spacing w:line="480" w:lineRule="auto"/>
        <w:jc w:val="both"/>
        <w:rPr>
          <w:rFonts w:ascii="Times New Roman" w:hAnsi="Times New Roman" w:cs="Times New Roman"/>
        </w:rPr>
      </w:pPr>
    </w:p>
    <w:p w14:paraId="15BA59BE" w14:textId="77777777" w:rsidR="00F6665A" w:rsidRDefault="00F6665A" w:rsidP="006A22BA">
      <w:pPr>
        <w:pStyle w:val="Heading1"/>
        <w:spacing w:line="480" w:lineRule="auto"/>
        <w:jc w:val="both"/>
        <w:rPr>
          <w:rFonts w:ascii="Times New Roman" w:eastAsia="Times New Roman" w:hAnsi="Times New Roman" w:cs="Times New Roman"/>
          <w:color w:val="000000" w:themeColor="text1"/>
          <w:sz w:val="24"/>
          <w:szCs w:val="24"/>
        </w:rPr>
      </w:pPr>
      <w:bookmarkStart w:id="4" w:name="_Toc229346233"/>
      <w:r w:rsidRPr="007F5B7E">
        <w:rPr>
          <w:rFonts w:ascii="Times New Roman" w:eastAsia="Times New Roman" w:hAnsi="Times New Roman" w:cs="Times New Roman"/>
          <w:color w:val="000000" w:themeColor="text1"/>
          <w:sz w:val="24"/>
          <w:szCs w:val="24"/>
        </w:rPr>
        <w:lastRenderedPageBreak/>
        <w:t>Literature Review:</w:t>
      </w:r>
      <w:bookmarkEnd w:id="4"/>
    </w:p>
    <w:p w14:paraId="4BA2B884" w14:textId="646004D6"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This chapter aims to establish the theoretical and historical foundations that both underpin and reinforce the analysis of gender, power and equality within the UK workplace from 1925 to 2025. In UK labour history and policy development, the literature is grouped into four categories: gender theory, theories of power and organisation, historical and political background material, and workplace research.</w:t>
      </w:r>
    </w:p>
    <w:p w14:paraId="151D6FA7"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Instead of approaching gender </w:t>
      </w:r>
      <w:proofErr w:type="gramStart"/>
      <w:r w:rsidRPr="005C3000">
        <w:rPr>
          <w:rFonts w:ascii="Times New Roman" w:hAnsi="Times New Roman" w:cs="Times New Roman"/>
        </w:rPr>
        <w:t>in reality as</w:t>
      </w:r>
      <w:proofErr w:type="gramEnd"/>
      <w:r w:rsidRPr="005C3000">
        <w:rPr>
          <w:rFonts w:ascii="Times New Roman" w:hAnsi="Times New Roman" w:cs="Times New Roman"/>
        </w:rPr>
        <w:t xml:space="preserve"> singular occurrences or phenomena, the literature reviewed aims to identify thematic patterns and biases that are often reproduced through institutional and social practices, organisational structures, and individual experience. Historian Joan Scott focused on how power dynamics, specifically those pertaining to gender, operate through symbolic systems such as social arenas and informal mentorship rather than solely through formal policy implementation.</w:t>
      </w:r>
      <w:r w:rsidRPr="005C3000">
        <w:rPr>
          <w:rFonts w:ascii="Times New Roman" w:hAnsi="Times New Roman" w:cs="Times New Roman"/>
        </w:rPr>
        <w:t xml:space="preserve"> </w:t>
      </w:r>
    </w:p>
    <w:p w14:paraId="44DC09A2" w14:textId="40A500D3"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Scott's research emerges from post-structuralist theory and is heavily influenced by the history of labour. As a feminist, she seeks to explain why gender inequality persists despite legal and/or formal barriers being contested and removed. Through her analysis of workplace hierarchies within UK bureaucratic systems and other professional workforce settings, Scott uses archival records, employment structures and company correspondence to examine how levels of authority had become ‘gender-coded’ over time. Her research uses case studies of clerical and administrative roles within institutions, where, despite an increase in women’s presence, power had not been transferred. This calls proportional authority into question. Scott uses document and discourse analysis, allowing insight into how organisational language, hierarchical structure, and role criteria hold preexisting social and institutional assumptions regarding gender and leadership.</w:t>
      </w:r>
    </w:p>
    <w:p w14:paraId="065D0AD3"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lastRenderedPageBreak/>
        <w:t xml:space="preserve">Scott’s central finding is that workplace inequality </w:t>
      </w:r>
      <w:proofErr w:type="spellStart"/>
      <w:r w:rsidRPr="005C3000">
        <w:rPr>
          <w:rFonts w:ascii="Times New Roman" w:hAnsi="Times New Roman" w:cs="Times New Roman"/>
        </w:rPr>
        <w:t>can not</w:t>
      </w:r>
      <w:proofErr w:type="spellEnd"/>
      <w:r w:rsidRPr="005C3000">
        <w:rPr>
          <w:rFonts w:ascii="Times New Roman" w:hAnsi="Times New Roman" w:cs="Times New Roman"/>
        </w:rPr>
        <w:t xml:space="preserve"> be adequately explained by obtaining access alone. Feminine presence within the workplace has increased; however, this </w:t>
      </w:r>
      <w:proofErr w:type="gramStart"/>
      <w:r w:rsidRPr="005C3000">
        <w:rPr>
          <w:rFonts w:ascii="Times New Roman" w:hAnsi="Times New Roman" w:cs="Times New Roman"/>
        </w:rPr>
        <w:t>in itself has</w:t>
      </w:r>
      <w:proofErr w:type="gramEnd"/>
      <w:r w:rsidRPr="005C3000">
        <w:rPr>
          <w:rFonts w:ascii="Times New Roman" w:hAnsi="Times New Roman" w:cs="Times New Roman"/>
        </w:rPr>
        <w:t xml:space="preserve"> not dismantled hierarchical gender relations. Instead, she demonstrates that power is reproduced symbolically as well as structurally, with a ‘man’s’ role defined as skilled and authoritative. In contrast, a woman’s role is presented as supportive and routine. Scott argues that this has a ‘naturalised hierarchy’ by presenting gender division as logical rather than political. She concludes, “gender is a primary way of signifying relationships of power” (Scott, 1986). Gender shapes interpersonal relations, as well as institutional structures and social norms.</w:t>
      </w:r>
    </w:p>
    <w:p w14:paraId="4F598F97" w14:textId="25511AB5"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Scott’s critique treats gender as a variable; by analysing gender as a category of power, she seeks to move past feminist scholarship’s depictions and examples of women’s disadvantage to understand how inequality is legitimised and sustained, not merely enacted. This is relevant to the dissertation as it seeks to understand how workplace hierarchies are organised and justified through gendered norms. Scott’s work presents a strong historical context and grounded methodology for analysing UK workplaces not simply as sites of unequal opportunity, but as institutions in which power is symbolic and coded through gender. </w:t>
      </w:r>
    </w:p>
    <w:p w14:paraId="5633AC8B" w14:textId="337A5EB5"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The theoretical foundations for this dissertation are grounded in Judith Butler’s concept of gender performativity. Butler focused on post-structuralism and gender theory to investigate how identities are (re)produced through language and social practice rather than being solely rooted in biology - nature vs nurture. </w:t>
      </w:r>
    </w:p>
    <w:p w14:paraId="22330ED3" w14:textId="78900E22"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Her research emerged in response to feminist debates of the 1980s that treated “woman” as a political subject, and she sought to question how such categories were constructed and maintained. Butler challenges core concepts and assumptions based in gender by arguing that gender is neither an ‘inner truth’ nor a ‘biological inevitability’, but something established </w:t>
      </w:r>
      <w:r w:rsidRPr="005C3000">
        <w:rPr>
          <w:rFonts w:ascii="Times New Roman" w:hAnsi="Times New Roman" w:cs="Times New Roman"/>
        </w:rPr>
        <w:lastRenderedPageBreak/>
        <w:t>through repeated acts, gestures, and discourses. Butler states, “there is no gender identity behind the expressions of gender; identity is performatively constituted by the very ‘expressions’ that are said to be its results” (Butler, 1990, p. 214).</w:t>
      </w:r>
    </w:p>
    <w:p w14:paraId="0FB75E24" w14:textId="497B1A06"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This adapts how gender can be focused on and framed, presenting the idea that gender is a conscious act and an ongoing process rather than a fixed, naturally ascribed category. This draws attention away from how gender is labelled to how it is enacted. Butler's theory of performativity is imperative to this analysis as norms regarding legitimacy and authority are repeatedly subject to assessment, scrutiny and challenge through behaviour. Gendered expectations and labels such as assertiveness, availability, and emotional expression, although not explicitly formal behaviours, are often described as masculine-presenting in work-based interactions. Butler's theory aids in understanding how these behaviours acquire their labels and traits, and how historical gender performance, shaped by social norms, has acquired legitimacy through repetition that reinforces organisational structure and reform. Performativity can explain why organisational norms and workplace conduct may appear objective whilst still privileging typical masculine behaviours. </w:t>
      </w:r>
    </w:p>
    <w:p w14:paraId="08A3454D"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This dissertation looks at performativity as an opportunity to expose how workplace equality initiatives may leave underlying gender norms intact despite their efforts. Even within organisations said to be committed to formal modes of equality, such as larger corporations like McDonald's and the BBC, many workers remain subject to unspoken expectations regarding how authority, confidence, and professionalism should look, operate, present and sound. As Butler (1993) emphasises, performativity is restricted by “regulatory norms” (Butler, 1993) that determine which social performances and performers are credible. A woman may not obtain a position of power regardless of her official role or title if she is not deemed socially qualified by her male counterparts through recognised masculine behaviour and qualities. This </w:t>
      </w:r>
      <w:r w:rsidRPr="005C3000">
        <w:rPr>
          <w:rFonts w:ascii="Times New Roman" w:hAnsi="Times New Roman" w:cs="Times New Roman"/>
        </w:rPr>
        <w:lastRenderedPageBreak/>
        <w:t>is central to the dissertation’s argument that gender inequality persists not only through structural exclusion, but through the ongoing and historic social regulation and peer policing.</w:t>
      </w:r>
    </w:p>
    <w:p w14:paraId="6A1A96B2" w14:textId="77777777" w:rsidR="005C3000" w:rsidRPr="005C3000" w:rsidRDefault="005C3000" w:rsidP="005C3000">
      <w:pPr>
        <w:spacing w:line="480" w:lineRule="auto"/>
        <w:jc w:val="both"/>
        <w:rPr>
          <w:rFonts w:ascii="Times New Roman" w:hAnsi="Times New Roman" w:cs="Times New Roman"/>
        </w:rPr>
      </w:pPr>
    </w:p>
    <w:p w14:paraId="332B15F0" w14:textId="73827A31"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Butler's critique of feminist approaches to inequality is that they assume a “universal female subject” (Butler, 1993, p. 235) and are often motivated by political concerns regarding the regulation of individual bodies and behaviours. Whilst Butler aims to expose how power dynamics operate through social norms and politics in the hope of opening space for workplace reconfigurations on the grounds of equality. Her works serve as analytical tools and a critical stance for understanding and examining these institutions. Butler's theories on gender and performance aid in understanding the difference between social interaction, action, individual behaviour and professional, neutral workplace standards. Historic practices such as gossip, later gendered through media consumption and social status, were rooted in survival. Information sharing between women of different statuses can be seen as a response to gendered spaces. For example, where maids gain access to exclusive male conversations and gendered spaces and can share their knowledge with others. </w:t>
      </w:r>
    </w:p>
    <w:p w14:paraId="63E9F870" w14:textId="12A232C5"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By these standards, performativity, at its core, seeks to explore and explain how organisational norms grant accountability, legitimacy, and traction through informal reinforcements such as the granting of progression opportunities and advantages, often equated with masculinised models of workplace conduct and perception that align with necessary gender performances. Framing performativity as a method for exposing and understanding how workplace equality initiatives may leave underlying gender norms intact. Even in organisations that claim commitment to formal equality, workers remain subject to unspoken expectations about how authority, confidence, and professionalism should look and sound.</w:t>
      </w:r>
    </w:p>
    <w:p w14:paraId="21ECD2F5" w14:textId="164A716B"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lastRenderedPageBreak/>
        <w:t xml:space="preserve">Sociologists West and Zimmerman developed a gender theory based on an ethnomethodology, which led to their most influential work the 1987 publication, ‘doing gender’. In this, they study everyday situations with key focus on social interactions regarding expectation, authority and accountability. They use a scope which shifts gender from being an identity to an action, “Gender is not something we are but something we do” (West and Zimmerman, 1987, p.29). They found gender is not a fixed concept, no biological nor innate strong hold but rather a performance, created through repeated action. </w:t>
      </w:r>
      <w:proofErr w:type="gramStart"/>
      <w:r w:rsidRPr="005C3000">
        <w:rPr>
          <w:rFonts w:ascii="Times New Roman" w:hAnsi="Times New Roman" w:cs="Times New Roman"/>
        </w:rPr>
        <w:t>Similar to</w:t>
      </w:r>
      <w:proofErr w:type="gramEnd"/>
      <w:r w:rsidRPr="005C3000">
        <w:rPr>
          <w:rFonts w:ascii="Times New Roman" w:hAnsi="Times New Roman" w:cs="Times New Roman"/>
        </w:rPr>
        <w:t xml:space="preserve"> the coexisting theory of social actors famously demonstrated by Theo van Leeuwen,  the concept of “doing gender” extends Butler’s insight by emphasising interactional accountability. Gender is not simply something someone performs in </w:t>
      </w:r>
      <w:r w:rsidRPr="005C3000">
        <w:rPr>
          <w:rFonts w:ascii="Times New Roman" w:hAnsi="Times New Roman" w:cs="Times New Roman"/>
        </w:rPr>
        <w:t>isolation,</w:t>
      </w:r>
      <w:r w:rsidRPr="005C3000">
        <w:rPr>
          <w:rFonts w:ascii="Times New Roman" w:hAnsi="Times New Roman" w:cs="Times New Roman"/>
        </w:rPr>
        <w:t xml:space="preserve"> but something continuously evaluated by peers in social contexts. Staff meetings and other activities involving managerial or any socially ascribed hierarchies are sites and/or examples of gendered spaces, where gender is enacted, assessed, and staged. Individuals are expected to produce recognised gender performances that align with organisational and social expectations; failure to do so can undermine professional legitimacy or change social perceptions.</w:t>
      </w:r>
    </w:p>
    <w:p w14:paraId="1565B48F"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This framework is relevant for understanding the emotional and cognitive labour required of women and other gender diverse workers. They must not only perform within their working role but also do so in ways that do not violate gender norms. This is referred to as a “performance tax,” reflecting the additional effort marginalised workers make to achieve recognition compared to their male peers. In UK workplaces, this is evident in research on leadership pipelines, where women are disproportionately filtered out at ‘midcareer’ stages despite meeting criteria, experience, or qualifications. </w:t>
      </w:r>
    </w:p>
    <w:p w14:paraId="79CC8439"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By framing gender as something done rather than possessed, West and Zimmerman also highlight the instability of gendered power. “Gender must be constantly enacted” (), therefore, it is vulnerable to disruption, just as any performance. Collective challenges to workplace </w:t>
      </w:r>
      <w:r w:rsidRPr="005C3000">
        <w:rPr>
          <w:rFonts w:ascii="Times New Roman" w:hAnsi="Times New Roman" w:cs="Times New Roman"/>
        </w:rPr>
        <w:lastRenderedPageBreak/>
        <w:t xml:space="preserve">norms, such as flexible working hours and locations or payroll transparency, can alter what is recognised as legitimate gendered behaviour. </w:t>
      </w:r>
    </w:p>
    <w:p w14:paraId="35F97A57"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Connell’s theory of hegemonic masculinity offers a structural complement to performativity by explaining why certain masculine practices become dominant. “Hegemonic masculinity represents the culturally exalted form of manhood that legitimises male dominance and marginalises alternative masculinity and femininities.” (Connell, 2005, p829) In organisational contexts, this translates into traits such as risk taking, emotional restraint, and long working hours, often resulting in economic or social gain within their employed position. </w:t>
      </w:r>
    </w:p>
    <w:p w14:paraId="3ED72A5B"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Joan Acker’s concept of gendered organisations further reveals how these traits are embedded in institutional design. Organisations are not neutral spaces but are built around assumptions of an ideal worker: someone unencumbered by care responsibilities and able to prioritise work above all else. Historically, this ideal has been modelled on the male breadwinner, reinforcing a division between productive and reproductive labour. From the factory systems of the early twentieth century to contemporary corporate cultures, these assumptions have shaped job roles, promotion criteria, and reward systems.</w:t>
      </w:r>
    </w:p>
    <w:p w14:paraId="5F80BB39"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Together, Connell and Acker demonstrate that gender inequality is not simply the result of individual prejudice but is reproduced through organisational routines. Recruitment panels that value “cultural fit,” performance metrics that reward presenteeism, and leadership models that equate authority with dominance all function as mechanisms that normalise hegemonic masculinity. The endurance of these patterns helps explain why policy interventions often produce limited results unless accompanied by cultural change.</w:t>
      </w:r>
    </w:p>
    <w:p w14:paraId="689B7590"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The theory of intersectionality has the subject of </w:t>
      </w:r>
      <w:proofErr w:type="gramStart"/>
      <w:r w:rsidRPr="005C3000">
        <w:rPr>
          <w:rFonts w:ascii="Times New Roman" w:hAnsi="Times New Roman" w:cs="Times New Roman"/>
        </w:rPr>
        <w:t>a number of</w:t>
      </w:r>
      <w:proofErr w:type="gramEnd"/>
      <w:r w:rsidRPr="005C3000">
        <w:rPr>
          <w:rFonts w:ascii="Times New Roman" w:hAnsi="Times New Roman" w:cs="Times New Roman"/>
        </w:rPr>
        <w:t xml:space="preserve"> works addressing gender in the workplace. Kimberlé Crenshaw’s theory of intersectionality challenges approaches that treat women as a homogenous category. Her assertion that the intersectional experience exceeds the </w:t>
      </w:r>
      <w:r w:rsidRPr="005C3000">
        <w:rPr>
          <w:rFonts w:ascii="Times New Roman" w:hAnsi="Times New Roman" w:cs="Times New Roman"/>
        </w:rPr>
        <w:lastRenderedPageBreak/>
        <w:t>sum of racism and sexism underscores how workplace inequalities are stratified by class, race, migration status, and disability. For example, while professional women may benefit from diversity initiatives, working-class women or women of colour may remain concentrated in precarious or low-paid sectors, “labour markets remain segmented along gendered and racialised lines, with minority women disproportionately located in low-paid and insecure employment” (Rubery, 2017). This perspective is crucial for analysing UK labour markets, which are marked by occupational segregation and ethnic pay gaps alongside gendered disparities. Policies that focus solely on ‘gender parity in leadership’ risk obscuring the continued marginalisation of women in service, care, and manual labour. Intersectionality thus exposes the limits of formal equality measures and calls for more nuanced approaches that account for multiple axes of disadvantage. Furthermore, intersectionality reframes the thought experiment “If you were a man for a day” by asking which man is being imagined. A white, middle-class man experiences workplace authority differently from a working-class or racialised man. This complication prevents the device from reproducing simplistic binaries and instead situates it within a matrix of power relations.</w:t>
      </w:r>
    </w:p>
    <w:p w14:paraId="00357965" w14:textId="40EDD676"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Bell Hooks’ definition of feminism as a movement to end sexist exploitation and oppression situates workplace reform within a broader political project. Rather than focusing on individual advancement, Hooks emphasises collective struggle and structural transformation. This orientation is echoed in Sara Ahmed’s notion of “feminism as homework,” which frames feminist practice as ongoing, repetitive, and often exhausting labour. In organisational contexts, this translates into diversity committees, union activism, and policy advocacy. Such efforts require sustained engagement rather than one-off initiatives. Ahmed’s work highlights the emotional toll of this labour, particularly on those who challenge institutional norms from marginal positions. Feminist action in the workplace thus involves not only policy change but also the renegotiation of everyday practices and values.</w:t>
      </w:r>
    </w:p>
    <w:p w14:paraId="1E7EC985"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lastRenderedPageBreak/>
        <w:t>Collective action also disrupts the performative scripts of gender by creating new norms of legitimacy. When caregiving is normalised through parental leave policies or flexible working arrangements, the association between masculinity and uninterrupted labour is weakened. These shifts demonstrate how collective intervention can reshape the conditions under which gender is performed. UK labour history provides the empirical backdrop against which these theories operate. From the gendered division of labour in interwar industries to the introduction of equal pay legislation and contemporary diversity strategies, policy developments reflect both progress and persistence. Research such as Jiang and Zhou’s analysis of UK employment relations shows that discrimination remains embedded in recruitment, pay, and performance management systems.</w:t>
      </w:r>
    </w:p>
    <w:p w14:paraId="0105C525"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Butler’s and Acker’s frameworks, these findings appear not as anomalies but as outcomes of gendered organisational logics. Recruitment bias is the privileging of certain performances, while the correlation between care responsibilities and pay gaps reflects institutional reliance on the male breadwinner model. Policies that address these issues without challenging underlying norms risk reproducing the very inequalities they seek to eliminate. The literature provides a collective insight into workplace gender inequality and how it is sustained through performative norms and underlying social values, alongside institutional structure and design, other power dynamics within the workplace, and wider intersectional issues, whilst supported by policy and workplace research and/or case studies as evidence of their existence and effect. </w:t>
      </w:r>
    </w:p>
    <w:p w14:paraId="5568C56D" w14:textId="77777777" w:rsidR="005C3000" w:rsidRPr="005C3000" w:rsidRDefault="005C3000" w:rsidP="005C3000">
      <w:pPr>
        <w:spacing w:line="480" w:lineRule="auto"/>
        <w:jc w:val="both"/>
        <w:rPr>
          <w:rFonts w:ascii="Times New Roman" w:hAnsi="Times New Roman" w:cs="Times New Roman"/>
        </w:rPr>
      </w:pPr>
    </w:p>
    <w:p w14:paraId="7A55D303" w14:textId="60DF73F9"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This literature review is founded on the view of gender as both a relational and institutional phenomenon and a personal attribute. Theorists such as West and Zimmerman highlight how gender is enacted in everyday scenarios and workplace practice. Acker reveals how these normalised practices have become embedded in social structures and power dynamics. Whilst </w:t>
      </w:r>
      <w:r w:rsidRPr="005C3000">
        <w:rPr>
          <w:rFonts w:ascii="Times New Roman" w:hAnsi="Times New Roman" w:cs="Times New Roman"/>
        </w:rPr>
        <w:lastRenderedPageBreak/>
        <w:t>Crens</w:t>
      </w:r>
      <w:r w:rsidRPr="005C3000">
        <w:rPr>
          <w:rFonts w:ascii="Times New Roman" w:hAnsi="Times New Roman" w:cs="Times New Roman"/>
        </w:rPr>
        <w:t>h</w:t>
      </w:r>
      <w:r w:rsidRPr="005C3000">
        <w:rPr>
          <w:rFonts w:ascii="Times New Roman" w:hAnsi="Times New Roman" w:cs="Times New Roman"/>
        </w:rPr>
        <w:t>aw critiques these arguments through an intersectional lens, these perspectives create frameworks for analysing a century of UK workplace and social dynamics regarding gender inequality.</w:t>
      </w:r>
    </w:p>
    <w:p w14:paraId="457E5DAF" w14:textId="4DB1E6DD"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Although recruitment and selection processes within institutions can highlight significant gateways and glass ceilings within organisations, they can also reproduce gender inequality in the workplace. Hiring procedures are often presented as an objective assessment of merit; feminist scholarship has repeatedly demonstrated that implicit social and gender norms, such as concepts of authority, commonly interfere with recruitment and job stabilisation in the hiring processes. Feminist theories of power and performativity reveal how recruitment practices have become gendered by personal and social expectations, embedded within company culture and seemingly neutral professional criteria.</w:t>
      </w:r>
    </w:p>
    <w:p w14:paraId="0EAFFB28" w14:textId="3CF29749"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Raewyn Connell’s concept of hegemonic masculinity helps us understand this process. Connell argues that hegemonic masculinity represents the ‘culturally dominant form of masculinity’ that legitimises patriarchal power structures. In organisational culture, there are trends of valued traits such as assertiveness, competitiveness, and decisiveness. These characteristics are frequently interpreted as markers of professional competence, particularly in leadership roles. As a result, recruitment processes often reward behaviours that align with masculine-coded norms of authority, such as fewer childcare responsibilities and apparent ‘physical strength’.</w:t>
      </w:r>
    </w:p>
    <w:p w14:paraId="1042E91A"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Recruitment formats such as interviews employ self-promotion and confidence, which can be an advantage for those socialised to perform such behaviours. In response, other candidates who adopt and value more collaborative communication may be perceived as lacking in leadership potential and communication skills, despite having equal experience and qualifications. Connell’s framework explains why hiring practices can systematically privilege individuals who perform hegemonic masculinity most effectively.</w:t>
      </w:r>
    </w:p>
    <w:p w14:paraId="6C938B0D" w14:textId="41A28DAE"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lastRenderedPageBreak/>
        <w:t xml:space="preserve">This phenomenon is reinforced by organisational presumption regarding the “ideal worker.” Historically, many UK employment structures have been organised around the figure of the uninterrupted male worker who can prioritise professional responsibilities over domestic obligations. Assumptions such as these influence recruitment criteria, particularly in sectors such as STEM, masculine positions that require higher levels of flexibility, mobility, and uninterrupted career trajectories. </w:t>
      </w:r>
    </w:p>
    <w:p w14:paraId="07440267" w14:textId="142234F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Jiang and Zhou’s observation that forms of “direct and indirect discrimination continue to exist in the recruitment and selection processes of UK employers” (Jiang and Zhou, 2017) presents the argument that even when organisations adopt formal equality policies, informal barriers frequently influence candidate evaluation and recruitment. Hiring panels may interpret identical behaviours differently depending on the gender of the candidate performing, reinforcing existing workplace hierarchies and their own intersectional background and perspective.</w:t>
      </w:r>
    </w:p>
    <w:p w14:paraId="0B867585" w14:textId="74AC04BD"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Butler’s argument that ‘gender is constituted through repeated acts’ suggests that recruitment decisions are not simply based on individual qualifications but on the ‘perceived credibility of gender </w:t>
      </w:r>
      <w:r w:rsidRPr="005C3000">
        <w:rPr>
          <w:rFonts w:ascii="Times New Roman" w:hAnsi="Times New Roman" w:cs="Times New Roman"/>
        </w:rPr>
        <w:t>performances</w:t>
      </w:r>
      <w:r w:rsidRPr="005C3000">
        <w:rPr>
          <w:rFonts w:ascii="Times New Roman" w:hAnsi="Times New Roman" w:cs="Times New Roman"/>
        </w:rPr>
        <w:t>. (Butler, 1993) Interviewers may unconsciously evaluate whether a candidate “fits” the role by assessing how convincingly they perform the behaviours historically associated with that position. In practice, this translates into behaviours deemed legitimate methods of exercising social authority. For example, a confident man taking control of a conversation can be interpreted as leadership potential, whilst women who display similar behaviours may be labelled as domineering and rude. This reflects the importance of cultural expectations and social values regarding gender capabilities and perceptions. The concept of “doing gender,” developed by West and Zimmerman, clarifies how these processes of inequality operate in everyday workplace interactions, understanding gender as something continuously (Re)produced and evaluated through social interaction.</w:t>
      </w:r>
    </w:p>
    <w:p w14:paraId="697CDBD0" w14:textId="063EBD93"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lastRenderedPageBreak/>
        <w:t>Recruitment processes, therefore, act as social arenas of gender, assumptions, perceptions, norms, and accountability, where candidates must exhibit behaviours recognisable and accepted within organisational norms. Candidates who deviate from expected gender performances risk being penalised, regardless of their qualifications. Women who adopt highly assertive communication styles may violate expectations of femininity, while men who display collaborative or emotionally expressive behaviours may be perceived as lacking authority. The hiring process thus functions not only as an evaluation of competence but also as a mechanism for enforcing gender norms.</w:t>
      </w:r>
    </w:p>
    <w:p w14:paraId="5BBA6ED2"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Acker argues that “organisations are built upon gendered assumptions that influence role allocation, evaluation criteria, and promotion pathways” (Acker, 1990). This is proven within recruitment practices, which reproduce the same gender divisions and hierarchies embedded within the workplace and social arenas. Even when decision makers consciously attempt to avoid bias, the criteria used to define merit may already be shaped by historically masculine standards. For example, job descriptions often emphasise qualities associated with men, such as ‘competitive drive’. Whilst these traits and attributes occur naturally regardless of gender, it is their association which acts as a pitfall and barrier to equal opportunity. Candidates who fit within the institution's narrative, as evidenced by the performance of these masculinised authoritarian traits, are increasingly likely to be interpreted positively than those who do not meet the institution's desired criteria. </w:t>
      </w:r>
    </w:p>
    <w:p w14:paraId="1BFAC909" w14:textId="4B1B9292"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Crenshaw’s work demonstrates how gender discrimination does not operate in isolation, but </w:t>
      </w:r>
      <w:proofErr w:type="spellStart"/>
      <w:r w:rsidRPr="005C3000">
        <w:rPr>
          <w:rFonts w:ascii="Times New Roman" w:hAnsi="Times New Roman" w:cs="Times New Roman"/>
        </w:rPr>
        <w:t>intersectionally</w:t>
      </w:r>
      <w:proofErr w:type="spellEnd"/>
      <w:r w:rsidRPr="005C3000">
        <w:rPr>
          <w:rFonts w:ascii="Times New Roman" w:hAnsi="Times New Roman" w:cs="Times New Roman"/>
        </w:rPr>
        <w:t xml:space="preserve"> alongside other divisions such as race and class. In recruitment contexts, this suggests that women of colour or working-class individuals may face multiple and different layers of disadvantage. Gendered performances may be judged not only against masculine norms but also against racialised and class-based expectations of professionalism. For example, physical presentation or communication, such as accent, may be interpreted as indicators of </w:t>
      </w:r>
      <w:r w:rsidRPr="005C3000">
        <w:rPr>
          <w:rFonts w:ascii="Times New Roman" w:hAnsi="Times New Roman" w:cs="Times New Roman"/>
        </w:rPr>
        <w:lastRenderedPageBreak/>
        <w:t>cultural “fit,” even when these factors rarely relate to or indicate job performance. As a result, recruitment processes can function as mechanisms that reproduce broader social inequalities within the workplace.</w:t>
      </w:r>
    </w:p>
    <w:p w14:paraId="6C0327A5" w14:textId="60B23394"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The thought experiment “If you were a man for a day” can be used to expose hidden dynamics. By imagining how identical qualifications or behaviours might be interpreted if performed by a male rather than a female candidate, individuals can recognise the implicit social and workplace assumptions embedded in recruitment practices. This highlights how concepts of authority, credibility, and competence are used to reproduce inequality within institutional structures, due to the inability to completely remove intersectional, individualised, and internal bias from those involved in the recruitment and employment processes. In this sense, the thought experiment acts as a form of critical reflection that reveals the performative nature of professional behaviour. </w:t>
      </w:r>
    </w:p>
    <w:p w14:paraId="2DAC9784" w14:textId="2F71AE60"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A candidate who imagines approaching an interview “as a man” may anticipate and thus experience less scrutiny, feeling more comfortable displaying assertive ‘male’ behaviours. These imagined differences expose how gendered expectations influence the interpretation, action and experience of workplace conduct, not only at the organisational level but for the individual candidate and the interviewers alike.</w:t>
      </w:r>
    </w:p>
    <w:p w14:paraId="3AA4FA90" w14:textId="373B6B26"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These dynamics have evolved historically in conjunction with the UK labour market, economic needs and crises, and social action. In the early twentieth century, many recruitment practices and occupations were restricted by gender. Women were largely concentrated within sectors such as care and clerical work. </w:t>
      </w:r>
    </w:p>
    <w:p w14:paraId="37FBBD32" w14:textId="3DAA7935"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 xml:space="preserve">Despite the dismantling of legal barriers through ongoing policy reforms, cultural assumptions about gender and work continue to influence hiring processes and, in turn, workforce statistics and appearance. Feminist theories argue that policy intervention alone is insufficient to address </w:t>
      </w:r>
      <w:r w:rsidRPr="005C3000">
        <w:rPr>
          <w:rFonts w:ascii="Times New Roman" w:hAnsi="Times New Roman" w:cs="Times New Roman"/>
        </w:rPr>
        <w:lastRenderedPageBreak/>
        <w:t xml:space="preserve">gender </w:t>
      </w:r>
      <w:proofErr w:type="gramStart"/>
      <w:r w:rsidRPr="005C3000">
        <w:rPr>
          <w:rFonts w:ascii="Times New Roman" w:hAnsi="Times New Roman" w:cs="Times New Roman"/>
        </w:rPr>
        <w:t>inequalities as a whole, unless</w:t>
      </w:r>
      <w:proofErr w:type="gramEnd"/>
      <w:r w:rsidRPr="005C3000">
        <w:rPr>
          <w:rFonts w:ascii="Times New Roman" w:hAnsi="Times New Roman" w:cs="Times New Roman"/>
        </w:rPr>
        <w:t xml:space="preserve"> willing and able to challenge cultural and social norms embedded within these institutions and organisational structures.  Disparities in leadership roles continue to suggest that informal barriers and biases regarding gender persist despite regulations intended to formalise systems.</w:t>
      </w:r>
    </w:p>
    <w:p w14:paraId="4277997C" w14:textId="3EF3F29A"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Theories and perspectives on performativity and hegemonic masculinity reveal recruitment as a key mechanism through which workplace inequality is reproduced. Rather than</w:t>
      </w:r>
      <w:r w:rsidRPr="005C3000">
        <w:rPr>
          <w:rFonts w:ascii="Times New Roman" w:hAnsi="Times New Roman" w:cs="Times New Roman"/>
        </w:rPr>
        <w:t xml:space="preserve"> </w:t>
      </w:r>
      <w:r w:rsidRPr="005C3000">
        <w:rPr>
          <w:rFonts w:ascii="Times New Roman" w:hAnsi="Times New Roman" w:cs="Times New Roman"/>
        </w:rPr>
        <w:t>operating as neutral assessments of merit, hiring practices often function as sites where gender norms are enacted and reinforced. Understanding these dynamics is crucial for developing more equitable recruitment systems. Interventions such as structured interviews, diverse hiring panels, and transparent evaluation criteria can reduce bias. However, meaningful change also requires broader cultural shifts in how competence and leadership are defined.</w:t>
      </w:r>
    </w:p>
    <w:p w14:paraId="01481187" w14:textId="77777777" w:rsidR="005C3000" w:rsidRPr="005C3000" w:rsidRDefault="005C3000" w:rsidP="005C3000">
      <w:pPr>
        <w:spacing w:line="480" w:lineRule="auto"/>
        <w:jc w:val="both"/>
        <w:rPr>
          <w:rFonts w:ascii="Times New Roman" w:hAnsi="Times New Roman" w:cs="Times New Roman"/>
        </w:rPr>
      </w:pPr>
      <w:r w:rsidRPr="005C3000">
        <w:rPr>
          <w:rFonts w:ascii="Times New Roman" w:hAnsi="Times New Roman" w:cs="Times New Roman"/>
        </w:rPr>
        <w:t>The next chapter builds on this foundation by outlining a methodology that integrates theory with historical and empirical analysis. Using thematic and critical discourse analysis, the dissertation seeks to trace how performative routines, organisational hierarchies, and feminist interventions have shaped gendered power from 1925 to 2025.</w:t>
      </w:r>
    </w:p>
    <w:p w14:paraId="4352F156" w14:textId="77777777" w:rsidR="005C3000" w:rsidRDefault="005C3000" w:rsidP="005C3000"/>
    <w:p w14:paraId="13A0B965" w14:textId="77777777" w:rsidR="005C3000" w:rsidRDefault="005C3000" w:rsidP="005C3000"/>
    <w:p w14:paraId="314F648D" w14:textId="77777777" w:rsidR="005C3000" w:rsidRDefault="005C3000" w:rsidP="005C3000"/>
    <w:p w14:paraId="0B99DD64" w14:textId="77777777" w:rsidR="005C3000" w:rsidRDefault="005C3000" w:rsidP="005C3000"/>
    <w:p w14:paraId="223ED7B0" w14:textId="77777777" w:rsidR="005C3000" w:rsidRDefault="005C3000" w:rsidP="005C3000"/>
    <w:p w14:paraId="5F12C661" w14:textId="77777777" w:rsidR="005C3000" w:rsidRDefault="005C3000" w:rsidP="005C3000"/>
    <w:p w14:paraId="230B577F" w14:textId="77777777" w:rsidR="005C3000" w:rsidRDefault="005C3000" w:rsidP="005C3000"/>
    <w:p w14:paraId="5FEF9ED4" w14:textId="77777777" w:rsidR="005C3000" w:rsidRDefault="005C3000" w:rsidP="005C3000"/>
    <w:p w14:paraId="3BB91C84" w14:textId="77777777" w:rsidR="005C3000" w:rsidRDefault="005C3000" w:rsidP="005C3000"/>
    <w:p w14:paraId="21DB021E" w14:textId="77777777" w:rsidR="005C3000" w:rsidRPr="005C3000" w:rsidRDefault="005C3000" w:rsidP="005C3000"/>
    <w:p w14:paraId="1A367F73" w14:textId="77777777" w:rsidR="00F6665A" w:rsidRDefault="00F6665A" w:rsidP="006A22BA">
      <w:pPr>
        <w:pStyle w:val="Heading1"/>
        <w:spacing w:line="480" w:lineRule="auto"/>
        <w:rPr>
          <w:rFonts w:ascii="Times New Roman" w:hAnsi="Times New Roman" w:cs="Times New Roman"/>
          <w:color w:val="000000" w:themeColor="text1"/>
          <w:sz w:val="28"/>
          <w:szCs w:val="28"/>
        </w:rPr>
      </w:pPr>
      <w:bookmarkStart w:id="5" w:name="_Toc229346234"/>
      <w:r w:rsidRPr="007F5B7E">
        <w:rPr>
          <w:rFonts w:ascii="Times New Roman" w:hAnsi="Times New Roman" w:cs="Times New Roman"/>
          <w:color w:val="000000" w:themeColor="text1"/>
          <w:sz w:val="28"/>
          <w:szCs w:val="28"/>
        </w:rPr>
        <w:lastRenderedPageBreak/>
        <w:t>Methodology:</w:t>
      </w:r>
      <w:bookmarkEnd w:id="5"/>
    </w:p>
    <w:p w14:paraId="2BFEBB39" w14:textId="41B05E21"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 xml:space="preserve">This dissertation adopts a qualitative, interpretivist methodology based on secondary research, drawing on academic literature, policy documents, and institutional data to examine the reproduction of gender inequality in UK workplaces between 1925 and 2025. A thematic and chronological structure is used to trace continuity and change across key historical periods, including post-war labour restructuring, neoliberal reforms, and contemporary equality legislation such as the Equality Act 2010. The analysis is informed by feminist and sociological theories, including gendered organisations (Acker), gender performativity (Butler), intersectionality (Crenshaw), and hegemonic masculinity (Connell), allowing for a critical examination of how inequality is produced and maintained within workplace structures. </w:t>
      </w:r>
    </w:p>
    <w:p w14:paraId="66615531" w14:textId="77777777"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Key data sources include government statistics from the Office for National Statistics, as well as organisational case studies such as the BBC and HSBC. While this approach enables a broad historical analysis, it is limited by its reliance on secondary data and the absence of primary empirical research.</w:t>
      </w:r>
    </w:p>
    <w:p w14:paraId="3F0E30B0" w14:textId="77777777"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 xml:space="preserve">Methodologically, this dissertation is grounded in interpretations of philosophical frameworks. Interpretivism argues that reality is socially constructed and shaped by meaning, experience, and interaction rather than by fixed objectives or social ‘truths’/expectations. Unlike other approaches that prioritise measurable, quantifiable data, this dissertation seeks to understand how individuals interpret, experience, and perform within and for the social world and the actors around them. Exploring gender identity and inequality in relation to workplace expectations and social norms, it must be understood that these themes and concepts are subject to cultural, social, and institutional influences, as well as to individual lived experiences. This dissertation aims not only to highlight legislative data and statistics pertaining to the persistence of inequality but also to examine how inequality itself is constructed, maintained, reproduced, </w:t>
      </w:r>
      <w:r w:rsidRPr="006E41A1">
        <w:rPr>
          <w:rFonts w:ascii="Times New Roman" w:hAnsi="Times New Roman" w:cs="Times New Roman"/>
        </w:rPr>
        <w:lastRenderedPageBreak/>
        <w:t xml:space="preserve">recognised, and experienced within labour markets, organisational structures, and social arenas/networks. </w:t>
      </w:r>
    </w:p>
    <w:p w14:paraId="4ABA7451" w14:textId="082D01F2"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Supporting the use of theories such as dramaturgical, intersectional, segmentation, and hegemonic masculinity, each prioritises interaction and socially constructed meaning/understanding.</w:t>
      </w:r>
      <w:r w:rsidRPr="006E41A1">
        <w:rPr>
          <w:rFonts w:ascii="Times New Roman" w:hAnsi="Times New Roman" w:cs="Times New Roman"/>
        </w:rPr>
        <w:t xml:space="preserve"> </w:t>
      </w:r>
      <w:r w:rsidRPr="006E41A1">
        <w:rPr>
          <w:rFonts w:ascii="Times New Roman" w:hAnsi="Times New Roman" w:cs="Times New Roman"/>
        </w:rPr>
        <w:t xml:space="preserve">For example, dramaturgical theory, coined by Goffman, argues individuals perform within the parameters of their socially expected roles every day, whilst the theorists West and Zimmerman’s point to ‘Doing Gender’, suggesting acts of social accountability, such as homemaker, breadwinner typologies. These concepts align with the interpretive scope because they focus on meaning, identity, and social interaction/performance rather than solely on statistics. Additionally, it acknowledges individual experience and differences related to position, identity, and labels acquired within society. Imperative to discussions on intersectionality, understanding gender as a branch within a system of inequality, </w:t>
      </w:r>
      <w:proofErr w:type="gramStart"/>
      <w:r w:rsidRPr="006E41A1">
        <w:rPr>
          <w:rFonts w:ascii="Times New Roman" w:hAnsi="Times New Roman" w:cs="Times New Roman"/>
        </w:rPr>
        <w:t>similar to</w:t>
      </w:r>
      <w:proofErr w:type="gramEnd"/>
      <w:r w:rsidRPr="006E41A1">
        <w:rPr>
          <w:rFonts w:ascii="Times New Roman" w:hAnsi="Times New Roman" w:cs="Times New Roman"/>
        </w:rPr>
        <w:t xml:space="preserve"> an organic analogy, coined by Durkheim. Segregation by class, ethnicity, and religion produces its own forms of and responses to disadvantage; this </w:t>
      </w:r>
      <w:proofErr w:type="gramStart"/>
      <w:r w:rsidRPr="006E41A1">
        <w:rPr>
          <w:rFonts w:ascii="Times New Roman" w:hAnsi="Times New Roman" w:cs="Times New Roman"/>
        </w:rPr>
        <w:t>has to</w:t>
      </w:r>
      <w:proofErr w:type="gramEnd"/>
      <w:r w:rsidRPr="006E41A1">
        <w:rPr>
          <w:rFonts w:ascii="Times New Roman" w:hAnsi="Times New Roman" w:cs="Times New Roman"/>
        </w:rPr>
        <w:t xml:space="preserve"> be recognised to understand how inequality is defined and reproduced differently. </w:t>
      </w:r>
    </w:p>
    <w:p w14:paraId="7626D291" w14:textId="4C1E8CC0"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 xml:space="preserve">This dissertation aims to use secondary qualitative research. This was considered the most appropriate method due to the researcher's access limitations and time constraints. The qualitative research focuses on the meanings and experiences essential to understanding occupational segregation and cultural norms, which are distinct yet reinforced within a self-fulfilling prophecy. The qualitative approach also allows the researcher to engage with existing critical theories and literature spanning a century of history, legislation, and evolution. Rather than accepting statistical facts or attempting to foster and establish observational research relationships that would only paint a picture of the current economic and employment climates, this study aims to highlight patterns, interpret themes, and examine social meanings within existing data and academic discussions. </w:t>
      </w:r>
    </w:p>
    <w:p w14:paraId="0F20617C" w14:textId="2BB14E88"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lastRenderedPageBreak/>
        <w:t xml:space="preserve">Supporting data and secondary research collected and analysed throughout this dissertation include academic publications, government and diversity reports, theory and media. These were chosen to gain access to a range of existing knowledge on gender inequality, domestic and market labour, segmentation, intersectionality, and labelling. Enabling the researcher to compare multiple sources and perspectives to aid in identifying and understanding differences in frameworks and contexts. Using existing data, such as employment statistics and work case studies, allowed for the evaluation of information on multiple social groups and work sectors. Ethically, secondary research was conducted due to its practicality and cost-effectiveness compared to a large-scale primary study. Issues surrounding discrimination and inequality of any kind can involve sensitive information and personal details, risking emotional distress for participants and researchers alike under the time and financial constraints of a master's degree, which did not feel in the dissertation's best interest. Secondary research allows themes of upset and a divisional nature to be explored without concerns about confidentiality or emotional responsibility. </w:t>
      </w:r>
    </w:p>
    <w:p w14:paraId="7C2E32CE" w14:textId="13B89824"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 xml:space="preserve">Furthermore, secondary research enabled a significant trail of historical knowledge, signposts, and comparisons to be established. How gender expectations and inequalities have evolved and continue to shape labour structures, for example, women’s requirements during war efforts and economic crisis, demonstrates how often participation within the labour market is influenced by external factors rather than equality alone. Women’s access and use will be adapted and addressed </w:t>
      </w:r>
      <w:proofErr w:type="gramStart"/>
      <w:r w:rsidRPr="006E41A1">
        <w:rPr>
          <w:rFonts w:ascii="Times New Roman" w:hAnsi="Times New Roman" w:cs="Times New Roman"/>
        </w:rPr>
        <w:t>in regard to</w:t>
      </w:r>
      <w:proofErr w:type="gramEnd"/>
      <w:r w:rsidRPr="006E41A1">
        <w:rPr>
          <w:rFonts w:ascii="Times New Roman" w:hAnsi="Times New Roman" w:cs="Times New Roman"/>
        </w:rPr>
        <w:t xml:space="preserve"> their countries' current economic conditions.</w:t>
      </w:r>
    </w:p>
    <w:p w14:paraId="64114FEE" w14:textId="68FDAC17"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 xml:space="preserve">Secondary research allowed for a broader exploration of structural and social issues in contrast to an individual case study, providing a wider perspective on workplace inequality across different subcultures, groups, occupations, and time periods. Against, particularly useful with intersection arguments, existing studies on women of colour, working class and general discrimination provide evidence into how inequality and experiences can both overlap and </w:t>
      </w:r>
      <w:r w:rsidRPr="006E41A1">
        <w:rPr>
          <w:rFonts w:ascii="Times New Roman" w:hAnsi="Times New Roman" w:cs="Times New Roman"/>
        </w:rPr>
        <w:lastRenderedPageBreak/>
        <w:t xml:space="preserve">differ across categories. Engagement with established theorists such as Durkheim, Connell, Crenshaw, Goffman and Rubery provided the research with a conceptual basis and an analytical model for interpreting gendered norms, practices and workplace structures. The study has undertaken a thematic analysis to identify and interpret reciprocal patterns across the collected data. This is a qualitative method used to organise meaning in research, chosen for its flexibility and ease in relating theoretical concepts, institutional structures, and social dynamics. Allowing for easy identification of and familiarisation with recurring social issues. </w:t>
      </w:r>
    </w:p>
    <w:p w14:paraId="18719A94" w14:textId="26180131"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 xml:space="preserve">Throughout this analysis, several patterns emerged, including but not limited to hegemonic masculinity, gendered expectations, intersectionality, performance, accountability, division of labour, and cultural and structural privilege. These themes were each interpreted through relevant theories and frameworks, for example, analysing occupational segregation with Rubery’s segmentation theory or gender performance under the scope of Goffman’s dramaturgical theory. Thematic analysis allowed the research to move beyond descriptive summaries and to critique and interpret how inequality is constructed, reproduced, and maintained. Enabling a connection to be made between every workplace practice/culture and historic organisational and social structures. </w:t>
      </w:r>
    </w:p>
    <w:p w14:paraId="65B46FAF" w14:textId="71E4938E"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Despite the research's strengths, there are several limitations; secondary research relies on existing data produced by others. This limits the researcher's control over how information was originally gathered, interpreted, and organised. It is important to acknowledge that some data may contain selective interpretations, limited representation and other biases. Others include using data that is not reflective of current social realities and contexts, as attitudes towards gender are fluid and constantly evolving, and, as a result, may not fully represent current workplace conditions. Additionally, some groups will be underrepresented in the literature available.</w:t>
      </w:r>
    </w:p>
    <w:p w14:paraId="562D6763" w14:textId="77777777"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lastRenderedPageBreak/>
        <w:t xml:space="preserve">The nature of this research requires subjectivity; thematic analysis is heavily based on the researcher's interpretation, conclusions, and ascribed meaning. These are inferences from the researcher's perspective and covert opinions, regardless of the steps taken to move away from bias-informed decision-making. Other researchers would interpret the same data differently depending on their own background and experiences, thus may prioritise/seek out different themes and/or interpretations. In addition, because the research did not conduct interviews or participant observations, the secondary research may lack direct accounts of workplace inequality and the depth that primary qualitative data could have provided. </w:t>
      </w:r>
    </w:p>
    <w:p w14:paraId="09511E4F" w14:textId="4176493D"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An important aspect of the research process is reflexivity, understanding how the researcher’s awareness of their own experiences, position and values may influence their findings and interpretations. Given the sensitive and biased nature surrounding gender inequality and workplace discrimination, it is important that the researcher remains aware of their personal assumptions and influences. To minimise this bias, this dissertation aimed to incorporate a plethora of perspectives rather than relying on a single theoretical framework. Conjoining critical evaluations and competitive views to avoid presenting any claims or experience as universal or identical. This is important to the intersectional lens, which acknowledges that the experience of discrimination differs depending on perceived social categories such as religion. Recognising these complexities aids against overgeneralising experiences as homogeneous. This also recognises the limitations of the researcher's own experience and knowledge in fully understanding and accounting for all experiences and identities.</w:t>
      </w:r>
    </w:p>
    <w:p w14:paraId="6697EA9A" w14:textId="16C93EAE" w:rsidR="005C3000" w:rsidRP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t xml:space="preserve">Although the study did not involve any participant interviews or observations, ethical considerations remain critical. This study aimed to discuss personal identity factors, such as gender and religion, in a critical yet respectful manner. Topics were approached with sensitivity to avoid reinforcing any stereotypes or discriminatory attitudes. </w:t>
      </w:r>
    </w:p>
    <w:p w14:paraId="154C7B6A" w14:textId="39A71DC6" w:rsidR="006E41A1" w:rsidRDefault="005C3000" w:rsidP="006E41A1">
      <w:pPr>
        <w:spacing w:line="480" w:lineRule="auto"/>
        <w:jc w:val="both"/>
        <w:rPr>
          <w:rFonts w:ascii="Times New Roman" w:hAnsi="Times New Roman" w:cs="Times New Roman"/>
        </w:rPr>
      </w:pPr>
      <w:r w:rsidRPr="006E41A1">
        <w:rPr>
          <w:rFonts w:ascii="Times New Roman" w:hAnsi="Times New Roman" w:cs="Times New Roman"/>
        </w:rPr>
        <w:lastRenderedPageBreak/>
        <w:t>Overall, the methodology used an interpretive qualitative approach, including secondary research and thematic analysis to identify and examine workplace inequalities and intersectional disadvantage through a gender-gaps lens. This was appropriate in enabling the researcher to collect relevant information and data within the constraints of a master's whilst critically analysing institutional structures, individual experience and meaning within existing relevant literature and evidence. Whilst limitations regarding issues such as subjectivity remain, the methodology aims to provide a strong framework for exploring how workplace inequalities are constructed, maintained, experienced and interpreted differently</w:t>
      </w:r>
      <w:r w:rsidR="006E41A1">
        <w:rPr>
          <w:rFonts w:ascii="Times New Roman" w:hAnsi="Times New Roman" w:cs="Times New Roman"/>
        </w:rPr>
        <w:t>.</w:t>
      </w:r>
    </w:p>
    <w:p w14:paraId="1121AB6E" w14:textId="77777777" w:rsidR="006E41A1" w:rsidRDefault="006E41A1" w:rsidP="006E41A1">
      <w:pPr>
        <w:spacing w:line="480" w:lineRule="auto"/>
        <w:jc w:val="both"/>
        <w:rPr>
          <w:rFonts w:ascii="Times New Roman" w:hAnsi="Times New Roman" w:cs="Times New Roman"/>
        </w:rPr>
      </w:pPr>
    </w:p>
    <w:p w14:paraId="3028D04A" w14:textId="77777777" w:rsidR="006E41A1" w:rsidRDefault="006E41A1" w:rsidP="006E41A1">
      <w:pPr>
        <w:spacing w:line="480" w:lineRule="auto"/>
        <w:jc w:val="both"/>
        <w:rPr>
          <w:rFonts w:ascii="Times New Roman" w:hAnsi="Times New Roman" w:cs="Times New Roman"/>
        </w:rPr>
      </w:pPr>
    </w:p>
    <w:p w14:paraId="1E55F613" w14:textId="77777777" w:rsidR="006E41A1" w:rsidRDefault="006E41A1" w:rsidP="006E41A1">
      <w:pPr>
        <w:spacing w:line="480" w:lineRule="auto"/>
        <w:jc w:val="both"/>
        <w:rPr>
          <w:rFonts w:ascii="Times New Roman" w:hAnsi="Times New Roman" w:cs="Times New Roman"/>
        </w:rPr>
      </w:pPr>
    </w:p>
    <w:p w14:paraId="15A1A37E" w14:textId="77777777" w:rsidR="006E41A1" w:rsidRDefault="006E41A1" w:rsidP="006E41A1">
      <w:pPr>
        <w:spacing w:line="480" w:lineRule="auto"/>
        <w:jc w:val="both"/>
        <w:rPr>
          <w:rFonts w:ascii="Times New Roman" w:hAnsi="Times New Roman" w:cs="Times New Roman"/>
        </w:rPr>
      </w:pPr>
    </w:p>
    <w:p w14:paraId="159CB187" w14:textId="77777777" w:rsidR="006E41A1" w:rsidRDefault="006E41A1" w:rsidP="006E41A1">
      <w:pPr>
        <w:spacing w:line="480" w:lineRule="auto"/>
        <w:jc w:val="both"/>
        <w:rPr>
          <w:rFonts w:ascii="Times New Roman" w:hAnsi="Times New Roman" w:cs="Times New Roman"/>
        </w:rPr>
      </w:pPr>
    </w:p>
    <w:p w14:paraId="0E673745" w14:textId="77777777" w:rsidR="006E41A1" w:rsidRDefault="006E41A1" w:rsidP="006E41A1">
      <w:pPr>
        <w:spacing w:line="480" w:lineRule="auto"/>
        <w:jc w:val="both"/>
        <w:rPr>
          <w:rFonts w:ascii="Times New Roman" w:hAnsi="Times New Roman" w:cs="Times New Roman"/>
        </w:rPr>
      </w:pPr>
    </w:p>
    <w:p w14:paraId="68D84038" w14:textId="77777777" w:rsidR="006E41A1" w:rsidRDefault="006E41A1" w:rsidP="006E41A1">
      <w:pPr>
        <w:spacing w:line="480" w:lineRule="auto"/>
        <w:jc w:val="both"/>
        <w:rPr>
          <w:rFonts w:ascii="Times New Roman" w:hAnsi="Times New Roman" w:cs="Times New Roman"/>
        </w:rPr>
      </w:pPr>
    </w:p>
    <w:p w14:paraId="54F5011F" w14:textId="77777777" w:rsidR="006E41A1" w:rsidRDefault="006E41A1" w:rsidP="006E41A1">
      <w:pPr>
        <w:spacing w:line="480" w:lineRule="auto"/>
        <w:jc w:val="both"/>
        <w:rPr>
          <w:rFonts w:ascii="Times New Roman" w:hAnsi="Times New Roman" w:cs="Times New Roman"/>
        </w:rPr>
      </w:pPr>
    </w:p>
    <w:p w14:paraId="5EB6DF3C" w14:textId="77777777" w:rsidR="006E41A1" w:rsidRDefault="006E41A1" w:rsidP="006E41A1">
      <w:pPr>
        <w:spacing w:line="480" w:lineRule="auto"/>
        <w:jc w:val="both"/>
        <w:rPr>
          <w:rFonts w:ascii="Times New Roman" w:hAnsi="Times New Roman" w:cs="Times New Roman"/>
        </w:rPr>
      </w:pPr>
    </w:p>
    <w:p w14:paraId="759D3E30" w14:textId="77777777" w:rsidR="006E41A1" w:rsidRDefault="006E41A1" w:rsidP="006E41A1">
      <w:pPr>
        <w:spacing w:line="480" w:lineRule="auto"/>
        <w:jc w:val="both"/>
        <w:rPr>
          <w:rFonts w:ascii="Times New Roman" w:hAnsi="Times New Roman" w:cs="Times New Roman"/>
        </w:rPr>
      </w:pPr>
    </w:p>
    <w:p w14:paraId="214AA858" w14:textId="77777777" w:rsidR="006E41A1" w:rsidRDefault="006E41A1" w:rsidP="006E41A1">
      <w:pPr>
        <w:spacing w:line="480" w:lineRule="auto"/>
        <w:jc w:val="both"/>
        <w:rPr>
          <w:rFonts w:ascii="Times New Roman" w:hAnsi="Times New Roman" w:cs="Times New Roman"/>
        </w:rPr>
      </w:pPr>
    </w:p>
    <w:p w14:paraId="69A2EF1F" w14:textId="77777777" w:rsidR="006E41A1" w:rsidRPr="006E41A1" w:rsidRDefault="006E41A1" w:rsidP="006E41A1">
      <w:pPr>
        <w:spacing w:line="480" w:lineRule="auto"/>
        <w:jc w:val="both"/>
        <w:rPr>
          <w:rFonts w:ascii="Times New Roman" w:hAnsi="Times New Roman" w:cs="Times New Roman"/>
        </w:rPr>
      </w:pPr>
    </w:p>
    <w:p w14:paraId="7A802A78" w14:textId="54C4F235" w:rsidR="006E41A1" w:rsidRPr="006E41A1" w:rsidRDefault="00F6665A" w:rsidP="006E41A1">
      <w:pPr>
        <w:pStyle w:val="Heading1"/>
        <w:spacing w:line="480" w:lineRule="auto"/>
        <w:rPr>
          <w:rFonts w:ascii="Times New Roman" w:eastAsia="Times New Roman" w:hAnsi="Times New Roman" w:cs="Times New Roman"/>
          <w:color w:val="000000" w:themeColor="text1"/>
          <w:sz w:val="28"/>
          <w:szCs w:val="28"/>
        </w:rPr>
      </w:pPr>
      <w:bookmarkStart w:id="6" w:name="_Toc229346235"/>
      <w:r w:rsidRPr="006A22BA">
        <w:rPr>
          <w:rFonts w:ascii="Times New Roman" w:eastAsia="Times New Roman" w:hAnsi="Times New Roman" w:cs="Times New Roman"/>
          <w:color w:val="000000" w:themeColor="text1"/>
          <w:sz w:val="28"/>
          <w:szCs w:val="28"/>
        </w:rPr>
        <w:lastRenderedPageBreak/>
        <w:t>Historical context:</w:t>
      </w:r>
      <w:bookmarkEnd w:id="6"/>
    </w:p>
    <w:p w14:paraId="6D318D58" w14:textId="6BE3A749"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This section uses a chronological approach to outline the changes in women's employment from the First World War to the present day. During the First World War, “Almost the entire population of adult women was forced into wage labour.” (</w:t>
      </w:r>
      <w:r w:rsidRPr="006E41A1">
        <w:rPr>
          <w:rFonts w:ascii="Times New Roman" w:hAnsi="Times New Roman" w:cs="Times New Roman"/>
        </w:rPr>
        <w:t>Goldin, 1988</w:t>
      </w:r>
      <w:r w:rsidRPr="006E41A1">
        <w:rPr>
          <w:rFonts w:ascii="Times New Roman" w:hAnsi="Times New Roman" w:cs="Times New Roman"/>
        </w:rPr>
        <w:t>) Following the end of the war, the roles allocated to women during mobilisation to relieve male workers ended, and women reverted to their pre-war positions within the home. “After the war, most women returned home, let go from their jobs. Their jobs, again, belonged to men.” () Women’s elevated position within society after being required within mobilisation was then revoked. “The state, to some extent, alleviated their non-wage domestic labour, but the alleviation was never more than partial.” This clarifies the clear division of gender within labour practices, and the family does not apply within capitalist systems in need.</w:t>
      </w:r>
    </w:p>
    <w:p w14:paraId="009EBDFB" w14:textId="236B5F93"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The Restoration of Pre-War Practices Act passed in 1919, required employers to reinstate the positions of men through trade unions who had served, “any rule, practice or custom obtaining before the war in any industry or branch of an industry has, during and in consequence of the present war, been departed from, the owner of that establishment shall be under an obligation at tie expiration or two </w:t>
      </w:r>
      <w:proofErr w:type="spellStart"/>
      <w:r w:rsidRPr="006E41A1">
        <w:rPr>
          <w:rFonts w:ascii="Times New Roman" w:hAnsi="Times New Roman" w:cs="Times New Roman"/>
        </w:rPr>
        <w:t>montiıs</w:t>
      </w:r>
      <w:proofErr w:type="spellEnd"/>
      <w:r w:rsidRPr="006E41A1">
        <w:rPr>
          <w:rFonts w:ascii="Times New Roman" w:hAnsi="Times New Roman" w:cs="Times New Roman"/>
        </w:rPr>
        <w:t xml:space="preserve"> from the passing of this Act, to restore or permit the restoration of the trade practice so previously obtaining, and for ne </w:t>
      </w:r>
      <w:proofErr w:type="spellStart"/>
      <w:r w:rsidRPr="006E41A1">
        <w:rPr>
          <w:rFonts w:ascii="Times New Roman" w:hAnsi="Times New Roman" w:cs="Times New Roman"/>
        </w:rPr>
        <w:t>veir</w:t>
      </w:r>
      <w:proofErr w:type="spellEnd"/>
      <w:r w:rsidRPr="006E41A1">
        <w:rPr>
          <w:rFonts w:ascii="Times New Roman" w:hAnsi="Times New Roman" w:cs="Times New Roman"/>
        </w:rPr>
        <w:t xml:space="preserve"> atter </w:t>
      </w:r>
      <w:proofErr w:type="spellStart"/>
      <w:r w:rsidRPr="006E41A1">
        <w:rPr>
          <w:rFonts w:ascii="Times New Roman" w:hAnsi="Times New Roman" w:cs="Times New Roman"/>
        </w:rPr>
        <w:t>snea</w:t>
      </w:r>
      <w:proofErr w:type="spellEnd"/>
      <w:r w:rsidRPr="006E41A1">
        <w:rPr>
          <w:rFonts w:ascii="Times New Roman" w:hAnsi="Times New Roman" w:cs="Times New Roman"/>
        </w:rPr>
        <w:t xml:space="preserve"> restoration re effected or if it a bee effected before the date of the passing of this Act for one year after that date, to maintain or permit the continuance of the trade practice.” (SIC) Legally, operators were required to reinstate jobs even if the positions were available. This created a threat of trade suspension looming within a short timeframe, regardless of how progressive an employer had been regarding gender equality in post-war England. A social and now legal expectation to revert to gendered normality was expected. </w:t>
      </w:r>
    </w:p>
    <w:p w14:paraId="67E5F6D9" w14:textId="228CD11E"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lastRenderedPageBreak/>
        <w:t>Following World War II, marriage bars were widely popularised and enforced. “Marriage bars were policies adopted by firms and local school boards, from about the early 1900's to 1950, to fire single women when they married and not to hire married women</w:t>
      </w:r>
      <w:proofErr w:type="gramStart"/>
      <w:r w:rsidRPr="006E41A1">
        <w:rPr>
          <w:rFonts w:ascii="Times New Roman" w:hAnsi="Times New Roman" w:cs="Times New Roman"/>
        </w:rPr>
        <w:t>.”(</w:t>
      </w:r>
      <w:proofErr w:type="gramEnd"/>
      <w:r w:rsidRPr="006E41A1">
        <w:rPr>
          <w:rFonts w:ascii="Times New Roman" w:hAnsi="Times New Roman" w:cs="Times New Roman"/>
        </w:rPr>
        <w:t>) These restrictions limited how many women could even attempt to enter or maintain long-term employment, especially in the teaching and civil service sectors. “The marriage bar had at its height affected 751 of all local school boards and more than 50% of all office workers” (Golden, 1988, p.45). Women and men were clearly considered entirely different categories within the employment sphere.</w:t>
      </w:r>
    </w:p>
    <w:p w14:paraId="539A87CF" w14:textId="6346850E"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Many welfare policies acted to reinforce traditional family models within post-war England; typologies and labels were common within the discourse of gender roles, such as the “breadwinner-caregiver" theory analysed by Julia B. Bear and Peter Glick. This presents the concept that structural and social norms, such as workplace roles, often assume that men are “the primary economic providers (breadwinners) and women are assumed to be the primary caretakers (caregivers)” (Bear and Glick, 2017, p.11). Structural inequalities are a part of a system that undermines women's economic independence. Key policies identified in the Beveridge Report correlated women's dependence on male support and intervention; the National Insurance Act of 1946 required weekly contributions to fund benefits for unemployment, sickness, maternity, retirement, and death grants within the UK. This relied on a "male breadwinner" model, treating married women as dependents and allowing them to pay reduced contributions, whilst at the same time restricting their individual pension rights. </w:t>
      </w:r>
    </w:p>
    <w:p w14:paraId="7AC6367F" w14:textId="60A634DA"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While Married women could choose not to pay full National Insurance contributions, this benefit remained at the discretion of their husbands’ insurance. This excluded a woman from receiving her own unemployment or sickness benefits. “The post-war welfare state was built around the assumption of a male breadwinner and a dependent female homemaker.” (Lewis, 1992, p.159). Despite introducing an 18-week maternity grant, this coexisted with pre-existing </w:t>
      </w:r>
      <w:r w:rsidRPr="006E41A1">
        <w:rPr>
          <w:rFonts w:ascii="Times New Roman" w:hAnsi="Times New Roman" w:cs="Times New Roman"/>
        </w:rPr>
        <w:lastRenderedPageBreak/>
        <w:t xml:space="preserve">marriage bars in a few female-dominated sectors. To obtain and maintain a job alongside pregnancy and a family home became a reality that was depleting. A new benefit was the introduction of a widows’ grant, which legally allocated funds to the spouses of tradesmen following their demise. This was heavily subject to rule and reform. While the 1946 Act attempted to provide widespread benefits for women, it also reinforced gender inequality with social structures that viewed a married woman’s position within the workplace as temporary, therefore limiting their chances of gaining long-term employment and thus financial independence. </w:t>
      </w:r>
    </w:p>
    <w:p w14:paraId="68CE059B" w14:textId="4E1A43C1"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Women’s labour participation increased; however, it was primarily in lower-quality roles. Hakim notes that “Women’s employment was shaped by their primary responsibility for domestic labour, leading to their concentration in part-time and low-paid work.” (Hakim) Among occupational segregation persisting across industries, Hakim understands this as “the differentiation between men’s and women’s work.” (Hakim). Hakim, a sociologist who founded preference theory, argues that women’s choices about employment are influenced and vary by lifestyle preferences. She identifies three distinct categories of lifestyle preference: Home-centred, Work-centred and Adaptive. These limiting factors, alongside social performance, perception and adherence, such as lower access to senior roles, led to a growing dissatisfaction, which contributed to early equal pay activism.</w:t>
      </w:r>
    </w:p>
    <w:p w14:paraId="1B77D27F" w14:textId="2F0E2E7D"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In 1970, the Introduction of the Equal Pay Act aimed to address wage disparities between workers, especially along gender lines. Rubery found “The Equal Pay Act 1970 marked a significant step towards formal equality, but its impact was limited by its narrow scope and the persistence of occupational segregation” (Jill Rubery). This reflects the same linear principle of workplace segregation that persisted from the post-war welfare system, despite the apparent advantages and measures taken before 1970. Figart notes that “Equal pay legislation reduced overt wage </w:t>
      </w:r>
      <w:proofErr w:type="gramStart"/>
      <w:r w:rsidRPr="006E41A1">
        <w:rPr>
          <w:rFonts w:ascii="Times New Roman" w:hAnsi="Times New Roman" w:cs="Times New Roman"/>
        </w:rPr>
        <w:t>discrimination, but</w:t>
      </w:r>
      <w:proofErr w:type="gramEnd"/>
      <w:r w:rsidRPr="006E41A1">
        <w:rPr>
          <w:rFonts w:ascii="Times New Roman" w:hAnsi="Times New Roman" w:cs="Times New Roman"/>
        </w:rPr>
        <w:t xml:space="preserve"> did not eliminate the structural inequalities that underpin the </w:t>
      </w:r>
      <w:r w:rsidRPr="006E41A1">
        <w:rPr>
          <w:rFonts w:ascii="Times New Roman" w:hAnsi="Times New Roman" w:cs="Times New Roman"/>
        </w:rPr>
        <w:lastRenderedPageBreak/>
        <w:t>gender pay gap.” (Deborah M. Figart). Women may have obtained an equal share of their labour in positions such as secretaries and call operators, but this often translated into fewer long-term benefits, such as opportunities to earn bonuses, stability in their employment, or advancement to higher positions.</w:t>
      </w:r>
    </w:p>
    <w:p w14:paraId="7964E766" w14:textId="77777777" w:rsid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In 1975, the Sex Discrimination Act was put in place, which aimed to prevent direct discrimination based on gender in hiring processes, educational pursuits, and access to services. This was supported by the establishment of the Equal Opportunities Commission, charged to enforce these protections; “The Equal Opportunities Commission was established to work towards the elimination of discrimination and to promote equality of opportunity between men and women” (Dickens, 1999, p.11). These provisions highlighted a shift in institutional legislation, social norms and proactive measures towards equality. While formal barriers reduced the effect of these reforms, they were often restricted by individualised social norms, cultural bias, a lack of present workplace enforcement and indirect discrimination; “the enforcement of equality legislation in Britain has relied heavily on individual complaints rather than proactive investigation.” (Hepple, 2010, p.32). Without direct enforcement and intervention within individual workplaces, the ability to address discrimination is limited; as a result, many pre-existing indirect forms of gender discrimination were left unchallenged unless the offended individual pursued action. However, many women were often “reluctant to challenge discrimination because of the potential social and organisational costs involved” (Dickens, 1999, p.12).</w:t>
      </w:r>
      <w:r>
        <w:rPr>
          <w:rFonts w:ascii="Times New Roman" w:hAnsi="Times New Roman" w:cs="Times New Roman"/>
        </w:rPr>
        <w:t xml:space="preserve"> </w:t>
      </w:r>
    </w:p>
    <w:p w14:paraId="12DB72E4" w14:textId="4EC868AF"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This settles into the dissertation's thought experiment, ‘What if you were a man for a day?” How does the removal of social expectation and limiting factors enforced by gender bias potentially adapt an individual's behaviour/performance? “Organisations are arenas within which social actors engage in patterned interactions that reproduce social structures.” (Acker, 1990, p.142). This presents the argument that social networking within the work place is a tool </w:t>
      </w:r>
      <w:r w:rsidRPr="006E41A1">
        <w:rPr>
          <w:rFonts w:ascii="Times New Roman" w:hAnsi="Times New Roman" w:cs="Times New Roman"/>
        </w:rPr>
        <w:lastRenderedPageBreak/>
        <w:t>towards positive change however external factors such as individual upbringing, belief systems, politics and expectations will always have an inhibiting influence on the outcome of workplace equality reform due to the very face people are segregated by a label of ‘gender’ in the first place and what that label means to the individual; “Social groups create deviance by making the rules whose infractions constitutes deviance, and by applying those rules to particular people and labelling them as outsiders.” (Becker, 1963) Regardless of how many well-intentioned terms are legally enforced, it is down to individuals in the workplace to accept and adhere to the ruling to promote social change.</w:t>
      </w:r>
    </w:p>
    <w:p w14:paraId="4C7A4EE1" w14:textId="77777777" w:rsid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Under Margaret Thatcher's administration, </w:t>
      </w:r>
      <w:proofErr w:type="gramStart"/>
      <w:r w:rsidRPr="006E41A1">
        <w:rPr>
          <w:rFonts w:ascii="Times New Roman" w:hAnsi="Times New Roman" w:cs="Times New Roman"/>
        </w:rPr>
        <w:t>the  1980</w:t>
      </w:r>
      <w:proofErr w:type="gramEnd"/>
      <w:r w:rsidRPr="006E41A1">
        <w:rPr>
          <w:rFonts w:ascii="Times New Roman" w:hAnsi="Times New Roman" w:cs="Times New Roman"/>
        </w:rPr>
        <w:t xml:space="preserve">’s experienced a restructuring within the labour sphere, by shifting many jobs from the public to the private sector; “The Thatcher governments transformed the British labour market through deregulation, privatisation and the weakening of the trade unions.” (Edwards, 2003, p.5) By reducing union strikes and power, individual employers gained greater control over workplace practices, conditions, and wages; this increased the popularity of insecure employment forms such as service-sector jobs, retail, and hospitality. </w:t>
      </w:r>
    </w:p>
    <w:p w14:paraId="53F0C094" w14:textId="48930D84"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While these increased positions were often held by women, they were also regularly lower-paid and less secure than the roles still available and prescribed to men, despite the decline in the manufacturing industry. However, these changes reinforced individualised responsibility: “Thatcherism promoted an emphasis on individualism and market solutions over collective welfare and state intervention” (Gamble, 1988). With inequality often being reframed as a lack of individual success, their failure to sustain meaningful, </w:t>
      </w:r>
      <w:proofErr w:type="gramStart"/>
      <w:r w:rsidRPr="006E41A1">
        <w:rPr>
          <w:rFonts w:ascii="Times New Roman" w:hAnsi="Times New Roman" w:cs="Times New Roman"/>
        </w:rPr>
        <w:t>well paid</w:t>
      </w:r>
      <w:proofErr w:type="gramEnd"/>
      <w:r w:rsidRPr="006E41A1">
        <w:rPr>
          <w:rFonts w:ascii="Times New Roman" w:hAnsi="Times New Roman" w:cs="Times New Roman"/>
        </w:rPr>
        <w:t xml:space="preserve"> employment with promotional opportunities rather than systematic issues, makes it harder for women and equality supporters to collaborate and challenge the institutions which segregate them. Making gender inequality less overt but supporting the concept of ingrained social and institutional norms effected women’s access to opportunities and experience within the workplace forced </w:t>
      </w:r>
      <w:r w:rsidRPr="006E41A1">
        <w:rPr>
          <w:rFonts w:ascii="Times New Roman" w:hAnsi="Times New Roman" w:cs="Times New Roman"/>
        </w:rPr>
        <w:lastRenderedPageBreak/>
        <w:t>them to again rely on their male counterparts; “The expansion of part-time and low-paid work reinforced women’s economic dependence within households, particularly on male partners” (Rubery, 1994, p.396) lesser access to hours with full time hours, reduced pay exceptions and general social pressures within the workplace again effecting a woman’s ability to become financially independent.</w:t>
      </w:r>
    </w:p>
    <w:p w14:paraId="5618DE02" w14:textId="05BBC7AC"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In the 1990s, women in higher education and professional roles saw an increase; this was not achieved through individual acts or laws, but rather through a collection of policy shifts, such as fair recruitment and workplace equality monitoring, alongside changes to culture and workplace practices/attitudes. “The shift from equal opportunities to diversity management represented a move from compliance-based approaches to more productive organisational change” (Thomas, 1990). This shows how adapting labels and using language can lead to smooth social adaptation. These approaches led to improved gender equality for all, not just women; however, “the increasing participation of women in paid employment during the late twentieth century contributed to the erosion of traditional occupational segregation” (Lewis, 1997). </w:t>
      </w:r>
    </w:p>
    <w:p w14:paraId="1309D051" w14:textId="77777777"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Despite the increased presence of women in the workplace, the ‘glass ceiling’ is an invisible barrier within organisations that prevents women and other groups from advancing into high-paying, powerful roles. This barrier is produced and reinforced by organisational culture, bias and informal networks; “women are often excluded from informal networks where important information, influence and career opportunities are exchanged” (Morley, 2013). </w:t>
      </w:r>
    </w:p>
    <w:p w14:paraId="7A8961E1" w14:textId="77777777" w:rsidR="006E41A1" w:rsidRPr="006E41A1" w:rsidRDefault="006E41A1" w:rsidP="006E41A1">
      <w:pPr>
        <w:spacing w:line="480" w:lineRule="auto"/>
        <w:jc w:val="both"/>
        <w:rPr>
          <w:rFonts w:ascii="Times New Roman" w:hAnsi="Times New Roman" w:cs="Times New Roman"/>
        </w:rPr>
      </w:pPr>
    </w:p>
    <w:p w14:paraId="5AAF9865" w14:textId="31560DF5"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This again is </w:t>
      </w:r>
      <w:proofErr w:type="spellStart"/>
      <w:r w:rsidRPr="006E41A1">
        <w:rPr>
          <w:rFonts w:ascii="Times New Roman" w:hAnsi="Times New Roman" w:cs="Times New Roman"/>
        </w:rPr>
        <w:t>largly</w:t>
      </w:r>
      <w:proofErr w:type="spellEnd"/>
      <w:r w:rsidRPr="006E41A1">
        <w:rPr>
          <w:rFonts w:ascii="Times New Roman" w:hAnsi="Times New Roman" w:cs="Times New Roman"/>
        </w:rPr>
        <w:t xml:space="preserve"> due to social access women are often excluded from socially perceived ‘male’ activities such as sports, after work drinks and informal forms of mentoring thing alongside gendered spaces both within and external to the workplace such as gentlemen clubs </w:t>
      </w:r>
      <w:r w:rsidRPr="006E41A1">
        <w:rPr>
          <w:rFonts w:ascii="Times New Roman" w:hAnsi="Times New Roman" w:cs="Times New Roman"/>
        </w:rPr>
        <w:lastRenderedPageBreak/>
        <w:t xml:space="preserve">a women’s ability to achieve equal opportunity to their male counterparts part is still heavily equated to their social status and perception which are heavily influenced by the individual. </w:t>
      </w:r>
    </w:p>
    <w:p w14:paraId="210F51D4" w14:textId="38A3FA08"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The next century saw the introduction of gender equality and parental rights by the 2002 Employment Act. The act highlighted ‘family-friendly’ policies, such as increased maternity entitlements and pay, allowing women to work reduced hours for longer periods; alongside the introduction of paternity leave and flexible work requests for those with families and young children, such as part-time working hours. Despite these changes elevating the burden of work-life balance for women, many of these rights remained “only a right to have the request considered, not a substantive right” (Pearson, 2024). These benefits were still highly dependent on individual circumstances; therefore, the effectiveness of these provisions was limited, with the legislation “widely criticised as providing only weak rights for employees” (Croucher and Kelliher, 2005). This reflects the neoliberal position, placing responsibility on the individuals rather than the institutions. Highlighting the lack of connection between the legislation on paper and policy in practice (Teasdale, 2020), demonstrating again that while formal measures against inequality expand, structural inequality within the workplace and wider society often persists. </w:t>
      </w:r>
    </w:p>
    <w:p w14:paraId="0904E48B" w14:textId="20E2D221"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The 2010 Equality Act aimed to strengthen existing anti-discrimination laws developed by previous attempts at equality reform. “Designed to simplify as well as unify British discrimination law” (Feast and Hand, 2015). It merged key laws such as Sex Discrimination 1975 and Equal Pay 1970, thus simplifying the legal framework and definitions, making the rights easier to enforce, enact and understand. The Act introduced ‘protected characteristics’, “prohibits direct and indirect discrimination with respect to nine characteristics” (Mason and </w:t>
      </w:r>
      <w:proofErr w:type="spellStart"/>
      <w:r w:rsidRPr="006E41A1">
        <w:rPr>
          <w:rFonts w:ascii="Times New Roman" w:hAnsi="Times New Roman" w:cs="Times New Roman"/>
        </w:rPr>
        <w:t>Mivera</w:t>
      </w:r>
      <w:proofErr w:type="spellEnd"/>
      <w:r w:rsidRPr="006E41A1">
        <w:rPr>
          <w:rFonts w:ascii="Times New Roman" w:hAnsi="Times New Roman" w:cs="Times New Roman"/>
        </w:rPr>
        <w:t xml:space="preserve">, 2020), implementing legal protection for those segregated on the grounds of sex, race, disability, belief, pregnancy, marriage and age. It clearly defined both direct and indirect discrimination, victimisation and harassment of all persons within employment and the legal </w:t>
      </w:r>
      <w:r w:rsidRPr="006E41A1">
        <w:rPr>
          <w:rFonts w:ascii="Times New Roman" w:hAnsi="Times New Roman" w:cs="Times New Roman"/>
        </w:rPr>
        <w:lastRenderedPageBreak/>
        <w:t xml:space="preserve">sphere. The Act “provides a single, coherent framework to protect individuals from discrimination and to promote equality” (Hepple, 2010) by recognising multiple forms of inequality and unifying individuals under inclusive norms and protections aided in bridging social gaps within the workplace by fostering good relations between colleagues “equalities policies can contribute to a more inclusive organisational culture by setting expectations of fairness and respect” (McBride, 2001) highlighting the “expressive function in shaping social norms and promoting inclusion” (Fredman, 2011) by making the act itself an inclusive order to represent more than one group essentially against all other, the act allowed space for more respectful workplace interactions, through shares expectations of fairness and protection. </w:t>
      </w:r>
    </w:p>
    <w:p w14:paraId="5A8B2401" w14:textId="073BEC3F"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The evolution of gender inequality in the UK specifically within the employment sphere has presented in the shift from overt exclusion to subtle institutional and social forms, while formal discrimination has been reduced over the last century the structural inequalities reinforced by social norms and values persist, this is evident through the continued gender pay gap and under representation of women in leaderships roles; despite years of supportive and unifying paper </w:t>
      </w:r>
      <w:proofErr w:type="spellStart"/>
      <w:r w:rsidRPr="006E41A1">
        <w:rPr>
          <w:rFonts w:ascii="Times New Roman" w:hAnsi="Times New Roman" w:cs="Times New Roman"/>
        </w:rPr>
        <w:t>legistation</w:t>
      </w:r>
      <w:proofErr w:type="spellEnd"/>
      <w:r w:rsidRPr="006E41A1">
        <w:rPr>
          <w:rFonts w:ascii="Times New Roman" w:hAnsi="Times New Roman" w:cs="Times New Roman"/>
        </w:rPr>
        <w:t xml:space="preserve">. </w:t>
      </w:r>
    </w:p>
    <w:p w14:paraId="5E346AC8" w14:textId="1D314BF6"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The 2010s saw mandatory gender pay gap reporting for large corporations in 2017, requiring all employers of over 250 employees to publish pay data annually and recognise any discrimination between mean pay and bonuses. HSBC reports one of the largest UK pay gaps at 59% (HSBC, 2018), highlighting a correlation toward men in senior roles, resulting in higher pay and bonus availability, reflective of the structural hierarchy’s persistence. These mandatory reports aimed to increase pay transparency by pressuring organisations to act so as not to be socially signposted (Figart, 2018). However, it is often found that “Transparency alone is insufficient to eliminate gender pay inequality without accompanying enforcement mechanisms” (Rubery, 2016). For example, the BBC was exposed to significant discrepancies </w:t>
      </w:r>
      <w:r w:rsidRPr="006E41A1">
        <w:rPr>
          <w:rFonts w:ascii="Times New Roman" w:hAnsi="Times New Roman" w:cs="Times New Roman"/>
        </w:rPr>
        <w:lastRenderedPageBreak/>
        <w:t xml:space="preserve">in pay between its male- and female-identifying employees in 2018, which led to widespread public scrutiny and internal restructuring. </w:t>
      </w:r>
    </w:p>
    <w:p w14:paraId="1EB39BF0" w14:textId="11B66444"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Alongside the rise of social moments such as #MeToo, exposing vast sums of workplace harassment claims, normalised and hidden gendered authorities and in balanced workplace power relations. “The MeToo movement has revealed the systemic nature of sexual harassment in workplaces across sectors” (Banet-Weiser, 2018). Rather than isolated incidents, harassment is increasingly understood and accepted as it is embedded within organisational cultures, as Acker (1990) argues that workplace inequality is sustained by “organisational cultures that enable and normalise it” (Acker, 1990). The rise of these movements represents how legislation and policies arguably, however slowly created conditions in which more people felt empowered to engage with policy and speak up; as “previously silenced experiences of workplace harassment were made publicly </w:t>
      </w:r>
      <w:proofErr w:type="spellStart"/>
      <w:r w:rsidRPr="006E41A1">
        <w:rPr>
          <w:rFonts w:ascii="Times New Roman" w:hAnsi="Times New Roman" w:cs="Times New Roman"/>
        </w:rPr>
        <w:t>speakable</w:t>
      </w:r>
      <w:proofErr w:type="spellEnd"/>
      <w:r w:rsidRPr="006E41A1">
        <w:rPr>
          <w:rFonts w:ascii="Times New Roman" w:hAnsi="Times New Roman" w:cs="Times New Roman"/>
        </w:rPr>
        <w:t xml:space="preserve">” (Tannen, 2018), high profile cases such as Harvey Winestine, demonstrate how power imbalances within workplaces allow abuse to persist, however their dismantlement and the influx of moment against workplace discrimination and harassment present the proof that with correct systematic reform and subsequent social exposure as a means of peer policing; “organisational members themselves actively participate in maintaining gendered expectations through everyday practices.” (Acker, 1990) when individuals and institutions alike are held socially accountable more people become aware of their own rights, experiences and actions thus promoting change through their expectations to be treated fairly both in work and social interactions as they are “held accountable to normative expectations” (West and Zimmerman, 1987) this demonstrates peer policing in action where workplace actors enforce gender norms through informal judgement and social pressures. </w:t>
      </w:r>
    </w:p>
    <w:p w14:paraId="6F1CBE1A" w14:textId="458F9BBA"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The 2019 COVID pandemic strengthened pre-existing gender inequalities in the UK labour market. This was particularly significant regarding job security and underpaid care and key worker roles, often </w:t>
      </w:r>
      <w:proofErr w:type="gramStart"/>
      <w:r w:rsidRPr="006E41A1">
        <w:rPr>
          <w:rFonts w:ascii="Times New Roman" w:hAnsi="Times New Roman" w:cs="Times New Roman"/>
        </w:rPr>
        <w:t>reserved  for</w:t>
      </w:r>
      <w:proofErr w:type="gramEnd"/>
      <w:r w:rsidRPr="006E41A1">
        <w:rPr>
          <w:rFonts w:ascii="Times New Roman" w:hAnsi="Times New Roman" w:cs="Times New Roman"/>
        </w:rPr>
        <w:t xml:space="preserve"> female employees. Furlough schemes, employment disruption </w:t>
      </w:r>
      <w:r w:rsidRPr="006E41A1">
        <w:rPr>
          <w:rFonts w:ascii="Times New Roman" w:hAnsi="Times New Roman" w:cs="Times New Roman"/>
        </w:rPr>
        <w:lastRenderedPageBreak/>
        <w:t xml:space="preserve">and increased domestic responsibility due to limited childcare options disproportionately affected women, “Crises do not create gender inequalities; they expose and deepen them” (Fraser, 2017). As they were expected to return home after the war, women were again expected to shoulder the domestic responsibilities of a family in crisis. The national statistics office found in 2021 that women were more likely to be furloughed, largely because they worked in sectors such as hospitality, which experienced disproportionate closures during lockdown. This, alongside school closures, reinforced expectations regarding the gendered division of care and the burden of unpaid domestic labour on women, amplifying how economic shocks amplify pre-existing gender stereotypes. </w:t>
      </w:r>
    </w:p>
    <w:p w14:paraId="0DF63659" w14:textId="4D622C3F" w:rsidR="006E41A1" w:rsidRP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However, with the rapid extension of hybrid and remote working, a further shift in organisational norms and expectations, such as productivity, workload and progression, due to a lack of ‘peer policing’ and social regulation through expectation. With increased flexibility allowing many to work from home and around their domestic and childcare needs, a reduced physical presence in the workplace negatively impacts access to informal networks and progression opportunities; this is strongly supported by feminist theory regarding workplace practice. West and Zimmerman, in ‘doing gender’, explore how these workplace expectations are reinforced through interaction. </w:t>
      </w:r>
    </w:p>
    <w:p w14:paraId="17520312" w14:textId="4A484839" w:rsidR="006E41A1" w:rsidRDefault="006E41A1" w:rsidP="006E41A1">
      <w:pPr>
        <w:spacing w:line="480" w:lineRule="auto"/>
        <w:jc w:val="both"/>
        <w:rPr>
          <w:rFonts w:ascii="Times New Roman" w:hAnsi="Times New Roman" w:cs="Times New Roman"/>
        </w:rPr>
      </w:pPr>
      <w:r w:rsidRPr="006E41A1">
        <w:rPr>
          <w:rFonts w:ascii="Times New Roman" w:hAnsi="Times New Roman" w:cs="Times New Roman"/>
        </w:rPr>
        <w:t xml:space="preserve">In response, Diversity, Equality and Inclusion initiatives became increasingly implemented and promoted across the UK, such as flexible working-from-home policies, which improved job access for parents, carers and disabled workers alike. Blind CV screening, which limits discrimination based on gender and race by removing names and gender indicators during recruitment, alongside diverse hiring panels, aims to reduce unconscious bias in hiring decisions. While Diversity, Equity and Inclusion (DEI) initiatives have become central to contemporary workplace policy, academic research suggests they often fail to address structural inequality. As Thomas (1990s) argues, “diversity management often operates as a </w:t>
      </w:r>
      <w:r w:rsidRPr="006E41A1">
        <w:rPr>
          <w:rFonts w:ascii="Times New Roman" w:hAnsi="Times New Roman" w:cs="Times New Roman"/>
        </w:rPr>
        <w:lastRenderedPageBreak/>
        <w:t>managerial discourse that leaves underlying power relations largely untouched” (Thomas, 1990), indicating that such initiatives may improve representation without altering organisational hierarchies. Similarly, Ahmed (2012) contends that diversity work “can shift responsibility for inequality onto individuals by focusing on attitudes rather than institutional structures, reinforcing a neoliberal logic of personal accountability” (Ahmed, 2012, p. 34). In this sense, DEI policies may function as “window dressing” (Guest, 2017), improving organisational reputation while leaving deeper inequalities intact.</w:t>
      </w:r>
    </w:p>
    <w:p w14:paraId="0911ACBB" w14:textId="77777777" w:rsidR="006E41A1" w:rsidRPr="006E41A1" w:rsidRDefault="006E41A1" w:rsidP="006E41A1">
      <w:pPr>
        <w:spacing w:line="480" w:lineRule="auto"/>
        <w:jc w:val="both"/>
        <w:rPr>
          <w:rFonts w:ascii="Times New Roman" w:hAnsi="Times New Roman" w:cs="Times New Roman"/>
        </w:rPr>
      </w:pPr>
    </w:p>
    <w:p w14:paraId="355F0AD6" w14:textId="404C9A50" w:rsidR="001B47F5" w:rsidRPr="007F5B7E" w:rsidRDefault="006E41A1" w:rsidP="006E41A1">
      <w:pPr>
        <w:spacing w:line="480" w:lineRule="auto"/>
        <w:jc w:val="both"/>
        <w:rPr>
          <w:rFonts w:ascii="Times New Roman" w:hAnsi="Times New Roman" w:cs="Times New Roman"/>
        </w:rPr>
      </w:pPr>
      <w:r w:rsidRPr="006E41A1">
        <w:rPr>
          <w:rFonts w:ascii="Times New Roman" w:hAnsi="Times New Roman" w:cs="Times New Roman"/>
        </w:rPr>
        <w:t>The challenge now is to understand and accept how these inequalities are embedded in culture and differ from person to person.</w:t>
      </w:r>
    </w:p>
    <w:p w14:paraId="3FFF6B78" w14:textId="77777777" w:rsidR="001B47F5" w:rsidRPr="007F5B7E" w:rsidRDefault="001B47F5" w:rsidP="006E41A1">
      <w:pPr>
        <w:spacing w:line="480" w:lineRule="auto"/>
        <w:jc w:val="both"/>
        <w:rPr>
          <w:rFonts w:ascii="Times New Roman" w:hAnsi="Times New Roman" w:cs="Times New Roman"/>
        </w:rPr>
      </w:pPr>
    </w:p>
    <w:p w14:paraId="77E361A8" w14:textId="77777777" w:rsidR="001B47F5" w:rsidRPr="007F5B7E" w:rsidRDefault="001B47F5" w:rsidP="006E41A1">
      <w:pPr>
        <w:spacing w:line="480" w:lineRule="auto"/>
        <w:jc w:val="both"/>
        <w:rPr>
          <w:rFonts w:ascii="Times New Roman" w:hAnsi="Times New Roman" w:cs="Times New Roman"/>
        </w:rPr>
      </w:pPr>
    </w:p>
    <w:p w14:paraId="50081B45" w14:textId="77777777" w:rsidR="001B47F5" w:rsidRPr="007F5B7E" w:rsidRDefault="001B47F5" w:rsidP="006A22BA">
      <w:pPr>
        <w:spacing w:line="480" w:lineRule="auto"/>
        <w:jc w:val="both"/>
        <w:rPr>
          <w:rFonts w:ascii="Times New Roman" w:hAnsi="Times New Roman" w:cs="Times New Roman"/>
        </w:rPr>
      </w:pPr>
    </w:p>
    <w:p w14:paraId="422E1CAC" w14:textId="77777777" w:rsidR="001B47F5" w:rsidRDefault="001B47F5" w:rsidP="006A22BA">
      <w:pPr>
        <w:spacing w:line="480" w:lineRule="auto"/>
        <w:rPr>
          <w:rFonts w:ascii="Times New Roman" w:hAnsi="Times New Roman" w:cs="Times New Roman"/>
        </w:rPr>
      </w:pPr>
    </w:p>
    <w:p w14:paraId="029BB5EF" w14:textId="77777777" w:rsidR="006E41A1" w:rsidRDefault="006E41A1" w:rsidP="006A22BA">
      <w:pPr>
        <w:spacing w:line="480" w:lineRule="auto"/>
        <w:rPr>
          <w:rFonts w:ascii="Times New Roman" w:hAnsi="Times New Roman" w:cs="Times New Roman"/>
        </w:rPr>
      </w:pPr>
    </w:p>
    <w:p w14:paraId="3A9A1380" w14:textId="77777777" w:rsidR="006E41A1" w:rsidRDefault="006E41A1" w:rsidP="006A22BA">
      <w:pPr>
        <w:spacing w:line="480" w:lineRule="auto"/>
        <w:rPr>
          <w:rFonts w:ascii="Times New Roman" w:hAnsi="Times New Roman" w:cs="Times New Roman"/>
        </w:rPr>
      </w:pPr>
    </w:p>
    <w:p w14:paraId="3F62ED78" w14:textId="77777777" w:rsidR="006E41A1" w:rsidRDefault="006E41A1" w:rsidP="006A22BA">
      <w:pPr>
        <w:spacing w:line="480" w:lineRule="auto"/>
        <w:rPr>
          <w:rFonts w:ascii="Times New Roman" w:hAnsi="Times New Roman" w:cs="Times New Roman"/>
        </w:rPr>
      </w:pPr>
    </w:p>
    <w:p w14:paraId="1D676ED2" w14:textId="77777777" w:rsidR="006E41A1" w:rsidRDefault="006E41A1" w:rsidP="006A22BA">
      <w:pPr>
        <w:spacing w:line="480" w:lineRule="auto"/>
        <w:rPr>
          <w:rFonts w:ascii="Times New Roman" w:hAnsi="Times New Roman" w:cs="Times New Roman"/>
        </w:rPr>
      </w:pPr>
    </w:p>
    <w:p w14:paraId="368E1A64" w14:textId="77777777" w:rsidR="006E41A1" w:rsidRDefault="006E41A1" w:rsidP="006A22BA">
      <w:pPr>
        <w:spacing w:line="480" w:lineRule="auto"/>
        <w:rPr>
          <w:rFonts w:ascii="Times New Roman" w:hAnsi="Times New Roman" w:cs="Times New Roman"/>
        </w:rPr>
      </w:pPr>
    </w:p>
    <w:p w14:paraId="2B3263C4" w14:textId="77777777" w:rsidR="006E41A1" w:rsidRPr="007F5B7E" w:rsidRDefault="006E41A1" w:rsidP="006A22BA">
      <w:pPr>
        <w:spacing w:line="480" w:lineRule="auto"/>
        <w:rPr>
          <w:rFonts w:ascii="Times New Roman" w:hAnsi="Times New Roman" w:cs="Times New Roman"/>
        </w:rPr>
      </w:pPr>
    </w:p>
    <w:p w14:paraId="32D54D65" w14:textId="76802C21" w:rsidR="006B0292" w:rsidRPr="006A22BA" w:rsidRDefault="006B0292" w:rsidP="006A22BA">
      <w:pPr>
        <w:pStyle w:val="Heading1"/>
        <w:spacing w:line="480" w:lineRule="auto"/>
        <w:rPr>
          <w:rFonts w:ascii="Times New Roman" w:hAnsi="Times New Roman" w:cs="Times New Roman"/>
          <w:color w:val="000000" w:themeColor="text1"/>
          <w:sz w:val="28"/>
          <w:szCs w:val="28"/>
        </w:rPr>
      </w:pPr>
      <w:bookmarkStart w:id="7" w:name="_Toc229346236"/>
      <w:r w:rsidRPr="006A22BA">
        <w:rPr>
          <w:rFonts w:ascii="Times New Roman" w:hAnsi="Times New Roman" w:cs="Times New Roman"/>
          <w:color w:val="000000" w:themeColor="text1"/>
          <w:sz w:val="28"/>
          <w:szCs w:val="28"/>
        </w:rPr>
        <w:lastRenderedPageBreak/>
        <w:t>Discussion of the findings:</w:t>
      </w:r>
      <w:bookmarkEnd w:id="7"/>
    </w:p>
    <w:p w14:paraId="5E3A127D" w14:textId="426E62BB"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This dissertation aimed to explore the reproduction, legitimation and evolution of gender inequality within the UK workforce between 1925 and 2025. Together, the policy and legislative frameworks, theoretical scholarship and historical case studies examined present an evident pattern; regardless of whether inequality has arguably diminished gradually through increased recognition and targeted through the removal of formal barriers such as the Equal Pay Act or maternity pay, gender inequality has not ceased to exist, despite claims. Rather, the subject of inequality has evolved, through subtle social typologies, labels and expectations embedded within all social systems, including the workforce, thus reinforcing gendered expectations, limitations and values institutionally. </w:t>
      </w:r>
    </w:p>
    <w:p w14:paraId="47BEF7E8" w14:textId="1FBA201B"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The persistence of inequality within workplace interaction is often evident in organisational structures, which have access to social interactions, information and invitations through their position and expected communication, which may lead to overt discussion, informal mentorship and, thus, workplace behaviour. These informal workplace cultures, performative gender norms have individualised experiences; however, other aspects such as periods of economic shock, War, Covid-19 and the historic unequal division of domestic responsibility and labour between men and women aid in the persistence of inequality. Inequality is both a self-fulfilling prophecy and a daunting reality of social power for and between genders. </w:t>
      </w:r>
    </w:p>
    <w:p w14:paraId="2E178E69" w14:textId="53C3F5D0"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Whilst legislative efforts such as the Equal Pay Act 1970 and the Equality Act 2010 aimed to establish formal protections against equality barriers, these legal efforts and paper trails have not translated into established, legitimate social equality. This section presents that gender inequality is sustained and reproduced in the everyday interactions of the individual, regardless of gender; this becomes prevalent in workplace interactions from recruitment to promotion, </w:t>
      </w:r>
      <w:r w:rsidRPr="006E41A1">
        <w:rPr>
          <w:rFonts w:ascii="Times New Roman" w:hAnsi="Times New Roman" w:cs="Times New Roman"/>
          <w:color w:val="000000" w:themeColor="text1"/>
          <w:kern w:val="0"/>
          <w14:ligatures w14:val="none"/>
        </w:rPr>
        <w:lastRenderedPageBreak/>
        <w:t xml:space="preserve">institutional expectations and privileges such as idolised ‘masculine’ forms of authority and emotional resistance, and domestic expectations. </w:t>
      </w:r>
    </w:p>
    <w:p w14:paraId="7AAD2E9C" w14:textId="414A203F"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One of the themes throughout this dissertation is the distinction between legal and social equality, and between policy reform and employees' actual workplace experiences. The twentieth century saw changes in legislation, with increased efforts to address direct forms of </w:t>
      </w:r>
      <w:proofErr w:type="gramStart"/>
      <w:r w:rsidRPr="006E41A1">
        <w:rPr>
          <w:rFonts w:ascii="Times New Roman" w:hAnsi="Times New Roman" w:cs="Times New Roman"/>
          <w:color w:val="000000" w:themeColor="text1"/>
          <w:kern w:val="0"/>
          <w14:ligatures w14:val="none"/>
        </w:rPr>
        <w:t>discrimination,,</w:t>
      </w:r>
      <w:proofErr w:type="gramEnd"/>
      <w:r w:rsidRPr="006E41A1">
        <w:rPr>
          <w:rFonts w:ascii="Times New Roman" w:hAnsi="Times New Roman" w:cs="Times New Roman"/>
          <w:color w:val="000000" w:themeColor="text1"/>
          <w:kern w:val="0"/>
          <w14:ligatures w14:val="none"/>
        </w:rPr>
        <w:t xml:space="preserve"> such as equal recruitment opportunities. Acts such as the 1970 Equal Pay Act, 1975 Sex Discrimination Act, 2002 Employment and 2010 Employment show a steady rise in measures taken against discrimination and harassment, and in policy enforcement, such as companies with over 250 employees being expected to publish their employment data and pay gaps (BBC, 2010). However, these reforms often target overt discrimination within institutions, glass ceilings, and equal pay based on role rather than more covert forms of economic access, such as informal mentorship and gendered spaces like gyms and country clubs. Whilst decades of legislation efforts have pushed against direct gender inequality, they have often failed to recognise underlying organisational cultures, leaving many social and workplace barriers intact. </w:t>
      </w:r>
    </w:p>
    <w:p w14:paraId="14823E05" w14:textId="64EF0971"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Hepple argued in 2010 that equality law in Britain “realised heavily upon individual complaints” (Hepple, 2010, p. 122) rather than proactive measures of enforcement and integration. This means methods and paths towards challenging discrimination are often at the discretion, responsibility, and burden of the individual worker rather than the institution implementing them.  This is reflective of Ahmed’s 2012 critique of diversity culture and neoliberal attitudes; reporting institutions often perform symbolically, for example, McDonald's famously ‘flipped’ their logo to represent a ‘W’ rather than their recognised ‘M’ for International Women’s Day in 2018, with a reported 100 restaurants engaged within the campaign (Reuters, 2018). However, these changes included only a single sign adaptation at a </w:t>
      </w:r>
      <w:r w:rsidRPr="006E41A1">
        <w:rPr>
          <w:rFonts w:ascii="Times New Roman" w:hAnsi="Times New Roman" w:cs="Times New Roman"/>
          <w:color w:val="000000" w:themeColor="text1"/>
          <w:kern w:val="0"/>
          <w14:ligatures w14:val="none"/>
        </w:rPr>
        <w:lastRenderedPageBreak/>
        <w:t xml:space="preserve">location in California and vague promotional references, such as social media logos changing and uniform advertising with pins (Reuters, 2018). A grounding example of symbolic action without fundamentally redistributing power, only 100 restaurants from a company projected to have had “37,855 outlets as of 2018” (World Economic Forum, 2026), participated in a campaign, which represented a </w:t>
      </w:r>
      <w:proofErr w:type="spellStart"/>
      <w:r w:rsidRPr="006E41A1">
        <w:rPr>
          <w:rFonts w:ascii="Times New Roman" w:hAnsi="Times New Roman" w:cs="Times New Roman"/>
          <w:color w:val="000000" w:themeColor="text1"/>
          <w:kern w:val="0"/>
          <w14:ligatures w14:val="none"/>
        </w:rPr>
        <w:t>self reported</w:t>
      </w:r>
      <w:proofErr w:type="spellEnd"/>
      <w:r w:rsidRPr="006E41A1">
        <w:rPr>
          <w:rFonts w:ascii="Times New Roman" w:hAnsi="Times New Roman" w:cs="Times New Roman"/>
          <w:color w:val="000000" w:themeColor="text1"/>
          <w:kern w:val="0"/>
          <w14:ligatures w14:val="none"/>
        </w:rPr>
        <w:t xml:space="preserve"> 64% of their employees in 2018 (McDonald’s Corporation, 2022). Women may have the numbers and the label; however, the enforcement of many equality measures is failing. </w:t>
      </w:r>
    </w:p>
    <w:p w14:paraId="1BEAE60D" w14:textId="5CE8AAD8"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proofErr w:type="gramStart"/>
      <w:r w:rsidRPr="006E41A1">
        <w:rPr>
          <w:rFonts w:ascii="Times New Roman" w:hAnsi="Times New Roman" w:cs="Times New Roman"/>
          <w:color w:val="000000" w:themeColor="text1"/>
          <w:kern w:val="0"/>
          <w14:ligatures w14:val="none"/>
        </w:rPr>
        <w:t>As a consequence</w:t>
      </w:r>
      <w:proofErr w:type="gramEnd"/>
      <w:r w:rsidRPr="006E41A1">
        <w:rPr>
          <w:rFonts w:ascii="Times New Roman" w:hAnsi="Times New Roman" w:cs="Times New Roman"/>
          <w:color w:val="000000" w:themeColor="text1"/>
          <w:kern w:val="0"/>
          <w14:ligatures w14:val="none"/>
        </w:rPr>
        <w:t xml:space="preserve">, organisations are more legally responsible and therefore inclusive whilst remaining as exclusionary as possible regarding culture. This is evident in the symbolic interactions and gestures presented by Ahmed, tokens of equality that have allowed women to feel empowered enough to enter the workplace and stabilise their position over time; however, they simultaneously permit inequalities between individual diversities to persist. Representation can also be a tool for exclusion, through the very nature of labelling something or someone as vulnerable in entertainment, for example, within industry standards, such as maternity leave </w:t>
      </w:r>
      <w:r>
        <w:rPr>
          <w:rFonts w:ascii="Times New Roman" w:hAnsi="Times New Roman" w:cs="Times New Roman"/>
          <w:color w:val="000000" w:themeColor="text1"/>
          <w:kern w:val="0"/>
          <w14:ligatures w14:val="none"/>
        </w:rPr>
        <w:t xml:space="preserve">changes </w:t>
      </w:r>
      <w:r w:rsidRPr="006E41A1">
        <w:rPr>
          <w:rFonts w:ascii="Times New Roman" w:hAnsi="Times New Roman" w:cs="Times New Roman"/>
          <w:color w:val="000000" w:themeColor="text1"/>
          <w:kern w:val="0"/>
          <w14:ligatures w14:val="none"/>
        </w:rPr>
        <w:t>and the 2002 Employment Act.</w:t>
      </w:r>
    </w:p>
    <w:p w14:paraId="1D884044" w14:textId="77777777"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Another underlying idea found is the reinforcement of workplace inequality through social performance. Focal points for theorists such as Butler and West &amp; Zimmerman are, first, that gender is a social concept and a performance repeatedly reinforced through individual interactions, which, in turn, trigger greater social influence and effect. Gendered social arenas are shown to frequently emerge within the workplace in sectors such as authority and leadership, emotional restraint, response and communication, as well as expectations of professionalism and confidence; driven by typically masculinised characteristics and gender coded behaviours. Opportunities within recruitment, assessment, promotion, negotiation and networking spaces. These traits are associated with Connell's theory of hegemonic masculinity, </w:t>
      </w:r>
      <w:r w:rsidRPr="006E41A1">
        <w:rPr>
          <w:rFonts w:ascii="Times New Roman" w:hAnsi="Times New Roman" w:cs="Times New Roman"/>
          <w:color w:val="000000" w:themeColor="text1"/>
          <w:kern w:val="0"/>
          <w14:ligatures w14:val="none"/>
        </w:rPr>
        <w:lastRenderedPageBreak/>
        <w:t xml:space="preserve">which holds that they “reinforce socially dominant ideas of masculine norms” (Connell, 1995). For example, advertising portrays caregiver and breadwinner roles. Demonstrating how the persistence of inequality is often down to women’s structural exclusion, however heavily informed by gendered organisational and social norm legitimacy, it is ingrained into the very fabric of communication and media alike and what people have and chosen to engage with can affect their experience with inequality. </w:t>
      </w:r>
    </w:p>
    <w:p w14:paraId="30C3D028" w14:textId="30C57266"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Leaving space for discrepancies referred to by Butler as ‘performance contradictions’, when individuals ‘act out’ of their socially ascribed role and perimeters, this can be referred to through increased ‘violation’ of feminine expectations such as increased assertiveness which may improve perception of workplace competence however can heavily affected their social status and thus access to informal opportunities, mentorship and benefit through indirect inequity stemming from an social discomfort regarding historical and embedded expectations regarding a woman’s public presence and presentation. There is a critique of the fact that men experience inequality compared to women; however, within their own sectors, such as paternity rights. A recent surge in men’s mental health support, as “research suggests that the help-seeking gap for mental health treatment between men and women has closed since 2014” (UK Government, 2025), as “NHS talking therapy use rising by 12% since 2019” (NHS England, 2026), this pushes against archaic claims of masculine resilience and emotional ineptitude. However, the lower levels of engagement still call into question why an unequal number of men and women seek out opportunities such as mental health support. </w:t>
      </w:r>
    </w:p>
    <w:p w14:paraId="11E625F4" w14:textId="1B874DEE"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This duality is reflected throughout employment and feminist perspective literature, in conjunction with this dissertation’s thought experiment, ‘if you were a man for a day,” which is useful in expressing how identifying behaviours such as these perceived masculine qualities are interpreted and performed differently, depending on the individual's perception of gender </w:t>
      </w:r>
      <w:r w:rsidRPr="006E41A1">
        <w:rPr>
          <w:rFonts w:ascii="Times New Roman" w:hAnsi="Times New Roman" w:cs="Times New Roman"/>
          <w:color w:val="000000" w:themeColor="text1"/>
          <w:kern w:val="0"/>
          <w14:ligatures w14:val="none"/>
        </w:rPr>
        <w:lastRenderedPageBreak/>
        <w:t>and norms, informed by experience and education, both social and formal forms. How would</w:t>
      </w:r>
      <w:r>
        <w:rPr>
          <w:rFonts w:ascii="Times New Roman" w:hAnsi="Times New Roman" w:cs="Times New Roman"/>
          <w:color w:val="000000" w:themeColor="text1"/>
          <w:kern w:val="0"/>
          <w14:ligatures w14:val="none"/>
        </w:rPr>
        <w:t xml:space="preserve"> </w:t>
      </w:r>
      <w:r w:rsidRPr="006E41A1">
        <w:rPr>
          <w:rFonts w:ascii="Times New Roman" w:hAnsi="Times New Roman" w:cs="Times New Roman"/>
          <w:color w:val="000000" w:themeColor="text1"/>
          <w:kern w:val="0"/>
          <w14:ligatures w14:val="none"/>
        </w:rPr>
        <w:t>one adapt to their environment and a changed role when their social perception essentially didn’t matter?</w:t>
      </w:r>
    </w:p>
    <w:p w14:paraId="61955BCD" w14:textId="3C3CBB19"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Whilst a man being louder than others in a social arena, such as the workplace, may often be interpreted as an indication of confidence, other typologies and labels are also associated socially, such as ambitious and authoritative. However, these terms are less widely applied to their female counterparts; for imitative behaviour, a confidant woman may instead be referred to as emotional, difficult, and hostile. This suggests the argument that professional legitimacy is oftentimes socially constructed rather than objectively measured; “social groups create deviance by making rules whose infraction constitutes deviance,” (Becker, 1963). Actions and responses are socially labelled based on individual beliefs and circumstances, which, in turn, construct expectations by categorising traits such as gender and race. An arguable defence mechanism among these social actors Butler referred to, to reduce social tensions, isolation, and threat based on prepared expectations informed by social ‘fact’. </w:t>
      </w:r>
    </w:p>
    <w:p w14:paraId="39EFAD13" w14:textId="77777777"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Other recurring themes include concerns regarding the role and reliance of peer policing and other informal forms of social regulation, </w:t>
      </w:r>
      <w:proofErr w:type="gramStart"/>
      <w:r w:rsidRPr="006E41A1">
        <w:rPr>
          <w:rFonts w:ascii="Times New Roman" w:hAnsi="Times New Roman" w:cs="Times New Roman"/>
          <w:color w:val="000000" w:themeColor="text1"/>
          <w:kern w:val="0"/>
          <w14:ligatures w14:val="none"/>
        </w:rPr>
        <w:t>similarly</w:t>
      </w:r>
      <w:proofErr w:type="gramEnd"/>
      <w:r w:rsidRPr="006E41A1">
        <w:rPr>
          <w:rFonts w:ascii="Times New Roman" w:hAnsi="Times New Roman" w:cs="Times New Roman"/>
          <w:color w:val="000000" w:themeColor="text1"/>
          <w:kern w:val="0"/>
          <w14:ligatures w14:val="none"/>
        </w:rPr>
        <w:t xml:space="preserve"> informed by labelling. West and Zimmerman presented the concept of accountability in </w:t>
      </w:r>
      <w:proofErr w:type="gramStart"/>
      <w:r w:rsidRPr="006E41A1">
        <w:rPr>
          <w:rFonts w:ascii="Times New Roman" w:hAnsi="Times New Roman" w:cs="Times New Roman"/>
          <w:color w:val="000000" w:themeColor="text1"/>
          <w:kern w:val="0"/>
          <w14:ligatures w14:val="none"/>
        </w:rPr>
        <w:t>1987,  the</w:t>
      </w:r>
      <w:proofErr w:type="gramEnd"/>
      <w:r w:rsidRPr="006E41A1">
        <w:rPr>
          <w:rFonts w:ascii="Times New Roman" w:hAnsi="Times New Roman" w:cs="Times New Roman"/>
          <w:color w:val="000000" w:themeColor="text1"/>
          <w:kern w:val="0"/>
          <w14:ligatures w14:val="none"/>
        </w:rPr>
        <w:t xml:space="preserve"> idea that people are held accountable to social norms, stating, “doing gender means creating differences between girls and boys and women and men, that are not natural, essential or biological” (West and Zimmerman, 1987). The very fabric of society is based on underlaying historical social systems of </w:t>
      </w:r>
      <w:proofErr w:type="spellStart"/>
      <w:r w:rsidRPr="006E41A1">
        <w:rPr>
          <w:rFonts w:ascii="Times New Roman" w:hAnsi="Times New Roman" w:cs="Times New Roman"/>
          <w:color w:val="000000" w:themeColor="text1"/>
          <w:kern w:val="0"/>
          <w14:ligatures w14:val="none"/>
        </w:rPr>
        <w:t>devision</w:t>
      </w:r>
      <w:proofErr w:type="spellEnd"/>
      <w:r w:rsidRPr="006E41A1">
        <w:rPr>
          <w:rFonts w:ascii="Times New Roman" w:hAnsi="Times New Roman" w:cs="Times New Roman"/>
          <w:color w:val="000000" w:themeColor="text1"/>
          <w:kern w:val="0"/>
          <w14:ligatures w14:val="none"/>
        </w:rPr>
        <w:t xml:space="preserve">, ones which reflect rooted gender stereotypes stemming from available knowledge such as publication (the bible) and experience (familial impact/belief) these are then reinforced by social evaluation, how well individuals can perform the traits ascribed to their overt perceived gender; “gender is maintained through accountability to social expectations” (West </w:t>
      </w:r>
      <w:r w:rsidRPr="006E41A1">
        <w:rPr>
          <w:rFonts w:ascii="Times New Roman" w:hAnsi="Times New Roman" w:cs="Times New Roman"/>
          <w:color w:val="000000" w:themeColor="text1"/>
          <w:kern w:val="0"/>
          <w14:ligatures w14:val="none"/>
        </w:rPr>
        <w:lastRenderedPageBreak/>
        <w:t>and Zimmerman, 1987). This is particularly beneficial for understanding how workplace behaviour is consistently observed and regulated through informal judgement.</w:t>
      </w:r>
    </w:p>
    <w:p w14:paraId="3ACF976E" w14:textId="77777777"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p>
    <w:p w14:paraId="48F13585" w14:textId="77777777"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p>
    <w:p w14:paraId="55C21461" w14:textId="1FCE7F3F"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In addition to an individual's role specifications and assigned tasks, employees are expected to fulfil social debts, such as performing gender ‘correctly’. This is presented through performative gestures such as humour, social ritual (handshakes), gossip, emotional expression, access and dress codes/uniform availability. Police officers have faced decades of historical institutional barriers, including their uniform, which was primarily designed to conform to male body standards (Brown, 1998). Many women would carry handbags rather than standard police and safety equipment. This importantly highlights how inequality is not solely reproduced by management structures but also by employees' adherence to themselves, and it supports Acker’s argument that organisations are “active sites of gender production” (Acker, 2012, p. 36). Suggesting that workplace inequality and discrimination are heavily influenced by socially normalised behaviour and routine interactions/practices. Thus, structural inequality has become almost a cultural commonplace in the UK. </w:t>
      </w:r>
    </w:p>
    <w:p w14:paraId="43A3A5FF" w14:textId="4FF44929"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Furthermore, this dissertation identified an historical pattern of economic shocks alongside increased burdens and expectations for women, which later reinforced traditional gender norms. Economic crises such as World Wars, the Thatcher administration, and the Covid-19 pandemic have repeatedly shown that a woman’s expected participation and access to the labour market often expand during crises, despite domestic demand simultaneously increasing (Milkman, 1987). This calls into question why exceptions to social </w:t>
      </w:r>
      <w:proofErr w:type="gramStart"/>
      <w:r w:rsidRPr="006E41A1">
        <w:rPr>
          <w:rFonts w:ascii="Times New Roman" w:hAnsi="Times New Roman" w:cs="Times New Roman"/>
          <w:color w:val="000000" w:themeColor="text1"/>
          <w:kern w:val="0"/>
          <w14:ligatures w14:val="none"/>
        </w:rPr>
        <w:t>rules,,</w:t>
      </w:r>
      <w:proofErr w:type="gramEnd"/>
      <w:r w:rsidRPr="006E41A1">
        <w:rPr>
          <w:rFonts w:ascii="Times New Roman" w:hAnsi="Times New Roman" w:cs="Times New Roman"/>
          <w:color w:val="000000" w:themeColor="text1"/>
          <w:kern w:val="0"/>
          <w14:ligatures w14:val="none"/>
        </w:rPr>
        <w:t xml:space="preserve"> such as traditional gender roles of homemaker/breadwinner, are so commonly and quickly adopted to suit the </w:t>
      </w:r>
      <w:r w:rsidRPr="006E41A1">
        <w:rPr>
          <w:rFonts w:ascii="Times New Roman" w:hAnsi="Times New Roman" w:cs="Times New Roman"/>
          <w:color w:val="000000" w:themeColor="text1"/>
          <w:kern w:val="0"/>
          <w14:ligatures w14:val="none"/>
        </w:rPr>
        <w:lastRenderedPageBreak/>
        <w:t xml:space="preserve">economic needs of institutions. While women were recruited and placed to fill labour force gaps during the conflict, the COVID-19 pandemic is a strong demonstration of how rapidly workplace expectations, practices, and equality can regress under economic strain. Women disproportionately experienced unpaid care burdens, increased flexibility, however reduced hours, leading to employment instability, especially within already female-focused work commitments such as hospitality and care, alongside reported discrepancies in furlough access. This supports Fraser’s debate that a crisis can often “expose rather than create inequality” (Fraser, 2017). Similarly, women were sharply removed from the workforce following the return of their male counterparts from war, many turning back beneath the thumb and support of their husbands and colleagues despite their capacity, stepping down into lesser positions or simply exiting the workforce altogether, reinforcing traditional nuclear family values. Therefore, suggesting workplace gender equality remains highly conditional on social need and exception, and is often vulnerable to economic restructuring. Women are often used as a tool of convenience when needed by their employer, institution, and even the country.  There is no gender preference. </w:t>
      </w:r>
    </w:p>
    <w:p w14:paraId="2B8332E0" w14:textId="7BD1D747"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Furthermore, with the rise in flexible working conditions and remote opportunities, the restructuring of inequality has changed. Increased flexibility in working hours and location emerged as a progressive step, allowing women to work more efficiently around other social tasks such as domestic burdens and childcare; however, it has many contradictory elements. While remote work improved access for carers and those with disabilities, it reduced commuting barriers and social expectations regarding uniform and workplace conduct. It similarly reduced workplace viability, thus weakening informal networks and opportunities such as mentoring and promotional access, likely reinforcing gender inequalities </w:t>
      </w:r>
      <w:proofErr w:type="gramStart"/>
      <w:r w:rsidRPr="006E41A1">
        <w:rPr>
          <w:rFonts w:ascii="Times New Roman" w:hAnsi="Times New Roman" w:cs="Times New Roman"/>
          <w:color w:val="000000" w:themeColor="text1"/>
          <w:kern w:val="0"/>
          <w14:ligatures w14:val="none"/>
        </w:rPr>
        <w:t>as a result of</w:t>
      </w:r>
      <w:proofErr w:type="gramEnd"/>
      <w:r w:rsidRPr="006E41A1">
        <w:rPr>
          <w:rFonts w:ascii="Times New Roman" w:hAnsi="Times New Roman" w:cs="Times New Roman"/>
          <w:color w:val="000000" w:themeColor="text1"/>
          <w:kern w:val="0"/>
          <w14:ligatures w14:val="none"/>
        </w:rPr>
        <w:t xml:space="preserve"> accountable performance. Women may have more pathways towards employment in their decision-making; Morley identified this persistence as an exclusion from informal networks, </w:t>
      </w:r>
      <w:r w:rsidRPr="006E41A1">
        <w:rPr>
          <w:rFonts w:ascii="Times New Roman" w:hAnsi="Times New Roman" w:cs="Times New Roman"/>
          <w:color w:val="000000" w:themeColor="text1"/>
          <w:kern w:val="0"/>
          <w14:ligatures w14:val="none"/>
        </w:rPr>
        <w:lastRenderedPageBreak/>
        <w:t xml:space="preserve">thus hindering access and reflecting how inequality has simply adapted to suit global technological developments rather than disappeared altogether. These findings suggest that mere flexibility, such as part-time and adaptable working hours, without real structural and cultural change, risks reproducing the very hierarchies that policy, such as the 2010 Equality Act, set out to resolve in the first place, just in new forms. Inequality is adaptive, just as any social expression is. </w:t>
      </w:r>
    </w:p>
    <w:p w14:paraId="3186DEC0" w14:textId="62F8BF5A"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A major aspect of this analysis is intersectionality theory and the concept of uneven inequality through individualised experience. This prevents ‘women’ from being defined as a singular, secular category; workplace inequality can operate and occur unevenly depending on an individual's perceived race, sexuality, and class. As well as other defining background details, such as visible and covert disability and familiar structural/home-life challenges. A middle-class, Christian, white woman may benefit professionally from flexible working and corporate initiatives that reflect a calendar of Christian holidays and westernised norms such as Christmas and Easter. Rather than integrating culturally inclusive practices and religious celebrations, such as Eid. “The interplay of religion and gender is a relevant factor in the labour market disadvantage experienced by Muslim women” (Cannon, 2023). These intersections of religion and gender disproportion inequality, concentrated in areas such as care work and retail, support Rubery’s argument that the labour market is segmented through occupational segregation and gendered labour division: “women are concentrated </w:t>
      </w:r>
      <w:proofErr w:type="gramStart"/>
      <w:r w:rsidRPr="006E41A1">
        <w:rPr>
          <w:rFonts w:ascii="Times New Roman" w:hAnsi="Times New Roman" w:cs="Times New Roman"/>
          <w:color w:val="000000" w:themeColor="text1"/>
          <w:kern w:val="0"/>
          <w14:ligatures w14:val="none"/>
        </w:rPr>
        <w:t>in particular segments</w:t>
      </w:r>
      <w:proofErr w:type="gramEnd"/>
      <w:r w:rsidRPr="006E41A1">
        <w:rPr>
          <w:rFonts w:ascii="Times New Roman" w:hAnsi="Times New Roman" w:cs="Times New Roman"/>
          <w:color w:val="000000" w:themeColor="text1"/>
          <w:kern w:val="0"/>
          <w14:ligatures w14:val="none"/>
        </w:rPr>
        <w:t xml:space="preserve"> of the labour market characterised by low pay and limited promotion opportunities” (Rubery, 1988). </w:t>
      </w:r>
    </w:p>
    <w:p w14:paraId="1E1C39FA" w14:textId="77777777"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Working-class women of colour remain overrepresented in nursing and teaching, while men are still presented in engineering and leadership roles. They have their own intersectional segments of inequality; however, they are now devised against an historic foundation of sex and gender inequality also. Therefore, demonstrating the layers of gender inequality are subject </w:t>
      </w:r>
      <w:r w:rsidRPr="006E41A1">
        <w:rPr>
          <w:rFonts w:ascii="Times New Roman" w:hAnsi="Times New Roman" w:cs="Times New Roman"/>
          <w:color w:val="000000" w:themeColor="text1"/>
          <w:kern w:val="0"/>
          <w14:ligatures w14:val="none"/>
        </w:rPr>
        <w:lastRenderedPageBreak/>
        <w:t xml:space="preserve">to the individual's identity and subsequent social categories/expectations rather than universal shared experience and opportunity; “Occupational segregation reflects intersecting inequalities of gender, class, and ethnicity rather than a uniform experience of disadvantage” (Rubery, 1988; Crenshaw, 1989). Equality, at its very definition, cannot be achieved simply because of individuality, subculture, experience, and expectations. </w:t>
      </w:r>
    </w:p>
    <w:p w14:paraId="7359001E" w14:textId="2BEDF5BB"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Within this dissertation, inequality has been repeatedly represented as self-reinforcing, </w:t>
      </w:r>
      <w:proofErr w:type="spellStart"/>
      <w:r w:rsidRPr="006E41A1">
        <w:rPr>
          <w:rFonts w:ascii="Times New Roman" w:hAnsi="Times New Roman" w:cs="Times New Roman"/>
          <w:color w:val="000000" w:themeColor="text1"/>
          <w:kern w:val="0"/>
          <w14:ligatures w14:val="none"/>
        </w:rPr>
        <w:t>conceptualisable</w:t>
      </w:r>
      <w:proofErr w:type="spellEnd"/>
      <w:r w:rsidRPr="006E41A1">
        <w:rPr>
          <w:rFonts w:ascii="Times New Roman" w:hAnsi="Times New Roman" w:cs="Times New Roman"/>
          <w:color w:val="000000" w:themeColor="text1"/>
          <w:kern w:val="0"/>
          <w14:ligatures w14:val="none"/>
        </w:rPr>
        <w:t xml:space="preserve"> as an ‘organic’ social and historical process working in an almost self-resetting domino effect. Social interaction informs Gender norms; gender norms shape institutional structures and expectations; and those expectations shape behaviour within the workplace. As a result, the cycle starts again by reproducing the norms expected through social performance, which in turn supports the narrative of gender and intersectional division. As a social actor, the ‘script’ is permitted to change the context; the role and play have already been approved in advance. The performance must closely reflect the expected narrative to be widely understood and socially accepted. Goffman presented this in 1959 as dramaturgical theory, when “individuals manage impressions in accordance with socially defined roles” (Goffman, 1959), explaining social life as a theatre performance in which people constantly adapt and manage how they appear in everyday interactions. This is often suited to the individual and context, as well as being subject to wider contexts such as gender law and policy. </w:t>
      </w:r>
    </w:p>
    <w:p w14:paraId="794C75CF" w14:textId="5B4D2B45"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This reflects Durkheim’s organic analogy, in which “social institutions function interdependently like organs within a body” (Durkheim, 1893), towards a greater whole. Workplace inequality persists due to multiple institutional and informal social systems that support one another; if one structure fails, another will pick up the slack, </w:t>
      </w:r>
      <w:proofErr w:type="gramStart"/>
      <w:r w:rsidRPr="006E41A1">
        <w:rPr>
          <w:rFonts w:ascii="Times New Roman" w:hAnsi="Times New Roman" w:cs="Times New Roman"/>
          <w:color w:val="000000" w:themeColor="text1"/>
          <w:kern w:val="0"/>
          <w14:ligatures w14:val="none"/>
        </w:rPr>
        <w:t>similar to</w:t>
      </w:r>
      <w:proofErr w:type="gramEnd"/>
      <w:r w:rsidRPr="006E41A1">
        <w:rPr>
          <w:rFonts w:ascii="Times New Roman" w:hAnsi="Times New Roman" w:cs="Times New Roman"/>
          <w:color w:val="000000" w:themeColor="text1"/>
          <w:kern w:val="0"/>
          <w14:ligatures w14:val="none"/>
        </w:rPr>
        <w:t xml:space="preserve"> arguments made about a woman’s role during economic crises. For example, social norms regarding gender roles inform unequal </w:t>
      </w:r>
      <w:proofErr w:type="gramStart"/>
      <w:r w:rsidRPr="006E41A1">
        <w:rPr>
          <w:rFonts w:ascii="Times New Roman" w:hAnsi="Times New Roman" w:cs="Times New Roman"/>
          <w:color w:val="000000" w:themeColor="text1"/>
          <w:kern w:val="0"/>
          <w14:ligatures w14:val="none"/>
        </w:rPr>
        <w:t>child care</w:t>
      </w:r>
      <w:proofErr w:type="gramEnd"/>
      <w:r w:rsidRPr="006E41A1">
        <w:rPr>
          <w:rFonts w:ascii="Times New Roman" w:hAnsi="Times New Roman" w:cs="Times New Roman"/>
          <w:color w:val="000000" w:themeColor="text1"/>
          <w:kern w:val="0"/>
          <w14:ligatures w14:val="none"/>
        </w:rPr>
        <w:t xml:space="preserve"> expectations and domestic burdens, which in response, </w:t>
      </w:r>
      <w:r w:rsidRPr="006E41A1">
        <w:rPr>
          <w:rFonts w:ascii="Times New Roman" w:hAnsi="Times New Roman" w:cs="Times New Roman"/>
          <w:color w:val="000000" w:themeColor="text1"/>
          <w:kern w:val="0"/>
          <w14:ligatures w14:val="none"/>
        </w:rPr>
        <w:lastRenderedPageBreak/>
        <w:t>reduce female progression through availability and access. This reduced progression reinforces male dominance within leadership roles due to a lack of contest. These leadership positions shape hiring norms and industry standards, which reproduce inequality and confirm social dynamics around gender, ability, and expectations. Therefore, suggesting that inequality prevails not due to a single barrier within a broken institution but rather because of overlapping internal and external systems operating together to support and reproduce the narrative that keeps their networks and economy functional with the least intervention, linking back to peer policing.</w:t>
      </w:r>
    </w:p>
    <w:p w14:paraId="11F023DE" w14:textId="21B15A9D"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Whilst some women may only experience one barrier on their path to equal employment opportunity, promotion, pay, and decision-making in domestic labour, others will contend with several over their lifetime, or even overlapping barriers simultaneously. </w:t>
      </w:r>
      <w:proofErr w:type="gramStart"/>
      <w:r w:rsidRPr="006E41A1">
        <w:rPr>
          <w:rFonts w:ascii="Times New Roman" w:hAnsi="Times New Roman" w:cs="Times New Roman"/>
          <w:color w:val="000000" w:themeColor="text1"/>
          <w:kern w:val="0"/>
          <w14:ligatures w14:val="none"/>
        </w:rPr>
        <w:t>As  “</w:t>
      </w:r>
      <w:proofErr w:type="gramEnd"/>
      <w:r w:rsidRPr="006E41A1">
        <w:rPr>
          <w:rFonts w:ascii="Times New Roman" w:hAnsi="Times New Roman" w:cs="Times New Roman"/>
          <w:color w:val="000000" w:themeColor="text1"/>
          <w:kern w:val="0"/>
          <w14:ligatures w14:val="none"/>
        </w:rPr>
        <w:t xml:space="preserve">Women are not a homogeneous category; their experiences of inequality are shaped by race, class and other social divisions,” (Nira Yuval-Davis, 1997) illustrates how gender inequality is not experienced linearly nor uniformly but is subject to intersectional differences and thus differentiated life chances. This explains why workplace equality remains highly individualised despite universal legislation, increased opportunity may exist for women, however the journey to obtaining and maintaining progress is still subject to social scrutiny and expectation limiting how many of those feel empowered enough to speak up and act, rather it’s using formal initiatives put in place </w:t>
      </w:r>
      <w:r w:rsidRPr="006E41A1">
        <w:rPr>
          <w:rFonts w:ascii="Times New Roman" w:hAnsi="Times New Roman" w:cs="Times New Roman"/>
          <w:color w:val="000000" w:themeColor="text1"/>
          <w:kern w:val="0"/>
          <w14:ligatures w14:val="none"/>
        </w:rPr>
        <w:t>throughout</w:t>
      </w:r>
      <w:r w:rsidRPr="006E41A1">
        <w:rPr>
          <w:rFonts w:ascii="Times New Roman" w:hAnsi="Times New Roman" w:cs="Times New Roman"/>
          <w:color w:val="000000" w:themeColor="text1"/>
          <w:kern w:val="0"/>
          <w14:ligatures w14:val="none"/>
        </w:rPr>
        <w:t xml:space="preserve"> organisations or peer policing within social arenas in relation to the home and workplace to supplement a balance such as the MeToo! movement. </w:t>
      </w:r>
    </w:p>
    <w:p w14:paraId="4081B434" w14:textId="34564FA5" w:rsidR="006E41A1" w:rsidRPr="006E41A1"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Ultimately, this dissertation suggests that meaningful structural change remains limited in many ways; legal reform is primarily easier to achieve over cultural reform as it acts as a signpost, a token of change rather than an actual enforcement mechanism put into action. It is </w:t>
      </w:r>
      <w:r w:rsidRPr="006E41A1">
        <w:rPr>
          <w:rFonts w:ascii="Times New Roman" w:hAnsi="Times New Roman" w:cs="Times New Roman"/>
          <w:color w:val="000000" w:themeColor="text1"/>
          <w:kern w:val="0"/>
          <w14:ligatures w14:val="none"/>
        </w:rPr>
        <w:lastRenderedPageBreak/>
        <w:t xml:space="preserve">less complicated to grant representation than it is to redistribute power, just because people are aware of injustice and may speak out against it, there is no guarantee their complaint would gain traction just because it is heard, it must first fit into the existing audience’s expectations, gaining recognition rather than direct power over anything. Policy visibility and apparent implementation are simpler than institutional restructuring and authoritarian methods of inclusive practice. Instead, ‘opportunity’ is used as a vessel for ostensible change, while invisible, indirect barriers often affect the true response to equality incentives and policy. </w:t>
      </w:r>
    </w:p>
    <w:p w14:paraId="1423C854" w14:textId="4AEAFF70" w:rsidR="001B47F5" w:rsidRDefault="006E41A1" w:rsidP="006E41A1">
      <w:pPr>
        <w:spacing w:before="240" w:after="240" w:line="480" w:lineRule="auto"/>
        <w:jc w:val="both"/>
        <w:rPr>
          <w:rFonts w:ascii="Times New Roman" w:hAnsi="Times New Roman" w:cs="Times New Roman"/>
          <w:color w:val="000000" w:themeColor="text1"/>
          <w:kern w:val="0"/>
          <w14:ligatures w14:val="none"/>
        </w:rPr>
      </w:pPr>
      <w:r w:rsidRPr="006E41A1">
        <w:rPr>
          <w:rFonts w:ascii="Times New Roman" w:hAnsi="Times New Roman" w:cs="Times New Roman"/>
          <w:color w:val="000000" w:themeColor="text1"/>
          <w:kern w:val="0"/>
          <w14:ligatures w14:val="none"/>
        </w:rPr>
        <w:t xml:space="preserve"> This shows how modern organisations and the UK workforce frequently support equality rhetorically, implementing ‘inclusive’ reforms such as maternity pay, whilst maintaining systems that reward uninterrupted labour, masculinised behaviour traits and informal workplace social arenas through mentorships and events that not everyone is privy to or can access. For example, male colleagues attending the same gym as their employer and having increased opportunity to hold conversations void of polite social expectations. Thus, contemporary inequalities often persist in subtle exclusion, informal cultures, and legitimacy biases that inform organisational expectations rather than explicit or direct discrimination.</w:t>
      </w:r>
    </w:p>
    <w:p w14:paraId="20AD2D7B" w14:textId="77777777" w:rsidR="006E41A1" w:rsidRDefault="006E41A1" w:rsidP="006E41A1">
      <w:pPr>
        <w:spacing w:before="240" w:after="240" w:line="480" w:lineRule="auto"/>
        <w:jc w:val="both"/>
        <w:rPr>
          <w:rFonts w:ascii="Times New Roman" w:hAnsi="Times New Roman" w:cs="Times New Roman"/>
          <w:color w:val="000000" w:themeColor="text1"/>
          <w:kern w:val="0"/>
          <w14:ligatures w14:val="none"/>
        </w:rPr>
      </w:pPr>
    </w:p>
    <w:p w14:paraId="2DEC9409" w14:textId="77777777" w:rsidR="006E41A1" w:rsidRDefault="006E41A1" w:rsidP="006E41A1">
      <w:pPr>
        <w:spacing w:before="240" w:after="240" w:line="480" w:lineRule="auto"/>
        <w:jc w:val="both"/>
        <w:rPr>
          <w:rFonts w:ascii="Times New Roman" w:hAnsi="Times New Roman" w:cs="Times New Roman"/>
          <w:color w:val="000000" w:themeColor="text1"/>
          <w:kern w:val="0"/>
          <w14:ligatures w14:val="none"/>
        </w:rPr>
      </w:pPr>
    </w:p>
    <w:p w14:paraId="49FF0A0E" w14:textId="77777777" w:rsidR="006E41A1" w:rsidRDefault="006E41A1" w:rsidP="006E41A1">
      <w:pPr>
        <w:spacing w:before="240" w:after="240" w:line="480" w:lineRule="auto"/>
        <w:jc w:val="both"/>
        <w:rPr>
          <w:rFonts w:ascii="Times New Roman" w:hAnsi="Times New Roman" w:cs="Times New Roman"/>
          <w:color w:val="000000" w:themeColor="text1"/>
          <w:kern w:val="0"/>
          <w14:ligatures w14:val="none"/>
        </w:rPr>
      </w:pPr>
    </w:p>
    <w:p w14:paraId="62AFA8C3" w14:textId="77777777" w:rsidR="006E41A1" w:rsidRDefault="006E41A1" w:rsidP="006E41A1">
      <w:pPr>
        <w:spacing w:before="240" w:after="240" w:line="480" w:lineRule="auto"/>
        <w:jc w:val="both"/>
        <w:rPr>
          <w:rFonts w:ascii="Times New Roman" w:hAnsi="Times New Roman" w:cs="Times New Roman"/>
          <w:color w:val="000000" w:themeColor="text1"/>
          <w:kern w:val="0"/>
          <w14:ligatures w14:val="none"/>
        </w:rPr>
      </w:pPr>
    </w:p>
    <w:p w14:paraId="27753988" w14:textId="77777777" w:rsidR="006E41A1" w:rsidRPr="007F5B7E" w:rsidRDefault="006E41A1" w:rsidP="006E41A1">
      <w:pPr>
        <w:spacing w:before="240" w:after="240" w:line="480" w:lineRule="auto"/>
        <w:jc w:val="both"/>
        <w:rPr>
          <w:rFonts w:ascii="Times New Roman" w:hAnsi="Times New Roman" w:cs="Times New Roman"/>
          <w:color w:val="000000" w:themeColor="text1"/>
          <w:kern w:val="0"/>
          <w14:ligatures w14:val="none"/>
        </w:rPr>
      </w:pPr>
    </w:p>
    <w:p w14:paraId="68DB7CB7" w14:textId="0085B029" w:rsidR="001B47F5" w:rsidRDefault="000C13C7" w:rsidP="006A22BA">
      <w:pPr>
        <w:pStyle w:val="Heading1"/>
        <w:spacing w:line="480" w:lineRule="auto"/>
        <w:rPr>
          <w:rFonts w:ascii="Times New Roman" w:hAnsi="Times New Roman" w:cs="Times New Roman"/>
          <w:color w:val="000000" w:themeColor="text1"/>
          <w:sz w:val="28"/>
          <w:szCs w:val="28"/>
        </w:rPr>
      </w:pPr>
      <w:bookmarkStart w:id="8" w:name="_Toc229346237"/>
      <w:r w:rsidRPr="006A22BA">
        <w:rPr>
          <w:rFonts w:ascii="Times New Roman" w:hAnsi="Times New Roman" w:cs="Times New Roman"/>
          <w:color w:val="000000" w:themeColor="text1"/>
          <w:sz w:val="28"/>
          <w:szCs w:val="28"/>
        </w:rPr>
        <w:lastRenderedPageBreak/>
        <w:t>Conclusion:</w:t>
      </w:r>
      <w:bookmarkEnd w:id="8"/>
    </w:p>
    <w:p w14:paraId="6077AF44" w14:textId="3DB15B3D" w:rsidR="006E55E1" w:rsidRPr="006E55E1" w:rsidRDefault="006E55E1" w:rsidP="006E55E1">
      <w:pPr>
        <w:spacing w:line="480" w:lineRule="auto"/>
        <w:jc w:val="both"/>
        <w:rPr>
          <w:rFonts w:ascii="Times New Roman" w:hAnsi="Times New Roman" w:cs="Times New Roman"/>
        </w:rPr>
      </w:pPr>
      <w:r w:rsidRPr="006E55E1">
        <w:rPr>
          <w:rFonts w:ascii="Times New Roman" w:hAnsi="Times New Roman" w:cs="Times New Roman"/>
        </w:rPr>
        <w:t xml:space="preserve">Overall, this dissertation argues that gender inequality in the UK, specifically in its workforce, has evolved between 1925 and 2025. Despite measures introduced to reduce and eliminate inequality, it has far from disappointed, merely adapted. Whilst formal barriers to women's participation in the workforce and employment opportunities have shown significant decline due to legislation and policy reform within politics and organisations, aided by feminist activism and global crisis, indirect inequality remains embedded within organisational and workplace cultures, institutional structures and everyday social interactions all wrapped with a bow of intersectionality. </w:t>
      </w:r>
    </w:p>
    <w:p w14:paraId="7B9FB66B" w14:textId="5FEDB7CF" w:rsidR="006E55E1" w:rsidRPr="006E55E1" w:rsidRDefault="006E55E1" w:rsidP="006E55E1">
      <w:pPr>
        <w:spacing w:line="480" w:lineRule="auto"/>
        <w:jc w:val="both"/>
        <w:rPr>
          <w:rFonts w:ascii="Times New Roman" w:hAnsi="Times New Roman" w:cs="Times New Roman"/>
        </w:rPr>
      </w:pPr>
      <w:r w:rsidRPr="006E55E1">
        <w:rPr>
          <w:rFonts w:ascii="Times New Roman" w:hAnsi="Times New Roman" w:cs="Times New Roman"/>
        </w:rPr>
        <w:t xml:space="preserve">Presenting theory and debate from a timeline of sociological and feminist theory, the dissertation demonstrates how workplace inequality has been and is reproduced through performative norms, hegemonic masculinity, peer policing and gendered expectations within organisations and social exchange. Collectively, Butler, West, Zimmerman, Acker, Connell and Crenshaw unravel the covert and complex systems that gender operates within, not simply as a persona nor Identity but as a web of social networks which regulates systems of power, authority, legitimacy and opportunity, which in response self-contain and reproduce in a vicious loop. Supported by substantial historical analysis, periods of economic change and crisis further demonstrated the reinforcement of traditional gender roles and the stability of women's employment, from post-war labour reorganisation to the COVID-19 pandemic. </w:t>
      </w:r>
    </w:p>
    <w:p w14:paraId="062C0772" w14:textId="35462B09" w:rsidR="006E55E1" w:rsidRPr="006E55E1" w:rsidRDefault="006E55E1" w:rsidP="006E55E1">
      <w:pPr>
        <w:spacing w:line="480" w:lineRule="auto"/>
        <w:jc w:val="both"/>
        <w:rPr>
          <w:rFonts w:ascii="Times New Roman" w:hAnsi="Times New Roman" w:cs="Times New Roman"/>
        </w:rPr>
      </w:pPr>
      <w:r w:rsidRPr="006E55E1">
        <w:rPr>
          <w:rFonts w:ascii="Times New Roman" w:hAnsi="Times New Roman" w:cs="Times New Roman"/>
        </w:rPr>
        <w:t xml:space="preserve">Despite equality legislation's attempts to improve formal protections, remove structural inequalities, and address direct examples of harassment, division, or discrimination within the workplace, more subtle and indirect forms persist. Through informal Networks, social arenas, and workplace cultures, as well as the experience of recruitment procedures and access to </w:t>
      </w:r>
      <w:r w:rsidRPr="006E55E1">
        <w:rPr>
          <w:rFonts w:ascii="Times New Roman" w:hAnsi="Times New Roman" w:cs="Times New Roman"/>
        </w:rPr>
        <w:lastRenderedPageBreak/>
        <w:t xml:space="preserve">opportunities for progression, such as leadership roles or higher pay, gender discrepancies persist. </w:t>
      </w:r>
    </w:p>
    <w:p w14:paraId="50983910" w14:textId="693F1CF1" w:rsidR="006E55E1" w:rsidRPr="006E55E1" w:rsidRDefault="006E55E1" w:rsidP="006E55E1">
      <w:pPr>
        <w:spacing w:line="480" w:lineRule="auto"/>
        <w:jc w:val="both"/>
        <w:rPr>
          <w:rFonts w:ascii="Times New Roman" w:hAnsi="Times New Roman" w:cs="Times New Roman"/>
        </w:rPr>
      </w:pPr>
      <w:r w:rsidRPr="006E55E1">
        <w:rPr>
          <w:rFonts w:ascii="Times New Roman" w:hAnsi="Times New Roman" w:cs="Times New Roman"/>
        </w:rPr>
        <w:t xml:space="preserve">The thought experiment ‘if you were a man for a day’, served as a conceptual framework for understanding how workplace and recruitment experiences are influenced by social assumptions, attitudes, expectations and values. Surrounding traits of authority, availability and competence. By repositioning gender as something thematic, the dissertation attempted to highlight how inequality preservers through both institutional routine and everyday social interactions. The knowledge that change can be easily achieved through equal access and decree is limited by its own assumption that one rule can apply to and direct a multitude of individuals to perform accordingly or as expected, essentially forgetting the accountability of those who enact inequality in the first place. Everyone. Everyday. Due to the very fact that being human requires someone to abide by the same institutional law and social rules despite their individual experiences and values, a near impossible feat without equality within all sectors of life, race, sexuality, and economic. </w:t>
      </w:r>
    </w:p>
    <w:p w14:paraId="7AD1F626" w14:textId="77777777" w:rsidR="006E55E1" w:rsidRPr="006E55E1" w:rsidRDefault="006E55E1" w:rsidP="006E55E1">
      <w:pPr>
        <w:spacing w:line="480" w:lineRule="auto"/>
        <w:jc w:val="both"/>
        <w:rPr>
          <w:rFonts w:ascii="Times New Roman" w:hAnsi="Times New Roman" w:cs="Times New Roman"/>
        </w:rPr>
      </w:pPr>
      <w:r w:rsidRPr="006E55E1">
        <w:rPr>
          <w:rFonts w:ascii="Times New Roman" w:hAnsi="Times New Roman" w:cs="Times New Roman"/>
        </w:rPr>
        <w:t xml:space="preserve">This study concludes that gender inequality within the UK employment and economic spheres endures despite reforms due to normalised expectations, experiences, and behaviours in everyday social, personal, and organisational practices/structures, as examined through labelling theories and organic analogies. Equality at its root, therefore, cannot be achieved through legislation and policy reform alone. Meaningful and stable social change is required to aid the internal dismantling of inequality-reinforcing workplace cultures, social expectations and responses, as well as changes to internal, global and institutional definitions of professionalism, value and responsibility. </w:t>
      </w:r>
    </w:p>
    <w:p w14:paraId="63DCF9C0" w14:textId="77777777" w:rsidR="006E55E1" w:rsidRPr="006E55E1" w:rsidRDefault="006E55E1" w:rsidP="006E55E1">
      <w:pPr>
        <w:spacing w:line="480" w:lineRule="auto"/>
        <w:jc w:val="both"/>
        <w:rPr>
          <w:rFonts w:ascii="Times New Roman" w:hAnsi="Times New Roman" w:cs="Times New Roman"/>
        </w:rPr>
      </w:pPr>
    </w:p>
    <w:p w14:paraId="4D0AFE7F" w14:textId="77777777" w:rsidR="006E41A1" w:rsidRPr="006E41A1" w:rsidRDefault="006E41A1" w:rsidP="006E41A1"/>
    <w:p w14:paraId="38EE4F2D" w14:textId="77777777" w:rsidR="00F6665A" w:rsidRPr="007F5B7E" w:rsidRDefault="00F6665A" w:rsidP="00292086">
      <w:pPr>
        <w:pStyle w:val="Heading1"/>
        <w:rPr>
          <w:rFonts w:ascii="Times New Roman" w:hAnsi="Times New Roman" w:cs="Times New Roman"/>
          <w:color w:val="000000" w:themeColor="text1"/>
          <w:sz w:val="28"/>
          <w:szCs w:val="28"/>
        </w:rPr>
      </w:pPr>
      <w:bookmarkStart w:id="9" w:name="_Toc229346238"/>
      <w:r w:rsidRPr="007F5B7E">
        <w:rPr>
          <w:rFonts w:ascii="Times New Roman" w:hAnsi="Times New Roman" w:cs="Times New Roman"/>
          <w:color w:val="000000" w:themeColor="text1"/>
          <w:sz w:val="28"/>
          <w:szCs w:val="28"/>
        </w:rPr>
        <w:lastRenderedPageBreak/>
        <w:t>Bibliography:</w:t>
      </w:r>
      <w:bookmarkEnd w:id="9"/>
    </w:p>
    <w:p w14:paraId="6BD1F5B4" w14:textId="08869AA0"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Acker, J. (1990) ‘Hierarchies, jobs, bodies: A theory of gendered organizations’, Gender &amp; Society, 4(2), pp. 139–158.</w:t>
      </w:r>
    </w:p>
    <w:p w14:paraId="5CDAC512" w14:textId="2EE69676"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Acker, J. (1992) ‘Gendering organizational theory’, in Mills, A.J. and Tancred, P. (eds.) Gendering Organizational Analysis. London: Sage, pp. 248–260.</w:t>
      </w:r>
    </w:p>
    <w:p w14:paraId="25A4D991" w14:textId="5F26F865"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Ahmed, S. (2012) On Being Included: Racism and Diversity in Institutional Life. Durham, NC: Duke University Press.</w:t>
      </w:r>
    </w:p>
    <w:p w14:paraId="3ED0A6B7" w14:textId="75141820"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Ahmed, S. (2017) Living a Feminist Life. Durham, NC: Duke University Press.</w:t>
      </w:r>
    </w:p>
    <w:p w14:paraId="2B284C53" w14:textId="1EEE70D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Banet-Weiser, S. (2018) Empowered: Popular Feminism and Popular Misogyny. Durham, NC: Duke University Press.</w:t>
      </w:r>
    </w:p>
    <w:p w14:paraId="05BC8F37" w14:textId="3C6CEE8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BBC (2018) BBC Gender Pay Gap Report 2017–2018. London: BBC.</w:t>
      </w:r>
    </w:p>
    <w:p w14:paraId="75642B12" w14:textId="3A08ABBB"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Bear, J.B. and Glick, P. (2017) ‘Breadwinner ideology and perceptions of men and women in leadership’, Social Issues and Policy Review, 11(1), pp. 1–39.</w:t>
      </w:r>
    </w:p>
    <w:p w14:paraId="75499ED3" w14:textId="79B0FF38"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Becker, H.S. (1963) Outsiders: Studies in the Sociology of Deviance. New York: Free Press.</w:t>
      </w:r>
    </w:p>
    <w:p w14:paraId="6A0E10F7" w14:textId="163C02D4"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Brown, J. (1998) Aspects of Discriminatory Treatment of Women Police Officers Serving in Forces in England and Wales. London: Home Office.</w:t>
      </w:r>
    </w:p>
    <w:p w14:paraId="7C021386" w14:textId="17453FAE"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Butler, J. (1990) Gender Trouble: Feminism and the Subversion of Identity. New York: Routledge.</w:t>
      </w:r>
    </w:p>
    <w:p w14:paraId="7140455E" w14:textId="56A8C6A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Butler, J. (1993) Bodies That Matter: On the Discursive Limits of “Sex”. New York: Routledge.</w:t>
      </w:r>
    </w:p>
    <w:p w14:paraId="4F8E9C9E" w14:textId="23DB0490"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Cannon, C. (2023) ‘The interplay of religion and gender in labour market disadvantage experienced by Muslim women’, Sociological Research Online. Available at: https://journals.sagepub.com/doi/10.1177/13582291231176513 (Accessed: 10 May 2026).</w:t>
      </w:r>
    </w:p>
    <w:p w14:paraId="09C5831A" w14:textId="244ACBC0"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Connell, R.W. (1995) Masculinities. Cambridge: Polity Press.</w:t>
      </w:r>
    </w:p>
    <w:p w14:paraId="1F563C25" w14:textId="64774A82"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Connell, R.W. and Messerschmidt, J.W. (2005) ‘Hegemonic masculinity: Rethinking the concept’, Gender &amp; Society, 19(6), pp. 829–859.</w:t>
      </w:r>
    </w:p>
    <w:p w14:paraId="312212BB" w14:textId="4F723B30"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Crenshaw, K. (1989) ‘Demarginalizing the intersection of race and sex’, University of Chicago Legal Forum, 1989(1), pp. 139–167.</w:t>
      </w:r>
    </w:p>
    <w:p w14:paraId="31F6F050" w14:textId="6C5571BB"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Croucher, R. and Kelliher, C. (2005) ‘The right to request flexible working in Britain: The law and organisational realities’, Employee Relations, 27(6), pp. 568–581.</w:t>
      </w:r>
    </w:p>
    <w:p w14:paraId="3973DDFA" w14:textId="24F91636"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Dickens, L. (1999) Beyond the Business Case: A Three-Pronged Approach to Equality Action. Manchester: Manchester Metropolitan University.</w:t>
      </w:r>
    </w:p>
    <w:p w14:paraId="7E2991A8" w14:textId="02D5D217"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Durkheim, É. (1893) The Division of Labour in Society. New York: Free Press.</w:t>
      </w:r>
    </w:p>
    <w:p w14:paraId="105AA13C" w14:textId="5FE95FD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 xml:space="preserve">Edwards, P. (2003) Industrial Relations: Theory and Practice. 2nd </w:t>
      </w:r>
      <w:proofErr w:type="spellStart"/>
      <w:r w:rsidRPr="007F5B7E">
        <w:rPr>
          <w:rFonts w:ascii="Times New Roman" w:hAnsi="Times New Roman" w:cs="Times New Roman"/>
          <w:sz w:val="20"/>
          <w:szCs w:val="20"/>
        </w:rPr>
        <w:t>edn</w:t>
      </w:r>
      <w:proofErr w:type="spellEnd"/>
      <w:r w:rsidRPr="007F5B7E">
        <w:rPr>
          <w:rFonts w:ascii="Times New Roman" w:hAnsi="Times New Roman" w:cs="Times New Roman"/>
          <w:sz w:val="20"/>
          <w:szCs w:val="20"/>
        </w:rPr>
        <w:t>. Oxford: Blackwell.</w:t>
      </w:r>
    </w:p>
    <w:p w14:paraId="096F232A" w14:textId="170FCB9A"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Employment Act 2002 (2002) London: HMSO.</w:t>
      </w:r>
    </w:p>
    <w:p w14:paraId="570A65E1" w14:textId="54029867"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Equality Act 2010 (2010) London: HMSO.</w:t>
      </w:r>
    </w:p>
    <w:p w14:paraId="44286F9C" w14:textId="029D8FD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Equality Act 2010 (Gender Pay Gap Information) Regulations 2017 (2017) London: HMSO.</w:t>
      </w:r>
    </w:p>
    <w:p w14:paraId="0594F7E8" w14:textId="71A5196D"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Feast, L. and Hand, M. (2015) Equality Law in the Workplace. London: Palgrave Macmillan.</w:t>
      </w:r>
    </w:p>
    <w:p w14:paraId="2A6924E9" w14:textId="65CD6C60"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Figart, D.M. (1997) ‘Gender as more than a dummy variable: Feminist approaches to discrimination’, Review of Social Economy, 55(1), pp. 1–32.</w:t>
      </w:r>
    </w:p>
    <w:p w14:paraId="5A17A5B3" w14:textId="14C38082"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Figart, D.M. (2018) ‘The persistence of the gender pay gap’, International Journal of Political Economy, 47(2), pp. 99–110.</w:t>
      </w:r>
    </w:p>
    <w:p w14:paraId="2D0A6B13" w14:textId="2B25C8B4"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 xml:space="preserve">Fredman, S. (2011) Discrimination Law. 2nd </w:t>
      </w:r>
      <w:proofErr w:type="spellStart"/>
      <w:r w:rsidRPr="007F5B7E">
        <w:rPr>
          <w:rFonts w:ascii="Times New Roman" w:hAnsi="Times New Roman" w:cs="Times New Roman"/>
          <w:sz w:val="20"/>
          <w:szCs w:val="20"/>
        </w:rPr>
        <w:t>edn</w:t>
      </w:r>
      <w:proofErr w:type="spellEnd"/>
      <w:r w:rsidRPr="007F5B7E">
        <w:rPr>
          <w:rFonts w:ascii="Times New Roman" w:hAnsi="Times New Roman" w:cs="Times New Roman"/>
          <w:sz w:val="20"/>
          <w:szCs w:val="20"/>
        </w:rPr>
        <w:t>. Oxford: Oxford University Press.</w:t>
      </w:r>
    </w:p>
    <w:p w14:paraId="251A52DB" w14:textId="6391742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Fraser, N. (2017) ‘The end of progressive neoliberalism’, Dissent, 64(2), pp. 130–137.</w:t>
      </w:r>
    </w:p>
    <w:p w14:paraId="7DAEB9BA" w14:textId="5E232443"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FTSE Women Leaders Review (2022–2025) Annual Reports. London: FTSE.</w:t>
      </w:r>
    </w:p>
    <w:p w14:paraId="3D63475E" w14:textId="0532FB7B"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Gamble, A. (1988) The Free Economy and the Strong State: The Politics of Thatcherism. Basingstoke: Macmillan.</w:t>
      </w:r>
    </w:p>
    <w:p w14:paraId="6A3AF46F" w14:textId="0FE648B2"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Goffman, E. (1959) The Presentation of Self in Everyday Life. New York: Anchor Books.</w:t>
      </w:r>
    </w:p>
    <w:p w14:paraId="5389EFCB" w14:textId="107F922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Guest, D. (2017) ‘Human resource management and equality’, Journal of Management Studies, 54(3), pp. 1–20.</w:t>
      </w:r>
    </w:p>
    <w:p w14:paraId="26B8E30F" w14:textId="0917CD6D"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lastRenderedPageBreak/>
        <w:t>Hakim, C. (1991) ‘Grateful slaves and self-made women: Fact and fantasy in women’s work orientations’, European Sociological Review, 7(2), pp. 101–121.</w:t>
      </w:r>
    </w:p>
    <w:p w14:paraId="6E1FDA2D" w14:textId="7130727C"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Hakim, C. (2000) Work-Lifestyle Choices in the 21st Century: Preference Theory. Oxford: Oxford University Press.</w:t>
      </w:r>
    </w:p>
    <w:p w14:paraId="7FFD6866" w14:textId="6AA4FF79"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Hepple, B. (2010) Equality: The New Legal Framework. Oxford: Hart Publishing.</w:t>
      </w:r>
    </w:p>
    <w:p w14:paraId="511D57BA" w14:textId="56E9ABA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Hepple, B. and Morris, G. (2002) ‘The Employment Act 2002 and the crisis of individual employment rights’, Industrial Law Journal, 31(3), pp. 245–269.</w:t>
      </w:r>
    </w:p>
    <w:p w14:paraId="497F10D7" w14:textId="36369876"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H</w:t>
      </w:r>
      <w:r w:rsidRPr="007F5B7E">
        <w:rPr>
          <w:rFonts w:ascii="Times New Roman" w:hAnsi="Times New Roman" w:cs="Times New Roman"/>
          <w:sz w:val="20"/>
          <w:szCs w:val="20"/>
        </w:rPr>
        <w:t>ooks, b. (2000) Feminism is for Everybody: Passionate Politics. London: Pluto Press.</w:t>
      </w:r>
    </w:p>
    <w:p w14:paraId="1C59AD3B" w14:textId="6783BAB6"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HSBC Holdings plc (2018) Gender Pay Gap Report 2017. London: HSBC.</w:t>
      </w:r>
    </w:p>
    <w:p w14:paraId="2F4D2B8F" w14:textId="439EBBC6"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Jiang, K. and Zhou, Y. (2022) ‘Gender inequality in employment relations in the UK’, Employee Relations, 44(5), pp. 1123–1141.</w:t>
      </w:r>
    </w:p>
    <w:p w14:paraId="3BDE0351" w14:textId="3B9664BC"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Khattab, N. and Hussein, S. (2018) ‘Can religious affiliation explain the disadvantage of Muslim women in the British labour market?’, Work, Employment and Society, 32(6), pp. 1011–1028. Available at: https://journals.sagepub.com/doi/10.1177/0950017017711099 (Accessed: 10 May 2026).</w:t>
      </w:r>
    </w:p>
    <w:p w14:paraId="4FF83E19" w14:textId="13A356EB"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Lewis, J. (1992) ‘Gender and the development of welfare regimes’, Journal of European Social Policy, 2(3), pp. 159–173.</w:t>
      </w:r>
    </w:p>
    <w:p w14:paraId="391CCDE8" w14:textId="7C4A27F2"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Lewis, J. (1997) ‘Gender and welfare regimes: Further thoughts’, Social Politics, 4(2), pp. 160–177.</w:t>
      </w:r>
    </w:p>
    <w:p w14:paraId="19636D70" w14:textId="43EB600E"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Mason, L. and Minerva, F. (2020) ‘Protected characteristics and discrimination law’, Legal Studies, 40(2), pp. 220–236.</w:t>
      </w:r>
    </w:p>
    <w:p w14:paraId="7F4D5755" w14:textId="37D0DDB7"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McBride, A. (2001) Gender and Employment Policies in Britain. Basingstoke: Palgrave Macmillan.</w:t>
      </w:r>
    </w:p>
    <w:p w14:paraId="389A6FC3" w14:textId="62D68D25"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McDonald’s Corporation (2022) DEI Snapshot 2022. Available at: https://corporate.mcdonalds.com/content/dam/sites/corp/nfl/pdf/McDs_DEI-Snapshot.pdf (Accessed: 10 May 2026).</w:t>
      </w:r>
    </w:p>
    <w:p w14:paraId="7E07B91D" w14:textId="5BF1B236"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Milkman, R. (1987) Gender at Work: The Dynamics of Job Segregation by Sex during World War II. Urbana: University of Illinois Press.</w:t>
      </w:r>
    </w:p>
    <w:p w14:paraId="304B52EE" w14:textId="624E9F6D"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 xml:space="preserve">Morley, L. (2013) ‘The rules of the game: Women and the </w:t>
      </w:r>
      <w:proofErr w:type="spellStart"/>
      <w:r w:rsidRPr="007F5B7E">
        <w:rPr>
          <w:rFonts w:ascii="Times New Roman" w:hAnsi="Times New Roman" w:cs="Times New Roman"/>
          <w:sz w:val="20"/>
          <w:szCs w:val="20"/>
        </w:rPr>
        <w:t>leaderist</w:t>
      </w:r>
      <w:proofErr w:type="spellEnd"/>
      <w:r w:rsidRPr="007F5B7E">
        <w:rPr>
          <w:rFonts w:ascii="Times New Roman" w:hAnsi="Times New Roman" w:cs="Times New Roman"/>
          <w:sz w:val="20"/>
          <w:szCs w:val="20"/>
        </w:rPr>
        <w:t xml:space="preserve"> turn in higher education’, Gender and Education, 25(1), pp. 116–131.</w:t>
      </w:r>
    </w:p>
    <w:p w14:paraId="6393566D" w14:textId="7D470251"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NHS England (2026) ‘NHS talking therapies completely changed my life: NHS launches major campaign to support millions more people with anxiety’. Available at: https://www.england.nhs.uk/2026/02/nhs-talking-therapies-completely-changed-my-life-nhs-launches-major-campaign-to-support-millions-more-people-with-anxiety/ (Accessed: 10 May 2026).</w:t>
      </w:r>
    </w:p>
    <w:p w14:paraId="6E675399" w14:textId="2830E8F2"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NHS England (various years) Workforce Statistics. London: NHS England.</w:t>
      </w:r>
    </w:p>
    <w:p w14:paraId="30F852E7" w14:textId="776547C7"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Oakley, A. (1974) The Sociology of Housework. London: Martin Robertson.</w:t>
      </w:r>
    </w:p>
    <w:p w14:paraId="7B163258" w14:textId="037FA285"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Office for National Statistics (2021) Labour Market Statistics and Gender Pay Gap Data. London: ONS.</w:t>
      </w:r>
    </w:p>
    <w:p w14:paraId="2DA3696C" w14:textId="528A7A4B"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Pearson, G. (2004) ‘Family-friendly employment rights in Britain’, Industrial Law Journal, 33(3), pp. 275–283.</w:t>
      </w:r>
    </w:p>
    <w:p w14:paraId="13DB8B0D" w14:textId="25826F02"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Reuters (2018) ‘McDonald’s flips Golden Arches in honour of International Women’s Day’, Business Standard, 8 March. Available at: https://www.business-standard.com/article/reuters/mcdonald-s-flips-golden-arches-in-honor-of-international-women-s-day-118030801270_1.html (Accessed: 10 May 2026).</w:t>
      </w:r>
    </w:p>
    <w:p w14:paraId="0203796C" w14:textId="17E95873"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Rubery, J. (1988) Women and Recession. London: Routledge.</w:t>
      </w:r>
    </w:p>
    <w:p w14:paraId="2A07B561" w14:textId="6DF2FA82"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Rubery, J. (1994) ‘Part-time work and women’s labour market position in the UK’, Oxford Review of Economic Policy, 10(1), pp. 39–57.</w:t>
      </w:r>
    </w:p>
    <w:p w14:paraId="3EDED666" w14:textId="1D81390D"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Rubery, J. (2016) Gendering the Labour Market. Oxford: Oxford University Press.</w:t>
      </w:r>
    </w:p>
    <w:p w14:paraId="2979449E" w14:textId="017669E3"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Rubery, J. (2017) ‘Labour market segmentation and inequality’, Cambridge Journal of Economics, 41(3), pp. 721–742.</w:t>
      </w:r>
    </w:p>
    <w:p w14:paraId="36F4C327" w14:textId="36C8EBDA"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 xml:space="preserve">Rubery, J. and </w:t>
      </w:r>
      <w:proofErr w:type="spellStart"/>
      <w:r w:rsidRPr="007F5B7E">
        <w:rPr>
          <w:rFonts w:ascii="Times New Roman" w:hAnsi="Times New Roman" w:cs="Times New Roman"/>
          <w:sz w:val="20"/>
          <w:szCs w:val="20"/>
        </w:rPr>
        <w:t>Koukiadaki</w:t>
      </w:r>
      <w:proofErr w:type="spellEnd"/>
      <w:r w:rsidRPr="007F5B7E">
        <w:rPr>
          <w:rFonts w:ascii="Times New Roman" w:hAnsi="Times New Roman" w:cs="Times New Roman"/>
          <w:sz w:val="20"/>
          <w:szCs w:val="20"/>
        </w:rPr>
        <w:t>, A. (2016) Closing the Gender Pay Gap: A Review of the Issues. Manchester: University of Manchester.</w:t>
      </w:r>
    </w:p>
    <w:p w14:paraId="0C0F1E6E" w14:textId="550CE17D"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lastRenderedPageBreak/>
        <w:t>Scott, J.W. (1986) ‘Gender: A useful category of historical analysis’, American Historical Review, 91(5), pp. 1053–1075.</w:t>
      </w:r>
    </w:p>
    <w:p w14:paraId="4F3CFE43" w14:textId="6A334ECD"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Sex Discrimination Act 1975 (1975) London: HMSO.</w:t>
      </w:r>
    </w:p>
    <w:p w14:paraId="179AA46A" w14:textId="4D62F8DF"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Stryker, S. (2008) Transgender History. Berkeley: Seal Press.</w:t>
      </w:r>
    </w:p>
    <w:p w14:paraId="4214BB83" w14:textId="68F25A27"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Tannen, D. (2018) ‘The discourse of #MeToo’, Discourse &amp; Society, 29(6), pp. 1–9.</w:t>
      </w:r>
    </w:p>
    <w:p w14:paraId="7DDDCB7E" w14:textId="34796D86"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Teasdale, N. (2020) ‘Flexible working and organisational inequality’, Work, Employment and Society, 34(4), pp. 746–762.</w:t>
      </w:r>
    </w:p>
    <w:p w14:paraId="359B4650" w14:textId="316B81FA"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Thomas, R.R. (1990) ‘From affirmative action to affirming diversity’, Harvard Business Review, 68(2), pp. 107–117.</w:t>
      </w:r>
    </w:p>
    <w:p w14:paraId="15DC0BBE" w14:textId="04661490"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UK Government (2025) Men’s Health: A Strategic Vision for England. Available at: https://www.gov.uk/government/publications/mens-health-strategy-for-england/mens-health-a-strategic-vision-for-england-accessible-version (Accessed: 10 May 2026).</w:t>
      </w:r>
    </w:p>
    <w:p w14:paraId="67194F56" w14:textId="5B2F8964"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van Leeuwen, T. (2008) Discourse and Practice: New Tools for Critical Discourse Analysis. Oxford: Oxford University Press.</w:t>
      </w:r>
    </w:p>
    <w:p w14:paraId="5B0DEBC1" w14:textId="49B69A31"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West, C. and Zimmerman, D.H. (1987) ‘Doing gender’, Gender &amp; Society, 1(2), pp. 125–151.</w:t>
      </w:r>
    </w:p>
    <w:p w14:paraId="46A68F33" w14:textId="7D4633F9" w:rsidR="007F5B7E"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World Economic Forum (no date) McDonald’s Corporation. Available at: https://www.weforum.org/organizations/mcdonalds-corporation/ (Accessed: 10 May 2026).</w:t>
      </w:r>
    </w:p>
    <w:p w14:paraId="484F6627" w14:textId="7ED0746F" w:rsidR="00F6665A" w:rsidRPr="007F5B7E" w:rsidRDefault="007F5B7E" w:rsidP="007F5B7E">
      <w:pPr>
        <w:pStyle w:val="ListParagraph"/>
        <w:numPr>
          <w:ilvl w:val="0"/>
          <w:numId w:val="3"/>
        </w:numPr>
        <w:rPr>
          <w:rFonts w:ascii="Times New Roman" w:hAnsi="Times New Roman" w:cs="Times New Roman"/>
          <w:sz w:val="20"/>
          <w:szCs w:val="20"/>
        </w:rPr>
      </w:pPr>
      <w:r w:rsidRPr="007F5B7E">
        <w:rPr>
          <w:rFonts w:ascii="Times New Roman" w:hAnsi="Times New Roman" w:cs="Times New Roman"/>
          <w:sz w:val="20"/>
          <w:szCs w:val="20"/>
        </w:rPr>
        <w:t>Yuval-Davis, N. (1997) Gender and Nation. London: Sage Publications.</w:t>
      </w:r>
    </w:p>
    <w:sectPr w:rsidR="00F6665A" w:rsidRPr="007F5B7E" w:rsidSect="002C22B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7505B" w14:textId="77777777" w:rsidR="00885994" w:rsidRDefault="00885994" w:rsidP="00512E38">
      <w:pPr>
        <w:spacing w:after="0" w:line="240" w:lineRule="auto"/>
      </w:pPr>
      <w:r>
        <w:separator/>
      </w:r>
    </w:p>
  </w:endnote>
  <w:endnote w:type="continuationSeparator" w:id="0">
    <w:p w14:paraId="402A50DE" w14:textId="77777777" w:rsidR="00885994" w:rsidRDefault="00885994" w:rsidP="00512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542B3" w14:textId="77777777" w:rsidR="00512E38" w:rsidRDefault="00512E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3344393"/>
      <w:docPartObj>
        <w:docPartGallery w:val="Page Numbers (Bottom of Page)"/>
        <w:docPartUnique/>
      </w:docPartObj>
    </w:sdtPr>
    <w:sdtEndPr>
      <w:rPr>
        <w:noProof/>
      </w:rPr>
    </w:sdtEndPr>
    <w:sdtContent>
      <w:p w14:paraId="2DDB4598" w14:textId="06A2D8BC" w:rsidR="002C22B8" w:rsidRDefault="002C22B8">
        <w:pPr>
          <w:pStyle w:val="Footer"/>
        </w:pPr>
        <w:r>
          <w:fldChar w:fldCharType="begin"/>
        </w:r>
        <w:r>
          <w:instrText xml:space="preserve"> PAGE   \* MERGEFORMAT </w:instrText>
        </w:r>
        <w:r>
          <w:fldChar w:fldCharType="separate"/>
        </w:r>
        <w:r>
          <w:rPr>
            <w:noProof/>
          </w:rPr>
          <w:t>2</w:t>
        </w:r>
        <w:r>
          <w:rPr>
            <w:noProof/>
          </w:rPr>
          <w:fldChar w:fldCharType="end"/>
        </w:r>
      </w:p>
    </w:sdtContent>
  </w:sdt>
  <w:p w14:paraId="765E7B3C" w14:textId="77777777" w:rsidR="00512E38" w:rsidRDefault="00512E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EAEC9" w14:textId="77777777" w:rsidR="00512E38" w:rsidRDefault="00512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F320C" w14:textId="77777777" w:rsidR="00885994" w:rsidRDefault="00885994" w:rsidP="00512E38">
      <w:pPr>
        <w:spacing w:after="0" w:line="240" w:lineRule="auto"/>
      </w:pPr>
      <w:r>
        <w:separator/>
      </w:r>
    </w:p>
  </w:footnote>
  <w:footnote w:type="continuationSeparator" w:id="0">
    <w:p w14:paraId="39C9BEB3" w14:textId="77777777" w:rsidR="00885994" w:rsidRDefault="00885994" w:rsidP="00512E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27386" w14:textId="77777777" w:rsidR="005B479F" w:rsidRDefault="005B479F">
    <w:pPr>
      <w:pStyle w:val="Header"/>
    </w:pPr>
  </w:p>
  <w:p w14:paraId="403F3EE1" w14:textId="77777777" w:rsidR="00512E38" w:rsidRDefault="00512E38"/>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8A024" w14:textId="77777777" w:rsidR="005B479F" w:rsidRDefault="005B479F">
    <w:pPr>
      <w:pStyle w:val="Header"/>
    </w:pPr>
  </w:p>
  <w:p w14:paraId="3CB6C88D" w14:textId="77777777" w:rsidR="00512E38" w:rsidRDefault="00512E38"/>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AC0F5F" w14:textId="77777777" w:rsidR="005B479F" w:rsidRDefault="005B479F">
    <w:pPr>
      <w:pStyle w:val="Header"/>
    </w:pPr>
  </w:p>
  <w:p w14:paraId="333CB301" w14:textId="77777777" w:rsidR="00512E38" w:rsidRDefault="00512E3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307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CD5B7E"/>
    <w:multiLevelType w:val="hybridMultilevel"/>
    <w:tmpl w:val="EDBAB02C"/>
    <w:lvl w:ilvl="0" w:tplc="6BB46772">
      <w:start w:val="2"/>
      <w:numFmt w:val="bullet"/>
      <w:lvlText w:val="-"/>
      <w:lvlJc w:val="left"/>
      <w:pPr>
        <w:ind w:left="720" w:hanging="360"/>
      </w:pPr>
      <w:rPr>
        <w:rFonts w:ascii="Times New Roman" w:eastAsiaTheme="minorEastAsia"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4F67A4"/>
    <w:multiLevelType w:val="hybridMultilevel"/>
    <w:tmpl w:val="AABEC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680551">
    <w:abstractNumId w:val="0"/>
  </w:num>
  <w:num w:numId="2" w16cid:durableId="603418632">
    <w:abstractNumId w:val="1"/>
  </w:num>
  <w:num w:numId="3" w16cid:durableId="15772816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65A"/>
    <w:rsid w:val="0000675A"/>
    <w:rsid w:val="0002775A"/>
    <w:rsid w:val="00047B6F"/>
    <w:rsid w:val="00055864"/>
    <w:rsid w:val="00057472"/>
    <w:rsid w:val="00065AF8"/>
    <w:rsid w:val="00065B85"/>
    <w:rsid w:val="0006696D"/>
    <w:rsid w:val="00077FB7"/>
    <w:rsid w:val="00093F61"/>
    <w:rsid w:val="000B3A1F"/>
    <w:rsid w:val="000C13C7"/>
    <w:rsid w:val="000C3671"/>
    <w:rsid w:val="000C5EA4"/>
    <w:rsid w:val="000E21E2"/>
    <w:rsid w:val="000F1DFE"/>
    <w:rsid w:val="000F2925"/>
    <w:rsid w:val="001125ED"/>
    <w:rsid w:val="001314A7"/>
    <w:rsid w:val="00153C21"/>
    <w:rsid w:val="00181273"/>
    <w:rsid w:val="001825FE"/>
    <w:rsid w:val="001B47F5"/>
    <w:rsid w:val="001C2973"/>
    <w:rsid w:val="001C6053"/>
    <w:rsid w:val="001D088D"/>
    <w:rsid w:val="001D481A"/>
    <w:rsid w:val="00200E10"/>
    <w:rsid w:val="002034C4"/>
    <w:rsid w:val="0022097F"/>
    <w:rsid w:val="002251DD"/>
    <w:rsid w:val="00231178"/>
    <w:rsid w:val="002801FB"/>
    <w:rsid w:val="00292086"/>
    <w:rsid w:val="002926B9"/>
    <w:rsid w:val="002A2525"/>
    <w:rsid w:val="002C22B8"/>
    <w:rsid w:val="002D269D"/>
    <w:rsid w:val="00301E9F"/>
    <w:rsid w:val="00302BDD"/>
    <w:rsid w:val="00315CB2"/>
    <w:rsid w:val="00351EC8"/>
    <w:rsid w:val="00383C37"/>
    <w:rsid w:val="00391068"/>
    <w:rsid w:val="003916AF"/>
    <w:rsid w:val="003C037F"/>
    <w:rsid w:val="00447470"/>
    <w:rsid w:val="004535F1"/>
    <w:rsid w:val="00464802"/>
    <w:rsid w:val="004702D8"/>
    <w:rsid w:val="00481EEA"/>
    <w:rsid w:val="00482F26"/>
    <w:rsid w:val="00485586"/>
    <w:rsid w:val="004A3600"/>
    <w:rsid w:val="004A6D70"/>
    <w:rsid w:val="004B3455"/>
    <w:rsid w:val="00500AC1"/>
    <w:rsid w:val="00501FDA"/>
    <w:rsid w:val="00506531"/>
    <w:rsid w:val="00512E38"/>
    <w:rsid w:val="00513204"/>
    <w:rsid w:val="00513897"/>
    <w:rsid w:val="00514BEF"/>
    <w:rsid w:val="0052367F"/>
    <w:rsid w:val="00526672"/>
    <w:rsid w:val="00546ED4"/>
    <w:rsid w:val="00560A5D"/>
    <w:rsid w:val="00586372"/>
    <w:rsid w:val="00591140"/>
    <w:rsid w:val="00593B48"/>
    <w:rsid w:val="005A3C19"/>
    <w:rsid w:val="005A4C06"/>
    <w:rsid w:val="005B00B4"/>
    <w:rsid w:val="005B479F"/>
    <w:rsid w:val="005C3000"/>
    <w:rsid w:val="006314D8"/>
    <w:rsid w:val="006467FA"/>
    <w:rsid w:val="00646FA4"/>
    <w:rsid w:val="00684A0D"/>
    <w:rsid w:val="00695923"/>
    <w:rsid w:val="006A113D"/>
    <w:rsid w:val="006A22BA"/>
    <w:rsid w:val="006A6D3B"/>
    <w:rsid w:val="006B0292"/>
    <w:rsid w:val="006E41A1"/>
    <w:rsid w:val="006E55E1"/>
    <w:rsid w:val="006F17FC"/>
    <w:rsid w:val="006F45A0"/>
    <w:rsid w:val="00725A86"/>
    <w:rsid w:val="00732ED4"/>
    <w:rsid w:val="00736CA5"/>
    <w:rsid w:val="00741FE8"/>
    <w:rsid w:val="007501C8"/>
    <w:rsid w:val="007637C1"/>
    <w:rsid w:val="007C65D2"/>
    <w:rsid w:val="007E1946"/>
    <w:rsid w:val="007F0D3C"/>
    <w:rsid w:val="007F18C4"/>
    <w:rsid w:val="007F5B7E"/>
    <w:rsid w:val="007F6A98"/>
    <w:rsid w:val="00806CDF"/>
    <w:rsid w:val="00822555"/>
    <w:rsid w:val="00826719"/>
    <w:rsid w:val="00863FC4"/>
    <w:rsid w:val="00885994"/>
    <w:rsid w:val="008943C0"/>
    <w:rsid w:val="008946C8"/>
    <w:rsid w:val="008B252D"/>
    <w:rsid w:val="008D3DDF"/>
    <w:rsid w:val="008E2E3A"/>
    <w:rsid w:val="008E777F"/>
    <w:rsid w:val="008F14FA"/>
    <w:rsid w:val="009010F9"/>
    <w:rsid w:val="00902666"/>
    <w:rsid w:val="00905997"/>
    <w:rsid w:val="00913917"/>
    <w:rsid w:val="00940ADF"/>
    <w:rsid w:val="00952419"/>
    <w:rsid w:val="009576BC"/>
    <w:rsid w:val="009612EF"/>
    <w:rsid w:val="009644E8"/>
    <w:rsid w:val="00965A70"/>
    <w:rsid w:val="009849E1"/>
    <w:rsid w:val="00984B12"/>
    <w:rsid w:val="009B40A8"/>
    <w:rsid w:val="009B594B"/>
    <w:rsid w:val="009D7867"/>
    <w:rsid w:val="009E05B1"/>
    <w:rsid w:val="00A238D1"/>
    <w:rsid w:val="00A40990"/>
    <w:rsid w:val="00A4332F"/>
    <w:rsid w:val="00A60BE5"/>
    <w:rsid w:val="00A65898"/>
    <w:rsid w:val="00A92DB3"/>
    <w:rsid w:val="00AC1953"/>
    <w:rsid w:val="00AC297C"/>
    <w:rsid w:val="00AD62C9"/>
    <w:rsid w:val="00B253EF"/>
    <w:rsid w:val="00B46517"/>
    <w:rsid w:val="00B526F3"/>
    <w:rsid w:val="00B65BDB"/>
    <w:rsid w:val="00B77C57"/>
    <w:rsid w:val="00BB4A27"/>
    <w:rsid w:val="00BC5444"/>
    <w:rsid w:val="00BD0DCE"/>
    <w:rsid w:val="00BD5145"/>
    <w:rsid w:val="00BE07D3"/>
    <w:rsid w:val="00C33481"/>
    <w:rsid w:val="00C42C71"/>
    <w:rsid w:val="00C62111"/>
    <w:rsid w:val="00C671A6"/>
    <w:rsid w:val="00C731F9"/>
    <w:rsid w:val="00C73959"/>
    <w:rsid w:val="00C76BCD"/>
    <w:rsid w:val="00C8544A"/>
    <w:rsid w:val="00C94BAC"/>
    <w:rsid w:val="00CA0556"/>
    <w:rsid w:val="00CB4471"/>
    <w:rsid w:val="00CB5A98"/>
    <w:rsid w:val="00CD4478"/>
    <w:rsid w:val="00CE44F9"/>
    <w:rsid w:val="00CF7DC9"/>
    <w:rsid w:val="00D15FEE"/>
    <w:rsid w:val="00D1662F"/>
    <w:rsid w:val="00D30CF4"/>
    <w:rsid w:val="00D31238"/>
    <w:rsid w:val="00D63AA6"/>
    <w:rsid w:val="00D6787F"/>
    <w:rsid w:val="00D72BA4"/>
    <w:rsid w:val="00D75967"/>
    <w:rsid w:val="00D878B7"/>
    <w:rsid w:val="00DB7BF5"/>
    <w:rsid w:val="00DF5B30"/>
    <w:rsid w:val="00E061D1"/>
    <w:rsid w:val="00E13DBA"/>
    <w:rsid w:val="00E243EC"/>
    <w:rsid w:val="00E27A26"/>
    <w:rsid w:val="00E41F17"/>
    <w:rsid w:val="00E45327"/>
    <w:rsid w:val="00E855C2"/>
    <w:rsid w:val="00EA1A1D"/>
    <w:rsid w:val="00EC1BC8"/>
    <w:rsid w:val="00EF43F6"/>
    <w:rsid w:val="00EF58AA"/>
    <w:rsid w:val="00F45DF8"/>
    <w:rsid w:val="00F556B6"/>
    <w:rsid w:val="00F61343"/>
    <w:rsid w:val="00F6665A"/>
    <w:rsid w:val="00F7793A"/>
    <w:rsid w:val="00FA46A0"/>
    <w:rsid w:val="00FD333B"/>
    <w:rsid w:val="00FF00E6"/>
    <w:rsid w:val="00FF23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0C3B1E"/>
  <w15:chartTrackingRefBased/>
  <w15:docId w15:val="{7349BFF1-1CE7-4140-98F8-B97FF186E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65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6665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665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665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665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6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65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6665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6665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665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665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6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65A"/>
    <w:rPr>
      <w:rFonts w:eastAsiaTheme="majorEastAsia" w:cstheme="majorBidi"/>
      <w:color w:val="272727" w:themeColor="text1" w:themeTint="D8"/>
    </w:rPr>
  </w:style>
  <w:style w:type="paragraph" w:styleId="Title">
    <w:name w:val="Title"/>
    <w:basedOn w:val="Normal"/>
    <w:next w:val="Normal"/>
    <w:link w:val="TitleChar"/>
    <w:uiPriority w:val="10"/>
    <w:qFormat/>
    <w:rsid w:val="00F66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65A"/>
    <w:pPr>
      <w:spacing w:before="160"/>
      <w:jc w:val="center"/>
    </w:pPr>
    <w:rPr>
      <w:i/>
      <w:iCs/>
      <w:color w:val="404040" w:themeColor="text1" w:themeTint="BF"/>
    </w:rPr>
  </w:style>
  <w:style w:type="character" w:customStyle="1" w:styleId="QuoteChar">
    <w:name w:val="Quote Char"/>
    <w:basedOn w:val="DefaultParagraphFont"/>
    <w:link w:val="Quote"/>
    <w:uiPriority w:val="29"/>
    <w:rsid w:val="00F6665A"/>
    <w:rPr>
      <w:i/>
      <w:iCs/>
      <w:color w:val="404040" w:themeColor="text1" w:themeTint="BF"/>
    </w:rPr>
  </w:style>
  <w:style w:type="paragraph" w:styleId="ListParagraph">
    <w:name w:val="List Paragraph"/>
    <w:basedOn w:val="Normal"/>
    <w:uiPriority w:val="34"/>
    <w:qFormat/>
    <w:rsid w:val="00F6665A"/>
    <w:pPr>
      <w:ind w:left="720"/>
      <w:contextualSpacing/>
    </w:pPr>
  </w:style>
  <w:style w:type="character" w:styleId="IntenseEmphasis">
    <w:name w:val="Intense Emphasis"/>
    <w:basedOn w:val="DefaultParagraphFont"/>
    <w:uiPriority w:val="21"/>
    <w:qFormat/>
    <w:rsid w:val="00F6665A"/>
    <w:rPr>
      <w:i/>
      <w:iCs/>
      <w:color w:val="2F5496" w:themeColor="accent1" w:themeShade="BF"/>
    </w:rPr>
  </w:style>
  <w:style w:type="paragraph" w:styleId="IntenseQuote">
    <w:name w:val="Intense Quote"/>
    <w:basedOn w:val="Normal"/>
    <w:next w:val="Normal"/>
    <w:link w:val="IntenseQuoteChar"/>
    <w:uiPriority w:val="30"/>
    <w:qFormat/>
    <w:rsid w:val="00F666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665A"/>
    <w:rPr>
      <w:i/>
      <w:iCs/>
      <w:color w:val="2F5496" w:themeColor="accent1" w:themeShade="BF"/>
    </w:rPr>
  </w:style>
  <w:style w:type="character" w:styleId="IntenseReference">
    <w:name w:val="Intense Reference"/>
    <w:basedOn w:val="DefaultParagraphFont"/>
    <w:uiPriority w:val="32"/>
    <w:qFormat/>
    <w:rsid w:val="00F6665A"/>
    <w:rPr>
      <w:b/>
      <w:bCs/>
      <w:smallCaps/>
      <w:color w:val="2F5496" w:themeColor="accent1" w:themeShade="BF"/>
      <w:spacing w:val="5"/>
    </w:rPr>
  </w:style>
  <w:style w:type="paragraph" w:styleId="NormalWeb">
    <w:name w:val="Normal (Web)"/>
    <w:basedOn w:val="Normal"/>
    <w:uiPriority w:val="99"/>
    <w:semiHidden/>
    <w:unhideWhenUsed/>
    <w:rsid w:val="00F6665A"/>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512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E38"/>
  </w:style>
  <w:style w:type="paragraph" w:styleId="Footer">
    <w:name w:val="footer"/>
    <w:basedOn w:val="Normal"/>
    <w:link w:val="FooterChar"/>
    <w:uiPriority w:val="99"/>
    <w:unhideWhenUsed/>
    <w:rsid w:val="00512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E38"/>
  </w:style>
  <w:style w:type="paragraph" w:styleId="NoSpacing">
    <w:name w:val="No Spacing"/>
    <w:link w:val="NoSpacingChar"/>
    <w:uiPriority w:val="1"/>
    <w:qFormat/>
    <w:rsid w:val="00512E3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12E38"/>
    <w:rPr>
      <w:kern w:val="0"/>
      <w:sz w:val="22"/>
      <w:szCs w:val="22"/>
      <w:lang w:val="en-US" w:eastAsia="en-US"/>
      <w14:ligatures w14:val="none"/>
    </w:rPr>
  </w:style>
  <w:style w:type="paragraph" w:styleId="TOCHeading">
    <w:name w:val="TOC Heading"/>
    <w:basedOn w:val="Heading1"/>
    <w:next w:val="Normal"/>
    <w:uiPriority w:val="39"/>
    <w:unhideWhenUsed/>
    <w:qFormat/>
    <w:rsid w:val="00512E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512E38"/>
    <w:pPr>
      <w:spacing w:after="100"/>
      <w:ind w:left="240"/>
    </w:pPr>
  </w:style>
  <w:style w:type="character" w:styleId="Hyperlink">
    <w:name w:val="Hyperlink"/>
    <w:basedOn w:val="DefaultParagraphFont"/>
    <w:uiPriority w:val="99"/>
    <w:unhideWhenUsed/>
    <w:rsid w:val="00512E38"/>
    <w:rPr>
      <w:color w:val="0563C1" w:themeColor="hyperlink"/>
      <w:u w:val="single"/>
    </w:rPr>
  </w:style>
  <w:style w:type="paragraph" w:styleId="TOC1">
    <w:name w:val="toc 1"/>
    <w:basedOn w:val="Normal"/>
    <w:next w:val="Normal"/>
    <w:autoRedefine/>
    <w:uiPriority w:val="39"/>
    <w:unhideWhenUsed/>
    <w:rsid w:val="00512E3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2F2EA3CB42ACD4F80C14B579FBABF81"/>
        <w:category>
          <w:name w:val="General"/>
          <w:gallery w:val="placeholder"/>
        </w:category>
        <w:types>
          <w:type w:val="bbPlcHdr"/>
        </w:types>
        <w:behaviors>
          <w:behavior w:val="content"/>
        </w:behaviors>
        <w:guid w:val="{EBFC2D74-05DC-C54F-BB54-3CEC9E1F633D}"/>
      </w:docPartPr>
      <w:docPartBody>
        <w:p w:rsidR="00E507E2" w:rsidRDefault="00E507E2">
          <w:pPr>
            <w:pStyle w:val="B2F2EA3CB42ACD4F80C14B579FBABF81"/>
          </w:pPr>
          <w:r>
            <w:rPr>
              <w:color w:val="2F5496" w:themeColor="accent1" w:themeShade="BF"/>
            </w:rPr>
            <w:t>[Company name]</w:t>
          </w:r>
        </w:p>
      </w:docPartBody>
    </w:docPart>
    <w:docPart>
      <w:docPartPr>
        <w:name w:val="3B5A8F661A3B8344AA4E3D5DCC6B7307"/>
        <w:category>
          <w:name w:val="General"/>
          <w:gallery w:val="placeholder"/>
        </w:category>
        <w:types>
          <w:type w:val="bbPlcHdr"/>
        </w:types>
        <w:behaviors>
          <w:behavior w:val="content"/>
        </w:behaviors>
        <w:guid w:val="{DFC22505-86D6-174D-BFAE-71A135F99BE3}"/>
      </w:docPartPr>
      <w:docPartBody>
        <w:p w:rsidR="00E507E2" w:rsidRDefault="00E507E2">
          <w:pPr>
            <w:pStyle w:val="3B5A8F661A3B8344AA4E3D5DCC6B7307"/>
          </w:pPr>
          <w:r>
            <w:rPr>
              <w:rFonts w:asciiTheme="majorHAnsi" w:eastAsiaTheme="majorEastAsia" w:hAnsiTheme="majorHAnsi" w:cstheme="majorBidi"/>
              <w:color w:val="4472C4" w:themeColor="accent1"/>
              <w:sz w:val="88"/>
              <w:szCs w:val="88"/>
            </w:rPr>
            <w:t>[Document title]</w:t>
          </w:r>
        </w:p>
      </w:docPartBody>
    </w:docPart>
    <w:docPart>
      <w:docPartPr>
        <w:name w:val="06ABD6FD3F21E248A3651809BF299B61"/>
        <w:category>
          <w:name w:val="General"/>
          <w:gallery w:val="placeholder"/>
        </w:category>
        <w:types>
          <w:type w:val="bbPlcHdr"/>
        </w:types>
        <w:behaviors>
          <w:behavior w:val="content"/>
        </w:behaviors>
        <w:guid w:val="{CEFF2277-E75A-0344-A6D4-8B94566845ED}"/>
      </w:docPartPr>
      <w:docPartBody>
        <w:p w:rsidR="00E507E2" w:rsidRDefault="00E507E2">
          <w:pPr>
            <w:pStyle w:val="06ABD6FD3F21E248A3651809BF299B61"/>
          </w:pPr>
          <w:r>
            <w:rPr>
              <w:color w:val="4472C4" w:themeColor="accent1"/>
              <w:sz w:val="28"/>
              <w:szCs w:val="28"/>
            </w:rPr>
            <w:t>[Author name]</w:t>
          </w:r>
        </w:p>
      </w:docPartBody>
    </w:docPart>
    <w:docPart>
      <w:docPartPr>
        <w:name w:val="F13C56C9A392B548945C35A1ED4CCAAE"/>
        <w:category>
          <w:name w:val="General"/>
          <w:gallery w:val="placeholder"/>
        </w:category>
        <w:types>
          <w:type w:val="bbPlcHdr"/>
        </w:types>
        <w:behaviors>
          <w:behavior w:val="content"/>
        </w:behaviors>
        <w:guid w:val="{2A1B79EA-D0B3-A94B-B885-9DEC0F6FF7FC}"/>
      </w:docPartPr>
      <w:docPartBody>
        <w:p w:rsidR="00E507E2" w:rsidRDefault="00E507E2">
          <w:pPr>
            <w:pStyle w:val="F13C56C9A392B548945C35A1ED4CCAAE"/>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7E2"/>
    <w:rsid w:val="00047B6F"/>
    <w:rsid w:val="00153C21"/>
    <w:rsid w:val="005A4C06"/>
    <w:rsid w:val="00C31CC0"/>
    <w:rsid w:val="00E507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F2EA3CB42ACD4F80C14B579FBABF81">
    <w:name w:val="B2F2EA3CB42ACD4F80C14B579FBABF81"/>
  </w:style>
  <w:style w:type="paragraph" w:customStyle="1" w:styleId="3B5A8F661A3B8344AA4E3D5DCC6B7307">
    <w:name w:val="3B5A8F661A3B8344AA4E3D5DCC6B7307"/>
  </w:style>
  <w:style w:type="paragraph" w:customStyle="1" w:styleId="06ABD6FD3F21E248A3651809BF299B61">
    <w:name w:val="06ABD6FD3F21E248A3651809BF299B61"/>
  </w:style>
  <w:style w:type="paragraph" w:customStyle="1" w:styleId="F13C56C9A392B548945C35A1ED4CCAAE">
    <w:name w:val="F13C56C9A392B548945C35A1ED4CCA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2D079C-151E-894C-83CF-F8E3D14B0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16381</Words>
  <Characters>93374</Characters>
  <Application>Microsoft Office Word</Application>
  <DocSecurity>0</DocSecurity>
  <Lines>778</Lines>
  <Paragraphs>219</Paragraphs>
  <ScaleCrop>false</ScaleCrop>
  <HeadingPairs>
    <vt:vector size="2" baseType="variant">
      <vt:variant>
        <vt:lpstr>Title</vt:lpstr>
      </vt:variant>
      <vt:variant>
        <vt:i4>1</vt:i4>
      </vt:variant>
    </vt:vector>
  </HeadingPairs>
  <TitlesOfParts>
    <vt:vector size="1" baseType="lpstr">
      <vt:lpstr>”If you were a man for a day”: Gender performance, power, collective action and the social construction on equality within the UK workplace between 1925 and 2025.</vt:lpstr>
    </vt:vector>
  </TitlesOfParts>
  <Company>UWTSD</Company>
  <LinksUpToDate>false</LinksUpToDate>
  <CharactersWithSpaces>109536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”If you were a man for a day”: Gender performance, power, collective action and the social construction on equality within the UK workplace between 1925 and 2025.</dc:title>
  <dc:subject/>
  <dc:creator>Jasmine Williams</dc:creator>
  <cp:keywords/>
  <dc:description/>
  <cp:lastModifiedBy>Jasmine Williams</cp:lastModifiedBy>
  <cp:revision>2</cp:revision>
  <dcterms:created xsi:type="dcterms:W3CDTF">2026-05-10T21:58:00Z</dcterms:created>
  <dcterms:modified xsi:type="dcterms:W3CDTF">2026-05-10T21:58:00Z</dcterms:modified>
</cp:coreProperties>
</file>