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D9043" w14:textId="77777777" w:rsidR="00436114" w:rsidRPr="00CA436C" w:rsidRDefault="00CA436C" w:rsidP="00CA436C">
      <w:pPr>
        <w:spacing w:after="80" w:line="360" w:lineRule="auto"/>
        <w:jc w:val="center"/>
        <w:rPr>
          <w:sz w:val="22"/>
          <w:szCs w:val="22"/>
        </w:rPr>
      </w:pPr>
      <w:r w:rsidRPr="00CA436C">
        <w:rPr>
          <w:b/>
          <w:bCs/>
          <w:sz w:val="22"/>
          <w:szCs w:val="22"/>
        </w:rPr>
        <w:t>LCLM6003: Leading and Managing Change; BMW Group UK / MINI</w:t>
      </w:r>
    </w:p>
    <w:p w14:paraId="611445EF" w14:textId="77777777" w:rsidR="00CA436C" w:rsidRDefault="00CA436C" w:rsidP="00CA436C">
      <w:pPr>
        <w:pStyle w:val="Heading1"/>
        <w:numPr>
          <w:ilvl w:val="0"/>
          <w:numId w:val="2"/>
        </w:numPr>
        <w:spacing w:line="360" w:lineRule="auto"/>
        <w:rPr>
          <w:sz w:val="22"/>
          <w:szCs w:val="22"/>
        </w:rPr>
      </w:pPr>
      <w:r w:rsidRPr="00CA436C">
        <w:rPr>
          <w:sz w:val="22"/>
          <w:szCs w:val="22"/>
        </w:rPr>
        <w:t>Introduction</w:t>
      </w:r>
    </w:p>
    <w:p w14:paraId="61CBDBBB" w14:textId="77777777" w:rsidR="00CA436C" w:rsidRPr="00CA436C" w:rsidRDefault="00CA436C" w:rsidP="00CA436C">
      <w:pPr>
        <w:pStyle w:val="Heading1"/>
        <w:spacing w:line="360" w:lineRule="auto"/>
        <w:rPr>
          <w:b w:val="0"/>
          <w:sz w:val="22"/>
          <w:szCs w:val="22"/>
        </w:rPr>
      </w:pPr>
      <w:r w:rsidRPr="00CA436C">
        <w:rPr>
          <w:b w:val="0"/>
          <w:sz w:val="22"/>
          <w:szCs w:val="22"/>
        </w:rPr>
        <w:t>The automotive sector is in a period of significant change for the United Kingdom. The pressure on manufacturers to shift from internal combustion engine (ICE) vehicles to vehicles that emit no carbon monoxide is increasing due to tougher environmental regulations, fast pace of technological progress and a fundamental change in consumer expectations. BMW Group UK, under the brand names BMW and MINI, is in the heart of this transformation. Based in Munich with the most recognisable manufacturing footprint in the UK at Plant Oxford; home of the MINI brand since 2001; the company plays a major role in the UK automotive economy and exports, in skilled jobs and in advanced manufacturing investment.</w:t>
      </w:r>
    </w:p>
    <w:p w14:paraId="64B98314" w14:textId="77777777" w:rsidR="00CA436C" w:rsidRPr="00CA436C" w:rsidRDefault="00CA436C" w:rsidP="00CA436C">
      <w:pPr>
        <w:pStyle w:val="Heading1"/>
        <w:spacing w:line="360" w:lineRule="auto"/>
        <w:rPr>
          <w:b w:val="0"/>
          <w:sz w:val="22"/>
          <w:szCs w:val="22"/>
        </w:rPr>
      </w:pPr>
      <w:r w:rsidRPr="00CA436C">
        <w:rPr>
          <w:b w:val="0"/>
          <w:sz w:val="22"/>
          <w:szCs w:val="22"/>
        </w:rPr>
        <w:t>The BMW Group reported that its revenue amounted to 142.4 billion in 2024, while the profit before tax shrank from 17.1 billion in 2023 to 11.0 billion, mirroring the heightened pressures in the sector of the industry (BMW Group, 2025). The UK e-vehicle market is also growing quickly, with battery electric vehicles (BEVs) making up 19.6% of new car registrations in 2024, predicted to be almost one in four of new car sales by early 2026 (SMMT, 2026). These statistics illustrate the pressing need for electrification, as well as the business potential in this sector.</w:t>
      </w:r>
    </w:p>
    <w:p w14:paraId="3BE6708E" w14:textId="77777777" w:rsidR="00CA436C" w:rsidRPr="00CA436C" w:rsidRDefault="00CA436C" w:rsidP="00CA436C">
      <w:pPr>
        <w:pStyle w:val="Heading1"/>
        <w:spacing w:line="360" w:lineRule="auto"/>
        <w:rPr>
          <w:b w:val="0"/>
          <w:sz w:val="22"/>
          <w:szCs w:val="22"/>
        </w:rPr>
      </w:pPr>
      <w:r w:rsidRPr="00CA436C">
        <w:rPr>
          <w:b w:val="0"/>
          <w:sz w:val="22"/>
          <w:szCs w:val="22"/>
        </w:rPr>
        <w:t>MINI's key transition initiative being studied in this report is to achieve a full transition to electric vehicle production at Plant Oxford by 2030. It's a 600 million investment programme that includes full-scale retooling of manufacturing lines, as well as the installation of battery line infrastructure and a restructuring of the workforce and supply chain (BMW Group Press Release, 2023). The programme is influenced directly by the Zero Emission Vehicle (ZEV) mandate set by the UK Government, with an increasing percentage of new car sales being zero emission and financial penalties faced by those not compliant (Drive Electric, 2025). But the programme has been hampered by some headwinds, with BMW announcing in February 2025 a temporary delay to the Oxford upgrade, citing “a number of uncertainties in the automotive sector” (EV Magazine, 2025).</w:t>
      </w:r>
    </w:p>
    <w:p w14:paraId="1278CCB5" w14:textId="77777777" w:rsidR="00CA436C" w:rsidRPr="00CA436C" w:rsidRDefault="00CA436C" w:rsidP="00CA436C">
      <w:pPr>
        <w:pStyle w:val="Heading1"/>
        <w:spacing w:line="360" w:lineRule="auto"/>
        <w:rPr>
          <w:b w:val="0"/>
          <w:sz w:val="22"/>
          <w:szCs w:val="22"/>
        </w:rPr>
      </w:pPr>
      <w:r w:rsidRPr="00CA436C">
        <w:rPr>
          <w:b w:val="0"/>
          <w:sz w:val="22"/>
          <w:szCs w:val="22"/>
        </w:rPr>
        <w:t>This report will investigate the strategic and organisational aspects of MINI's electrification initiatives, drawing on theories of change management and leadership to assess its capacity to manage the transformation in a way that ensures it is successful.</w:t>
      </w:r>
    </w:p>
    <w:sectPr w:rsidR="00CA436C" w:rsidRPr="00CA436C">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F022F"/>
    <w:multiLevelType w:val="hybridMultilevel"/>
    <w:tmpl w:val="7E9C9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9C2266"/>
    <w:multiLevelType w:val="hybridMultilevel"/>
    <w:tmpl w:val="CE4E2A4E"/>
    <w:lvl w:ilvl="0" w:tplc="7A86CF2A">
      <w:start w:val="1"/>
      <w:numFmt w:val="bullet"/>
      <w:lvlText w:val="●"/>
      <w:lvlJc w:val="left"/>
      <w:pPr>
        <w:ind w:left="720" w:hanging="360"/>
      </w:pPr>
    </w:lvl>
    <w:lvl w:ilvl="1" w:tplc="F362B30C">
      <w:start w:val="1"/>
      <w:numFmt w:val="bullet"/>
      <w:lvlText w:val="○"/>
      <w:lvlJc w:val="left"/>
      <w:pPr>
        <w:ind w:left="1440" w:hanging="360"/>
      </w:pPr>
    </w:lvl>
    <w:lvl w:ilvl="2" w:tplc="5EBA73A4">
      <w:start w:val="1"/>
      <w:numFmt w:val="bullet"/>
      <w:lvlText w:val="■"/>
      <w:lvlJc w:val="left"/>
      <w:pPr>
        <w:ind w:left="2160" w:hanging="360"/>
      </w:pPr>
    </w:lvl>
    <w:lvl w:ilvl="3" w:tplc="BE02D0C2">
      <w:start w:val="1"/>
      <w:numFmt w:val="bullet"/>
      <w:lvlText w:val="●"/>
      <w:lvlJc w:val="left"/>
      <w:pPr>
        <w:ind w:left="2880" w:hanging="360"/>
      </w:pPr>
    </w:lvl>
    <w:lvl w:ilvl="4" w:tplc="3A005FAE">
      <w:start w:val="1"/>
      <w:numFmt w:val="bullet"/>
      <w:lvlText w:val="○"/>
      <w:lvlJc w:val="left"/>
      <w:pPr>
        <w:ind w:left="3600" w:hanging="360"/>
      </w:pPr>
    </w:lvl>
    <w:lvl w:ilvl="5" w:tplc="26223C2A">
      <w:start w:val="1"/>
      <w:numFmt w:val="bullet"/>
      <w:lvlText w:val="■"/>
      <w:lvlJc w:val="left"/>
      <w:pPr>
        <w:ind w:left="4320" w:hanging="360"/>
      </w:pPr>
    </w:lvl>
    <w:lvl w:ilvl="6" w:tplc="A4249FFE">
      <w:start w:val="1"/>
      <w:numFmt w:val="bullet"/>
      <w:lvlText w:val="●"/>
      <w:lvlJc w:val="left"/>
      <w:pPr>
        <w:ind w:left="5040" w:hanging="360"/>
      </w:pPr>
    </w:lvl>
    <w:lvl w:ilvl="7" w:tplc="7A128D84">
      <w:start w:val="1"/>
      <w:numFmt w:val="bullet"/>
      <w:lvlText w:val="●"/>
      <w:lvlJc w:val="left"/>
      <w:pPr>
        <w:ind w:left="5760" w:hanging="360"/>
      </w:pPr>
    </w:lvl>
    <w:lvl w:ilvl="8" w:tplc="71D20C86">
      <w:start w:val="1"/>
      <w:numFmt w:val="bullet"/>
      <w:lvlText w:val="●"/>
      <w:lvlJc w:val="left"/>
      <w:pPr>
        <w:ind w:left="6480" w:hanging="360"/>
      </w:pPr>
    </w:lvl>
  </w:abstractNum>
  <w:num w:numId="1" w16cid:durableId="1265377751">
    <w:abstractNumId w:val="1"/>
    <w:lvlOverride w:ilvl="0">
      <w:startOverride w:val="1"/>
    </w:lvlOverride>
  </w:num>
  <w:num w:numId="2" w16cid:durableId="509104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displayBackgroundShape/>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114"/>
    <w:rsid w:val="00436114"/>
    <w:rsid w:val="00903146"/>
    <w:rsid w:val="00912B07"/>
    <w:rsid w:val="00CA436C"/>
    <w:rsid w:val="00DD5587"/>
    <w:rsid w:val="00F14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E7031"/>
  <w15:docId w15:val="{EA63DBC7-4653-4924-AF53-26D2D7CB8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spacing w:before="240" w:after="120"/>
      <w:outlineLvl w:val="0"/>
    </w:pPr>
    <w:rPr>
      <w:b/>
      <w:bCs/>
      <w:sz w:val="28"/>
      <w:szCs w:val="28"/>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367</Words>
  <Characters>2095</Characters>
  <Application>Microsoft Office Word</Application>
  <DocSecurity>0</DocSecurity>
  <Lines>17</Lines>
  <Paragraphs>4</Paragraphs>
  <ScaleCrop>false</ScaleCrop>
  <Company/>
  <LinksUpToDate>false</LinksUpToDate>
  <CharactersWithSpaces>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Henna Nazir</cp:lastModifiedBy>
  <cp:revision>2</cp:revision>
  <dcterms:created xsi:type="dcterms:W3CDTF">2026-06-21T12:37:00Z</dcterms:created>
  <dcterms:modified xsi:type="dcterms:W3CDTF">2026-06-21T12:37:00Z</dcterms:modified>
</cp:coreProperties>
</file>