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199859499"/>
        <w:docPartObj>
          <w:docPartGallery w:val="Cover Pages"/>
          <w:docPartUnique/>
        </w:docPartObj>
      </w:sdtPr>
      <w:sdtContent>
        <w:p w14:paraId="37C654C3" w14:textId="32170EE9" w:rsidR="007A5065" w:rsidRDefault="00AF4115">
          <w:pPr>
            <w:pStyle w:val="NoSpacing"/>
            <w:spacing w:before="1540" w:after="240"/>
            <w:jc w:val="center"/>
            <w:rPr>
              <w:color w:val="156082" w:themeColor="accent1"/>
            </w:rPr>
          </w:pPr>
          <w:r w:rsidRPr="004A1481">
            <w:rPr>
              <w:noProof/>
            </w:rPr>
            <w:drawing>
              <wp:anchor distT="0" distB="0" distL="114300" distR="114300" simplePos="0" relativeHeight="251671552" behindDoc="1" locked="0" layoutInCell="1" allowOverlap="1" wp14:anchorId="7C59AE4C" wp14:editId="345B10AA">
                <wp:simplePos x="0" y="0"/>
                <wp:positionH relativeFrom="column">
                  <wp:posOffset>4556760</wp:posOffset>
                </wp:positionH>
                <wp:positionV relativeFrom="topMargin">
                  <wp:posOffset>231775</wp:posOffset>
                </wp:positionV>
                <wp:extent cx="1912620" cy="725170"/>
                <wp:effectExtent l="0" t="0" r="0" b="0"/>
                <wp:wrapNone/>
                <wp:docPr id="358364362" name="Picture 35836436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007A5065">
            <w:rPr>
              <w:noProof/>
              <w:color w:val="156082" w:themeColor="accent1"/>
            </w:rPr>
            <w:drawing>
              <wp:inline distT="0" distB="0" distL="0" distR="0" wp14:anchorId="474288AB" wp14:editId="5E81D166">
                <wp:extent cx="1417320" cy="750898"/>
                <wp:effectExtent l="0" t="0" r="0" b="0"/>
                <wp:docPr id="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F635B68F3C6A4DAC8AF03903BE9042E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EAE7D6D" w14:textId="7B6385D0" w:rsidR="007A5065" w:rsidRDefault="007A5065">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 xml:space="preserve">global business </w:t>
              </w:r>
              <w:r w:rsidR="006573C3">
                <w:rPr>
                  <w:rFonts w:asciiTheme="majorHAnsi" w:eastAsiaTheme="majorEastAsia" w:hAnsiTheme="majorHAnsi" w:cstheme="majorBidi"/>
                  <w:caps/>
                  <w:color w:val="156082" w:themeColor="accent1"/>
                  <w:sz w:val="72"/>
                  <w:szCs w:val="72"/>
                </w:rPr>
                <w:t>E</w:t>
              </w:r>
              <w:r>
                <w:rPr>
                  <w:rFonts w:asciiTheme="majorHAnsi" w:eastAsiaTheme="majorEastAsia" w:hAnsiTheme="majorHAnsi" w:cstheme="majorBidi"/>
                  <w:caps/>
                  <w:color w:val="156082" w:themeColor="accent1"/>
                  <w:sz w:val="72"/>
                  <w:szCs w:val="72"/>
                </w:rPr>
                <w:t>nvironment</w:t>
              </w:r>
            </w:p>
          </w:sdtContent>
        </w:sdt>
        <w:sdt>
          <w:sdtPr>
            <w:rPr>
              <w:color w:val="156082" w:themeColor="accent1"/>
              <w:sz w:val="28"/>
              <w:szCs w:val="28"/>
            </w:rPr>
            <w:alias w:val="Subtitle"/>
            <w:tag w:val=""/>
            <w:id w:val="328029620"/>
            <w:placeholder>
              <w:docPart w:val="419FDC6BBCC441758F80AB3410D2B282"/>
            </w:placeholder>
            <w:dataBinding w:prefixMappings="xmlns:ns0='http://purl.org/dc/elements/1.1/' xmlns:ns1='http://schemas.openxmlformats.org/package/2006/metadata/core-properties' " w:xpath="/ns1:coreProperties[1]/ns0:subject[1]" w:storeItemID="{6C3C8BC8-F283-45AE-878A-BAB7291924A1}"/>
            <w:text/>
          </w:sdtPr>
          <w:sdtContent>
            <w:p w14:paraId="170EAE78" w14:textId="032670A5" w:rsidR="007A5065" w:rsidRDefault="007A5065">
              <w:pPr>
                <w:pStyle w:val="NoSpacing"/>
                <w:jc w:val="center"/>
                <w:rPr>
                  <w:color w:val="156082" w:themeColor="accent1"/>
                  <w:sz w:val="28"/>
                  <w:szCs w:val="28"/>
                </w:rPr>
              </w:pPr>
              <w:r>
                <w:rPr>
                  <w:color w:val="156082" w:themeColor="accent1"/>
                  <w:sz w:val="28"/>
                  <w:szCs w:val="28"/>
                </w:rPr>
                <w:t>LCBB4010_LON</w:t>
              </w:r>
            </w:p>
          </w:sdtContent>
        </w:sdt>
        <w:p w14:paraId="2947EC57" w14:textId="7621B984" w:rsidR="007A5065" w:rsidRDefault="007A5065">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354B289F" wp14:editId="1F622B3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8-24T00:00:00Z">
                                    <w:dateFormat w:val="MMMM d, yyyy"/>
                                    <w:lid w:val="en-US"/>
                                    <w:storeMappedDataAs w:val="dateTime"/>
                                    <w:calendar w:val="gregorian"/>
                                  </w:date>
                                </w:sdtPr>
                                <w:sdtContent>
                                  <w:p w14:paraId="46A13CF5" w14:textId="01C6EDB3" w:rsidR="007A5065" w:rsidRDefault="007A5065">
                                    <w:pPr>
                                      <w:pStyle w:val="NoSpacing"/>
                                      <w:spacing w:after="40"/>
                                      <w:jc w:val="center"/>
                                      <w:rPr>
                                        <w:caps/>
                                        <w:color w:val="156082" w:themeColor="accent1"/>
                                        <w:sz w:val="28"/>
                                        <w:szCs w:val="28"/>
                                      </w:rPr>
                                    </w:pPr>
                                    <w:r>
                                      <w:rPr>
                                        <w:caps/>
                                        <w:color w:val="156082" w:themeColor="accent1"/>
                                        <w:sz w:val="28"/>
                                        <w:szCs w:val="28"/>
                                      </w:rPr>
                                      <w:t>August 24, 2024</w:t>
                                    </w:r>
                                  </w:p>
                                </w:sdtContent>
                              </w:sdt>
                              <w:p w14:paraId="32AC660F" w14:textId="76634F82" w:rsidR="007A5065"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A5065">
                                      <w:rPr>
                                        <w:caps/>
                                        <w:color w:val="156082" w:themeColor="accent1"/>
                                      </w:rPr>
                                      <w:t>MARIA VIORICA COVETE id:2128947</w:t>
                                    </w:r>
                                  </w:sdtContent>
                                </w:sdt>
                              </w:p>
                              <w:p w14:paraId="1AD42C3C" w14:textId="76FED669" w:rsidR="007A5065"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A5065">
                                      <w:rPr>
                                        <w:color w:val="156082" w:themeColor="accent1"/>
                                      </w:rPr>
                                      <w:t xml:space="preserve">LECTURER: ZAINAB ATTA  </w:t>
                                    </w:r>
                                  </w:sdtContent>
                                </w:sdt>
                              </w:p>
                              <w:p w14:paraId="74A338C8" w14:textId="77777777" w:rsidR="007A5065" w:rsidRDefault="007A5065" w:rsidP="007A5065">
                                <w:pPr>
                                  <w:pStyle w:val="NoSpacing"/>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54B289F" id="_x0000_t202" coordsize="21600,21600" o:spt="202" path="m,l,21600r21600,l21600,xe">
                    <v:stroke joinstyle="miter"/>
                    <v:path gradientshapeok="t" o:connecttype="rect"/>
                  </v:shapetype>
                  <v:shape id="Text Box 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8-24T00:00:00Z">
                              <w:dateFormat w:val="MMMM d, yyyy"/>
                              <w:lid w:val="en-US"/>
                              <w:storeMappedDataAs w:val="dateTime"/>
                              <w:calendar w:val="gregorian"/>
                            </w:date>
                          </w:sdtPr>
                          <w:sdtContent>
                            <w:p w14:paraId="46A13CF5" w14:textId="01C6EDB3" w:rsidR="007A5065" w:rsidRDefault="007A5065">
                              <w:pPr>
                                <w:pStyle w:val="NoSpacing"/>
                                <w:spacing w:after="40"/>
                                <w:jc w:val="center"/>
                                <w:rPr>
                                  <w:caps/>
                                  <w:color w:val="156082" w:themeColor="accent1"/>
                                  <w:sz w:val="28"/>
                                  <w:szCs w:val="28"/>
                                </w:rPr>
                              </w:pPr>
                              <w:r>
                                <w:rPr>
                                  <w:caps/>
                                  <w:color w:val="156082" w:themeColor="accent1"/>
                                  <w:sz w:val="28"/>
                                  <w:szCs w:val="28"/>
                                </w:rPr>
                                <w:t>August 24, 2024</w:t>
                              </w:r>
                            </w:p>
                          </w:sdtContent>
                        </w:sdt>
                        <w:p w14:paraId="32AC660F" w14:textId="76634F82" w:rsidR="007A5065"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A5065">
                                <w:rPr>
                                  <w:caps/>
                                  <w:color w:val="156082" w:themeColor="accent1"/>
                                </w:rPr>
                                <w:t>MARIA VIORICA COVETE id:2128947</w:t>
                              </w:r>
                            </w:sdtContent>
                          </w:sdt>
                        </w:p>
                        <w:p w14:paraId="1AD42C3C" w14:textId="76FED669" w:rsidR="007A5065"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A5065">
                                <w:rPr>
                                  <w:color w:val="156082" w:themeColor="accent1"/>
                                </w:rPr>
                                <w:t xml:space="preserve">LECTURER: ZAINAB ATTA  </w:t>
                              </w:r>
                            </w:sdtContent>
                          </w:sdt>
                        </w:p>
                        <w:p w14:paraId="74A338C8" w14:textId="77777777" w:rsidR="007A5065" w:rsidRDefault="007A5065" w:rsidP="007A5065">
                          <w:pPr>
                            <w:pStyle w:val="NoSpacing"/>
                            <w:rPr>
                              <w:color w:val="156082" w:themeColor="accent1"/>
                            </w:rPr>
                          </w:pPr>
                        </w:p>
                      </w:txbxContent>
                    </v:textbox>
                    <w10:wrap anchorx="margin" anchory="page"/>
                  </v:shape>
                </w:pict>
              </mc:Fallback>
            </mc:AlternateContent>
          </w:r>
          <w:r>
            <w:rPr>
              <w:noProof/>
              <w:color w:val="156082" w:themeColor="accent1"/>
            </w:rPr>
            <w:drawing>
              <wp:inline distT="0" distB="0" distL="0" distR="0" wp14:anchorId="141F9899" wp14:editId="1B2DD5FD">
                <wp:extent cx="758952" cy="478932"/>
                <wp:effectExtent l="0" t="0" r="3175" b="0"/>
                <wp:docPr id="1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7D4C1178" w14:textId="5BBE6434" w:rsidR="00925973" w:rsidRDefault="00925973"/>
    <w:p w14:paraId="37A5B342" w14:textId="0B3EBD25" w:rsidR="007A5065" w:rsidRDefault="007A5065"/>
    <w:p w14:paraId="642809D5" w14:textId="4EB02559" w:rsidR="007A5065" w:rsidRDefault="007A5065"/>
    <w:p w14:paraId="09740EF7" w14:textId="7AF22291" w:rsidR="007A5065" w:rsidRDefault="007A5065"/>
    <w:p w14:paraId="6C751CE3" w14:textId="6545FEA1" w:rsidR="007A5065" w:rsidRDefault="007A5065"/>
    <w:p w14:paraId="72E2D65F" w14:textId="4AC05865" w:rsidR="007A5065" w:rsidRDefault="007A5065"/>
    <w:p w14:paraId="53CDFE82" w14:textId="297A4473" w:rsidR="007A5065" w:rsidRDefault="007A5065"/>
    <w:p w14:paraId="252D69AC" w14:textId="487B0870" w:rsidR="007A5065" w:rsidRDefault="007A5065"/>
    <w:p w14:paraId="3FAC6E3E" w14:textId="70EBC856" w:rsidR="007A5065" w:rsidRDefault="007A5065"/>
    <w:p w14:paraId="17B7833D" w14:textId="2FEEE45D" w:rsidR="007A5065" w:rsidRDefault="007A5065"/>
    <w:p w14:paraId="08552EAF" w14:textId="77777777" w:rsidR="007A5065" w:rsidRDefault="007A5065"/>
    <w:p w14:paraId="7E468641" w14:textId="77777777" w:rsidR="007A5065" w:rsidRDefault="007A5065"/>
    <w:p w14:paraId="02DB41E7" w14:textId="77777777" w:rsidR="007A5065" w:rsidRDefault="007A5065"/>
    <w:p w14:paraId="1ABDC9AA" w14:textId="77777777" w:rsidR="007A5065" w:rsidRDefault="007A5065"/>
    <w:p w14:paraId="396572CD" w14:textId="77777777" w:rsidR="007A5065" w:rsidRDefault="007A5065"/>
    <w:p w14:paraId="74ABA344" w14:textId="2674BE31" w:rsidR="007A5065" w:rsidRDefault="007A5065"/>
    <w:p w14:paraId="5348FBDB" w14:textId="67B13072" w:rsidR="007A5065" w:rsidRPr="00597200" w:rsidRDefault="001D75AF">
      <w:pPr>
        <w:rPr>
          <w:sz w:val="24"/>
          <w:szCs w:val="24"/>
        </w:rPr>
      </w:pPr>
      <w:r w:rsidRPr="004A1481">
        <w:rPr>
          <w:noProof/>
        </w:rPr>
        <w:lastRenderedPageBreak/>
        <w:drawing>
          <wp:anchor distT="0" distB="0" distL="114300" distR="114300" simplePos="0" relativeHeight="251661312" behindDoc="1" locked="0" layoutInCell="1" allowOverlap="1" wp14:anchorId="58ABDDF5" wp14:editId="58BA69DB">
            <wp:simplePos x="0" y="0"/>
            <wp:positionH relativeFrom="column">
              <wp:posOffset>4495800</wp:posOffset>
            </wp:positionH>
            <wp:positionV relativeFrom="topMargin">
              <wp:align>bottom</wp:align>
            </wp:positionV>
            <wp:extent cx="1912620" cy="725170"/>
            <wp:effectExtent l="0" t="0" r="0" b="0"/>
            <wp:wrapNone/>
            <wp:docPr id="1272381899" name="Picture 127238189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p>
    <w:p w14:paraId="60A51079" w14:textId="3775E486" w:rsidR="00597200" w:rsidRDefault="00597200" w:rsidP="00597200">
      <w:pPr>
        <w:spacing w:line="360" w:lineRule="auto"/>
        <w:rPr>
          <w:rFonts w:ascii="Times New Roman" w:hAnsi="Times New Roman" w:cs="Times New Roman"/>
          <w:color w:val="000000"/>
          <w:sz w:val="24"/>
          <w:szCs w:val="24"/>
        </w:rPr>
      </w:pPr>
      <w:r w:rsidRPr="00597200">
        <w:rPr>
          <w:rFonts w:ascii="Times New Roman" w:hAnsi="Times New Roman" w:cs="Times New Roman"/>
          <w:color w:val="000000"/>
          <w:sz w:val="24"/>
          <w:szCs w:val="24"/>
        </w:rPr>
        <w:t>The business environment is the group of different internal and external factors, and these various factors affects overall function of an organisation along with working of an organisation. The collection of these factors influence the environment of different organisations. A PESTLE Analysis is a diagnostic and analytics tool for organizations that helps businesses institutions and organizations understand the various macro and micro environmental factors that can affect functionality and operations of an entity . By using the PESTLE analysis organizations and business entities can better understand how these external environmental factors affect their operations and use that knowledge to make strategic decisions that reduce risk and promote significant growth (Whittington et al., 2020).</w:t>
      </w:r>
    </w:p>
    <w:p w14:paraId="581329BA" w14:textId="77777777" w:rsidR="00597200" w:rsidRDefault="00597200" w:rsidP="00597200">
      <w:pPr>
        <w:spacing w:after="0" w:line="360" w:lineRule="auto"/>
        <w:rPr>
          <w:rFonts w:ascii="Times New Roman" w:eastAsia="Times New Roman" w:hAnsi="Times New Roman" w:cs="Times New Roman"/>
          <w:kern w:val="0"/>
          <w:sz w:val="24"/>
          <w:szCs w:val="24"/>
          <w:lang w:eastAsia="en-GB"/>
          <w14:ligatures w14:val="none"/>
        </w:rPr>
      </w:pPr>
      <w:r w:rsidRPr="00597200">
        <w:rPr>
          <w:rFonts w:ascii="Times New Roman" w:eastAsia="Times New Roman" w:hAnsi="Times New Roman" w:cs="Times New Roman"/>
          <w:kern w:val="0"/>
          <w:sz w:val="24"/>
          <w:szCs w:val="24"/>
          <w:lang w:eastAsia="en-GB"/>
          <w14:ligatures w14:val="none"/>
        </w:rPr>
        <w:t xml:space="preserve">PESTLE analysis and micro- and macro environmental variables are believed to possess attributes that can reveal an organization's vulnerabilities and potential risks. These characteristics closely resemble external influences that impact the values and market positioning of any organisation. The coming paper will analyse the variables of PESTLE analysis and their resulting features that hinder corporate operations and procedures. The paper will showcase several organisations that employ PESTLE analysis to enhance risk management and inform strategic decision-making. </w:t>
      </w:r>
    </w:p>
    <w:p w14:paraId="43748805" w14:textId="77777777" w:rsidR="00A41247" w:rsidRPr="001D5755" w:rsidRDefault="00A41247" w:rsidP="00A41247">
      <w:pPr>
        <w:pStyle w:val="BodyText"/>
        <w:spacing w:line="360" w:lineRule="auto"/>
        <w:jc w:val="both"/>
        <w:rPr>
          <w:rFonts w:ascii="Times New Roman" w:hAnsi="Times New Roman" w:cs="Times New Roman"/>
          <w:color w:val="000000"/>
          <w:sz w:val="28"/>
          <w:szCs w:val="28"/>
        </w:rPr>
      </w:pPr>
      <w:r w:rsidRPr="001D5755">
        <w:rPr>
          <w:rFonts w:ascii="Times New Roman" w:hAnsi="Times New Roman" w:cs="Times New Roman"/>
          <w:color w:val="000000"/>
        </w:rPr>
        <w:t xml:space="preserve">present various organizations that use PESTLE analysis. </w:t>
      </w:r>
    </w:p>
    <w:p w14:paraId="740EFAF3" w14:textId="06F1E57A" w:rsidR="00A41247" w:rsidRDefault="00A41247" w:rsidP="00E32F60">
      <w:pPr>
        <w:spacing w:line="360" w:lineRule="auto"/>
        <w:rPr>
          <w:rFonts w:ascii="Times New Roman" w:eastAsia="Times New Roman" w:hAnsi="Times New Roman" w:cs="Times New Roman"/>
          <w:kern w:val="0"/>
          <w:sz w:val="24"/>
          <w:szCs w:val="24"/>
          <w:lang w:eastAsia="en-GB"/>
          <w14:ligatures w14:val="none"/>
        </w:rPr>
      </w:pPr>
      <w:r w:rsidRPr="00A41247">
        <w:rPr>
          <w:rFonts w:ascii="Times New Roman" w:hAnsi="Times New Roman" w:cs="Times New Roman"/>
          <w:color w:val="000000"/>
          <w:sz w:val="24"/>
          <w:szCs w:val="24"/>
        </w:rPr>
        <w:tab/>
      </w:r>
      <w:r w:rsidRPr="00A41247">
        <w:rPr>
          <w:rFonts w:ascii="Times New Roman" w:hAnsi="Times New Roman" w:cs="Times New Roman"/>
          <w:b/>
          <w:bCs/>
          <w:color w:val="000000"/>
          <w:sz w:val="24"/>
          <w:szCs w:val="24"/>
        </w:rPr>
        <w:t>Political factors</w:t>
      </w:r>
      <w:r w:rsidRPr="00A41247">
        <w:rPr>
          <w:rFonts w:ascii="Times New Roman" w:hAnsi="Times New Roman" w:cs="Times New Roman"/>
          <w:color w:val="000000"/>
          <w:sz w:val="24"/>
          <w:szCs w:val="24"/>
        </w:rPr>
        <w:t xml:space="preserve"> are important in determining how business dynamics are arranged and enable efficient control system governance in a free market. These elements are regarded as external ones that have an impact on the ways in which the local governing body of the operations region considers and implements laws and regulations. The legislative framework that governs trade and commerce international trade relationships and the reflection of political trends and challenges are examples of political factors. The governing bodies also have the power to significantly impact opportunities and threats that face the organizational entities (Contractor et al., 2020).</w:t>
      </w:r>
      <w:r>
        <w:rPr>
          <w:rFonts w:ascii="Times New Roman" w:hAnsi="Times New Roman" w:cs="Times New Roman"/>
          <w:color w:val="000000"/>
          <w:sz w:val="24"/>
          <w:szCs w:val="24"/>
        </w:rPr>
        <w:t xml:space="preserve"> </w:t>
      </w:r>
      <w:r w:rsidRPr="00A41247">
        <w:rPr>
          <w:rFonts w:ascii="Times New Roman" w:eastAsia="Times New Roman" w:hAnsi="Times New Roman" w:cs="Times New Roman"/>
          <w:kern w:val="0"/>
          <w:sz w:val="24"/>
          <w:szCs w:val="24"/>
          <w:lang w:eastAsia="en-GB"/>
          <w14:ligatures w14:val="none"/>
        </w:rPr>
        <w:t xml:space="preserve">Trade agreements, changes in legislation, and changes have a significant influence on major organisations. Government measures and actions related to taxation, spending, and budgeting. Interstate wars and conflicts include multinational corporations (MNCs) and corporate organisations. For instance, the United Kingdom's departure from the European Union is a political choice that has a significant influence on several enterprises within and outside of the UK. Following the Brexit, a series of new trade agreements, tariffs, and regulations have been implemented, resulting in firms facing higher operating expenses, shortages in workforce, and a decline in consumer base. Political </w:t>
      </w:r>
      <w:r w:rsidR="001D75AF" w:rsidRPr="004A1481">
        <w:rPr>
          <w:noProof/>
        </w:rPr>
        <w:lastRenderedPageBreak/>
        <w:drawing>
          <wp:anchor distT="0" distB="0" distL="114300" distR="114300" simplePos="0" relativeHeight="251663360" behindDoc="1" locked="0" layoutInCell="1" allowOverlap="1" wp14:anchorId="08FD26BB" wp14:editId="4EBB7B36">
            <wp:simplePos x="0" y="0"/>
            <wp:positionH relativeFrom="column">
              <wp:posOffset>4541520</wp:posOffset>
            </wp:positionH>
            <wp:positionV relativeFrom="topMargin">
              <wp:align>bottom</wp:align>
            </wp:positionV>
            <wp:extent cx="1912620" cy="725170"/>
            <wp:effectExtent l="0" t="0" r="0" b="0"/>
            <wp:wrapNone/>
            <wp:docPr id="1477018073" name="Picture 147701807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Pr="00A41247">
        <w:rPr>
          <w:rFonts w:ascii="Times New Roman" w:eastAsia="Times New Roman" w:hAnsi="Times New Roman" w:cs="Times New Roman"/>
          <w:kern w:val="0"/>
          <w:sz w:val="24"/>
          <w:szCs w:val="24"/>
          <w:lang w:eastAsia="en-GB"/>
          <w14:ligatures w14:val="none"/>
        </w:rPr>
        <w:t>considerations examine and establish government laws and regulations that enable an organisation to function inside a country.</w:t>
      </w:r>
    </w:p>
    <w:p w14:paraId="49DB5356" w14:textId="77777777" w:rsidR="00A41247" w:rsidRDefault="00A41247" w:rsidP="00E32F60">
      <w:pPr>
        <w:spacing w:line="36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b/>
          <w:bCs/>
          <w:color w:val="000000"/>
          <w:sz w:val="24"/>
          <w:szCs w:val="24"/>
        </w:rPr>
        <w:t xml:space="preserve">           </w:t>
      </w:r>
      <w:r w:rsidRPr="00A41247">
        <w:rPr>
          <w:rFonts w:ascii="Times New Roman" w:hAnsi="Times New Roman" w:cs="Times New Roman"/>
          <w:b/>
          <w:bCs/>
          <w:color w:val="000000"/>
          <w:sz w:val="24"/>
          <w:szCs w:val="24"/>
        </w:rPr>
        <w:t>Economic factors</w:t>
      </w:r>
      <w:r w:rsidRPr="00A41247">
        <w:rPr>
          <w:rFonts w:ascii="Times New Roman" w:hAnsi="Times New Roman" w:cs="Times New Roman"/>
          <w:color w:val="000000"/>
          <w:sz w:val="24"/>
          <w:szCs w:val="24"/>
        </w:rPr>
        <w:t xml:space="preserve"> are known as the fundamental data of an economy which highly influence the overall business performance. These factors are generally considered while estimating the overall performance of a business. The investors also heavily depends on the economic factors in order to ascertain the value of an investment. There are different factors which affects overall business of an organisation. Interest rate is the biggest factor which affects liquidity of the cash within the economy. The cash flow of a country decreases with the increase in interest rate and this decrease in cash flow result towards reduction within overall liquidity of a country (Awan et al., 2021).</w:t>
      </w:r>
      <w:r>
        <w:rPr>
          <w:rFonts w:ascii="Times New Roman" w:hAnsi="Times New Roman" w:cs="Times New Roman"/>
          <w:color w:val="000000"/>
          <w:sz w:val="24"/>
          <w:szCs w:val="24"/>
        </w:rPr>
        <w:t xml:space="preserve"> </w:t>
      </w:r>
      <w:r w:rsidRPr="00A41247">
        <w:rPr>
          <w:rFonts w:ascii="Times New Roman" w:eastAsia="Times New Roman" w:hAnsi="Times New Roman" w:cs="Times New Roman"/>
          <w:kern w:val="0"/>
          <w:sz w:val="24"/>
          <w:szCs w:val="24"/>
          <w:lang w:eastAsia="en-GB"/>
          <w14:ligatures w14:val="none"/>
        </w:rPr>
        <w:t>The exchange rate has a significant impact on foreign payments, as well as the prices of products and goods, which in turn influences the overall economy. Inflation has an impact on both the pricing strategy and the purchasing behaviour of clients, which in turn influences the sales volume of a company. An increase in customers' income leads to a corresponding rise in general expenditure. This increase in overall spending helps the organisation to grow and improve the economy by lowering the unemployment rate. When consumers experience a fall in income, their total spending also reduces. Consequently, the performance of an organisation declines, leading to an increase in unemployment and a significant decrease in the stability of a country's economy.</w:t>
      </w:r>
    </w:p>
    <w:p w14:paraId="44116772" w14:textId="3C11892F" w:rsidR="00440FD6" w:rsidRDefault="00E32F60" w:rsidP="00440FD6">
      <w:pPr>
        <w:spacing w:line="36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b/>
          <w:bCs/>
          <w:color w:val="000000"/>
          <w:sz w:val="24"/>
          <w:szCs w:val="24"/>
        </w:rPr>
        <w:t xml:space="preserve">           </w:t>
      </w:r>
      <w:r w:rsidR="00A41247" w:rsidRPr="00A41247">
        <w:rPr>
          <w:rFonts w:ascii="Times New Roman" w:hAnsi="Times New Roman" w:cs="Times New Roman"/>
          <w:b/>
          <w:bCs/>
          <w:color w:val="000000"/>
          <w:sz w:val="24"/>
          <w:szCs w:val="24"/>
        </w:rPr>
        <w:t>Social factors</w:t>
      </w:r>
      <w:r w:rsidR="00A41247" w:rsidRPr="00A41247">
        <w:rPr>
          <w:rFonts w:ascii="Times New Roman" w:hAnsi="Times New Roman" w:cs="Times New Roman"/>
          <w:color w:val="000000"/>
          <w:sz w:val="24"/>
          <w:szCs w:val="24"/>
        </w:rPr>
        <w:t xml:space="preserve"> </w:t>
      </w:r>
      <w:r w:rsidR="00A41247" w:rsidRPr="00440FD6">
        <w:rPr>
          <w:rFonts w:ascii="Times New Roman" w:hAnsi="Times New Roman" w:cs="Times New Roman"/>
          <w:color w:val="000000"/>
          <w:sz w:val="24"/>
          <w:szCs w:val="24"/>
        </w:rPr>
        <w:t>are those factors which affect overall spending and habit of customers and the social factors also known as the socio-cultural factors. These factors play very important role in developing overall business environment and also have very important impact on the strategic direction of an organisation and on overall objective of business. The social factors affect the strategy of a business through developing overall customer behaviour, social expectation and market trends. The social factors are different customs, values and lifestyles which characterise overall society (Dmytriyev, Freeman and Hörisch, 2021).</w:t>
      </w:r>
      <w:r w:rsidR="00440FD6" w:rsidRPr="00440FD6">
        <w:rPr>
          <w:rFonts w:ascii="Times New Roman" w:hAnsi="Times New Roman" w:cs="Times New Roman"/>
          <w:color w:val="000000"/>
          <w:sz w:val="24"/>
          <w:szCs w:val="24"/>
        </w:rPr>
        <w:t xml:space="preserve"> </w:t>
      </w:r>
      <w:r w:rsidR="00440FD6" w:rsidRPr="00440FD6">
        <w:rPr>
          <w:rFonts w:ascii="Times New Roman" w:eastAsia="Times New Roman" w:hAnsi="Times New Roman" w:cs="Times New Roman"/>
          <w:kern w:val="0"/>
          <w:sz w:val="24"/>
          <w:szCs w:val="24"/>
          <w:lang w:eastAsia="en-GB"/>
          <w14:ligatures w14:val="none"/>
        </w:rPr>
        <w:t>These many aspects play a crucial part in shaping the business environment and significantly affect the overall aims and strategic decisions of a company. The social expectation of customers has a crucial influence in shaping organisations' strategies. Companies such as British Airways, who possess a significant carbon footprint, are anticipated to mitigate environmental damage in order to operate in a sustainable manner and make a substantial beneficial contribution to society. If society places a significant emphasis on achieving a healthy work-life balance, organisations must implement flexible working arrangements and other similar programs to retain existing talent and attract new talent.</w:t>
      </w:r>
    </w:p>
    <w:p w14:paraId="395FD76A" w14:textId="07C8929D" w:rsidR="00475A6B" w:rsidRDefault="001D75AF" w:rsidP="00475A6B">
      <w:pPr>
        <w:spacing w:line="360" w:lineRule="auto"/>
        <w:rPr>
          <w:rFonts w:ascii="Times New Roman" w:eastAsia="Times New Roman" w:hAnsi="Times New Roman" w:cs="Times New Roman"/>
          <w:kern w:val="0"/>
          <w:sz w:val="24"/>
          <w:szCs w:val="24"/>
          <w:lang w:eastAsia="en-GB"/>
          <w14:ligatures w14:val="none"/>
        </w:rPr>
      </w:pPr>
      <w:r w:rsidRPr="004A1481">
        <w:rPr>
          <w:noProof/>
        </w:rPr>
        <w:lastRenderedPageBreak/>
        <w:drawing>
          <wp:anchor distT="0" distB="0" distL="114300" distR="114300" simplePos="0" relativeHeight="251665408" behindDoc="1" locked="0" layoutInCell="1" allowOverlap="1" wp14:anchorId="0C716677" wp14:editId="78BABCD4">
            <wp:simplePos x="0" y="0"/>
            <wp:positionH relativeFrom="column">
              <wp:posOffset>4556760</wp:posOffset>
            </wp:positionH>
            <wp:positionV relativeFrom="topMargin">
              <wp:posOffset>114300</wp:posOffset>
            </wp:positionV>
            <wp:extent cx="1912620" cy="725170"/>
            <wp:effectExtent l="0" t="0" r="0" b="0"/>
            <wp:wrapNone/>
            <wp:docPr id="466782347" name="Picture 46678234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00342A62" w:rsidRPr="00475A6B">
        <w:rPr>
          <w:rFonts w:ascii="Times New Roman" w:hAnsi="Times New Roman" w:cs="Times New Roman"/>
          <w:b/>
          <w:bCs/>
          <w:color w:val="000000"/>
          <w:sz w:val="24"/>
          <w:szCs w:val="24"/>
        </w:rPr>
        <w:t xml:space="preserve">            Technological factors</w:t>
      </w:r>
      <w:r w:rsidR="00342A62" w:rsidRPr="00475A6B">
        <w:rPr>
          <w:rFonts w:ascii="Times New Roman" w:hAnsi="Times New Roman" w:cs="Times New Roman"/>
          <w:color w:val="000000"/>
          <w:sz w:val="24"/>
          <w:szCs w:val="24"/>
        </w:rPr>
        <w:t xml:space="preserve"> involve the resources for information and communication, production techniques, marketing, production and different e-commerce technologies. The different factors affect the operation of an organisation including the selling of products and collection of information about suppliers, customers and competitors. Automation is very important for any organisation who is looking to scale their business. Automation reduces the probability of any kind of human error which ensure consistency and also allows the organisation for ease of managing various complex tasks. In the retail sector the automation within the inventory management makes sure that level of stock are always optimal which reduces the chance of stock out and overstocking (Yang, Fu and Zhang, 2021). </w:t>
      </w:r>
      <w:r w:rsidR="00475A6B" w:rsidRPr="00475A6B">
        <w:rPr>
          <w:rFonts w:ascii="Times New Roman" w:eastAsia="Times New Roman" w:hAnsi="Times New Roman" w:cs="Times New Roman"/>
          <w:kern w:val="0"/>
          <w:sz w:val="24"/>
          <w:szCs w:val="24"/>
          <w:lang w:eastAsia="en-GB"/>
          <w14:ligatures w14:val="none"/>
        </w:rPr>
        <w:t>The companies are increasingly affected by the advancing artificial intelligence and automation technologies. Companies that include these technologies are well-prepared to tackle various issues in the contemporary, modern, and sophisticated marketplace. Integrating automation with artificial intelligence is essential for firms aiming to succeed in the digital world. By implementing these various technologies, the organisation may achieve exceptional efficiency, leading to increased employee satisfaction and a strong competitive position in the industry.</w:t>
      </w:r>
    </w:p>
    <w:p w14:paraId="77724AF8" w14:textId="159485CC" w:rsidR="00E348D7" w:rsidRDefault="006A3000" w:rsidP="00E348D7">
      <w:pPr>
        <w:spacing w:line="360" w:lineRule="auto"/>
        <w:rPr>
          <w:rFonts w:ascii="Times New Roman" w:eastAsia="Times New Roman" w:hAnsi="Times New Roman" w:cs="Times New Roman"/>
          <w:kern w:val="0"/>
          <w:sz w:val="24"/>
          <w:szCs w:val="24"/>
          <w:lang w:eastAsia="en-GB"/>
          <w14:ligatures w14:val="none"/>
        </w:rPr>
      </w:pPr>
      <w:r w:rsidRPr="006A3000">
        <w:rPr>
          <w:rFonts w:ascii="Times New Roman" w:hAnsi="Times New Roman" w:cs="Times New Roman"/>
          <w:b/>
          <w:bCs/>
          <w:color w:val="000000"/>
          <w:sz w:val="24"/>
          <w:szCs w:val="24"/>
        </w:rPr>
        <w:t xml:space="preserve">             Legal factors</w:t>
      </w:r>
      <w:r w:rsidRPr="006A3000">
        <w:rPr>
          <w:rFonts w:ascii="Times New Roman" w:hAnsi="Times New Roman" w:cs="Times New Roman"/>
          <w:color w:val="000000"/>
          <w:sz w:val="24"/>
          <w:szCs w:val="24"/>
        </w:rPr>
        <w:t xml:space="preserve"> in business refer to the regulations and various laws which govern various commercial activities through ensuring fair practices in every operations to protect the interest of stakeholders. Compliance with different government regulations is a strategic advantage of businesses. The organisations which can navigate through regulatory scenario very effectively can easily develop customer trust through investing on innovation and gaining the competitive advantage. One of the most important way through which legislation affects different businesses is cost of compliance. Business in UK like Tesco, Unilever and Nestle are required to follow General Data Protection Regulations (GDPR) (Moktadir et al., 2020).</w:t>
      </w:r>
      <w:r>
        <w:rPr>
          <w:rFonts w:ascii="Times New Roman" w:hAnsi="Times New Roman" w:cs="Times New Roman"/>
          <w:color w:val="000000"/>
          <w:sz w:val="24"/>
          <w:szCs w:val="24"/>
        </w:rPr>
        <w:t xml:space="preserve"> </w:t>
      </w:r>
      <w:r w:rsidR="00E348D7" w:rsidRPr="00E348D7">
        <w:rPr>
          <w:rFonts w:ascii="Times New Roman" w:eastAsia="Times New Roman" w:hAnsi="Times New Roman" w:cs="Times New Roman"/>
          <w:kern w:val="0"/>
          <w:sz w:val="24"/>
          <w:szCs w:val="24"/>
          <w:lang w:eastAsia="en-GB"/>
          <w14:ligatures w14:val="none"/>
        </w:rPr>
        <w:t>This regulation requires that companies retain the personal information of both consumers and workers. Complying with GDPR laws can impose significant financial burdens on firms, as they are obligated to make substantial investments in new IT systems and personnel training to achieve complete compliance. The impact of complying or failing to comply with different legal responsibilities is another crucial aspect through which legal considerations influence organisations. For instance, if an organisation violates any safety or health regulations, it may be subject to significant legal consequences. Likewise, if an entity violates any provision of the data protection act, it may incur substantial fines from the information commissioner officer.</w:t>
      </w:r>
    </w:p>
    <w:p w14:paraId="1F6813E2" w14:textId="7DDD9B4D" w:rsidR="003148AE" w:rsidRDefault="001D75AF" w:rsidP="003148AE">
      <w:pPr>
        <w:spacing w:line="360" w:lineRule="auto"/>
        <w:rPr>
          <w:rFonts w:ascii="Times New Roman" w:eastAsia="Times New Roman" w:hAnsi="Times New Roman" w:cs="Times New Roman"/>
          <w:kern w:val="0"/>
          <w:sz w:val="24"/>
          <w:szCs w:val="24"/>
          <w:lang w:eastAsia="en-GB"/>
          <w14:ligatures w14:val="none"/>
        </w:rPr>
      </w:pPr>
      <w:r w:rsidRPr="004A1481">
        <w:rPr>
          <w:noProof/>
        </w:rPr>
        <w:lastRenderedPageBreak/>
        <w:drawing>
          <wp:anchor distT="0" distB="0" distL="114300" distR="114300" simplePos="0" relativeHeight="251667456" behindDoc="1" locked="0" layoutInCell="1" allowOverlap="1" wp14:anchorId="0BDDB910" wp14:editId="6F4D5E60">
            <wp:simplePos x="0" y="0"/>
            <wp:positionH relativeFrom="column">
              <wp:posOffset>4594860</wp:posOffset>
            </wp:positionH>
            <wp:positionV relativeFrom="topMargin">
              <wp:posOffset>129540</wp:posOffset>
            </wp:positionV>
            <wp:extent cx="1912620" cy="725170"/>
            <wp:effectExtent l="0" t="0" r="0" b="0"/>
            <wp:wrapNone/>
            <wp:docPr id="558623088" name="Picture 55862308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003148AE">
        <w:rPr>
          <w:rFonts w:ascii="Times New Roman" w:hAnsi="Times New Roman" w:cs="Times New Roman"/>
          <w:b/>
          <w:bCs/>
          <w:color w:val="000000"/>
          <w:sz w:val="24"/>
          <w:szCs w:val="24"/>
        </w:rPr>
        <w:t xml:space="preserve">             </w:t>
      </w:r>
      <w:r w:rsidR="003148AE" w:rsidRPr="003148AE">
        <w:rPr>
          <w:rFonts w:ascii="Times New Roman" w:hAnsi="Times New Roman" w:cs="Times New Roman"/>
          <w:b/>
          <w:bCs/>
          <w:color w:val="000000"/>
          <w:sz w:val="24"/>
          <w:szCs w:val="24"/>
        </w:rPr>
        <w:t>Environmental factors</w:t>
      </w:r>
      <w:r w:rsidR="003148AE" w:rsidRPr="003148AE">
        <w:rPr>
          <w:rFonts w:ascii="Times New Roman" w:hAnsi="Times New Roman" w:cs="Times New Roman"/>
          <w:color w:val="000000"/>
          <w:sz w:val="24"/>
          <w:szCs w:val="24"/>
        </w:rPr>
        <w:t xml:space="preserve"> impact the overall management and operations of an organisation. These factors are very important in current business environment because these factors directly affect overall business operations along with different market opportunities. Climate change is now becoming a very important concern for every business globally. It has the potential to disturb the supply chain of an organisation which increases overall operational cost and also creates some significant risks towards business continuity (Morrison, 2023).</w:t>
      </w:r>
      <w:r w:rsidR="003148AE">
        <w:rPr>
          <w:rFonts w:ascii="Times New Roman" w:hAnsi="Times New Roman" w:cs="Times New Roman"/>
          <w:color w:val="000000"/>
          <w:sz w:val="24"/>
          <w:szCs w:val="24"/>
        </w:rPr>
        <w:t xml:space="preserve"> </w:t>
      </w:r>
      <w:r w:rsidR="003148AE" w:rsidRPr="003148AE">
        <w:rPr>
          <w:rFonts w:ascii="Times New Roman" w:eastAsia="Times New Roman" w:hAnsi="Times New Roman" w:cs="Times New Roman"/>
          <w:kern w:val="0"/>
          <w:sz w:val="24"/>
          <w:szCs w:val="24"/>
          <w:lang w:eastAsia="en-GB"/>
          <w14:ligatures w14:val="none"/>
        </w:rPr>
        <w:t>Organisations must integrate several methods into their business planning and overall risk management strategy to address and adapt to climate change. Businesses must also take into account sustainability, a crucial environmental aspect. Customers, regulators, and investors have a strong expectation for sustainable company processes that demonstrate a high level of responsibility. This entails minimising the collective carbon footprint by optimising resource utilisation and minimising waste. Businesses that do to satisfy these diverse expectations may experience reputational harm, a decrease in market share, and other regulatory fines.</w:t>
      </w:r>
    </w:p>
    <w:p w14:paraId="19E12A05" w14:textId="4713135C" w:rsidR="003148AE" w:rsidRPr="00F0752F" w:rsidRDefault="003148AE" w:rsidP="003148AE">
      <w:pPr>
        <w:spacing w:line="360" w:lineRule="auto"/>
        <w:rPr>
          <w:rFonts w:ascii="Times New Roman" w:eastAsia="Times New Roman" w:hAnsi="Times New Roman" w:cs="Times New Roman"/>
          <w:kern w:val="0"/>
          <w:sz w:val="24"/>
          <w:szCs w:val="24"/>
          <w:lang w:eastAsia="en-GB"/>
        </w:rPr>
      </w:pPr>
      <w:r>
        <w:rPr>
          <w:rFonts w:ascii="Times New Roman" w:eastAsia="Times New Roman" w:hAnsi="Times New Roman" w:cs="Times New Roman"/>
          <w:kern w:val="0"/>
          <w:sz w:val="24"/>
          <w:szCs w:val="24"/>
          <w:lang w:eastAsia="en-GB"/>
        </w:rPr>
        <w:t xml:space="preserve">             </w:t>
      </w:r>
      <w:r w:rsidRPr="00F0752F">
        <w:rPr>
          <w:rFonts w:ascii="Times New Roman" w:eastAsia="Times New Roman" w:hAnsi="Times New Roman" w:cs="Times New Roman"/>
          <w:kern w:val="0"/>
          <w:sz w:val="24"/>
          <w:szCs w:val="24"/>
          <w:lang w:eastAsia="en-GB"/>
        </w:rPr>
        <w:t>The present study examined the influence of the attributes of PESTLE analysis by providing a concise explanation of these aspects and their significance in the business context. The study assesses key variables in each aspect of PESTLE, such as inflation, unemployment, political stability, technological progress, and others. This study also assesses the overall impact of these factors on company operations, as well as on the total sales and income of an organisation. The study also provides many examples of different organisations to illustrate the influence of these variables on these different organisations.</w:t>
      </w:r>
    </w:p>
    <w:p w14:paraId="27AFAF34" w14:textId="77777777" w:rsidR="003148AE" w:rsidRPr="003148AE" w:rsidRDefault="003148AE" w:rsidP="003148AE">
      <w:pPr>
        <w:spacing w:line="360" w:lineRule="auto"/>
        <w:rPr>
          <w:rFonts w:ascii="Times New Roman" w:eastAsia="Times New Roman" w:hAnsi="Times New Roman" w:cs="Times New Roman"/>
          <w:kern w:val="0"/>
          <w:sz w:val="24"/>
          <w:szCs w:val="24"/>
          <w:lang w:eastAsia="en-GB"/>
          <w14:ligatures w14:val="none"/>
        </w:rPr>
      </w:pPr>
    </w:p>
    <w:p w14:paraId="671E64C0" w14:textId="76CF8AEF" w:rsidR="00E348D7" w:rsidRPr="003148AE" w:rsidRDefault="00E348D7" w:rsidP="003148AE">
      <w:pPr>
        <w:spacing w:line="360" w:lineRule="auto"/>
        <w:rPr>
          <w:rFonts w:ascii="Times New Roman" w:eastAsia="Times New Roman" w:hAnsi="Times New Roman" w:cs="Times New Roman"/>
          <w:kern w:val="0"/>
          <w:sz w:val="28"/>
          <w:szCs w:val="28"/>
          <w:lang w:eastAsia="en-GB"/>
          <w14:ligatures w14:val="none"/>
        </w:rPr>
      </w:pPr>
    </w:p>
    <w:p w14:paraId="47100806" w14:textId="76B30267" w:rsidR="006A3000" w:rsidRPr="006A3000" w:rsidRDefault="006A3000" w:rsidP="006A3000">
      <w:pPr>
        <w:spacing w:line="360" w:lineRule="auto"/>
        <w:rPr>
          <w:rFonts w:ascii="Times New Roman" w:eastAsia="Times New Roman" w:hAnsi="Times New Roman" w:cs="Times New Roman"/>
          <w:kern w:val="0"/>
          <w:sz w:val="24"/>
          <w:szCs w:val="24"/>
          <w:lang w:eastAsia="en-GB"/>
          <w14:ligatures w14:val="none"/>
        </w:rPr>
      </w:pPr>
      <w:r w:rsidRPr="006A3000">
        <w:rPr>
          <w:rFonts w:ascii="Times New Roman" w:hAnsi="Times New Roman" w:cs="Times New Roman"/>
          <w:color w:val="000000"/>
          <w:sz w:val="24"/>
          <w:szCs w:val="24"/>
        </w:rPr>
        <w:t xml:space="preserve">  </w:t>
      </w:r>
    </w:p>
    <w:p w14:paraId="289D7257" w14:textId="2CD7D134" w:rsidR="00440FD6" w:rsidRPr="00342A62" w:rsidRDefault="00440FD6" w:rsidP="00342A62">
      <w:pPr>
        <w:spacing w:line="360" w:lineRule="auto"/>
        <w:rPr>
          <w:rFonts w:ascii="Times New Roman" w:eastAsia="Times New Roman" w:hAnsi="Times New Roman" w:cs="Times New Roman"/>
          <w:kern w:val="0"/>
          <w:sz w:val="28"/>
          <w:szCs w:val="28"/>
          <w:lang w:eastAsia="en-GB"/>
          <w14:ligatures w14:val="none"/>
        </w:rPr>
      </w:pPr>
    </w:p>
    <w:p w14:paraId="3E686C18" w14:textId="6ABA54B5" w:rsidR="00A41247" w:rsidRDefault="00A41247" w:rsidP="00E32F60">
      <w:pPr>
        <w:spacing w:line="360" w:lineRule="auto"/>
        <w:jc w:val="both"/>
        <w:rPr>
          <w:rFonts w:ascii="Times New Roman" w:eastAsia="Times New Roman" w:hAnsi="Times New Roman" w:cs="Times New Roman"/>
          <w:kern w:val="0"/>
          <w:sz w:val="24"/>
          <w:szCs w:val="24"/>
          <w:lang w:eastAsia="en-GB"/>
          <w14:ligatures w14:val="none"/>
        </w:rPr>
      </w:pPr>
    </w:p>
    <w:p w14:paraId="1B00DA30" w14:textId="77777777" w:rsidR="00596C26" w:rsidRDefault="00596C26" w:rsidP="00E32F60">
      <w:pPr>
        <w:spacing w:line="360" w:lineRule="auto"/>
        <w:jc w:val="both"/>
        <w:rPr>
          <w:rFonts w:ascii="Times New Roman" w:eastAsia="Times New Roman" w:hAnsi="Times New Roman" w:cs="Times New Roman"/>
          <w:kern w:val="0"/>
          <w:sz w:val="24"/>
          <w:szCs w:val="24"/>
          <w:lang w:eastAsia="en-GB"/>
          <w14:ligatures w14:val="none"/>
        </w:rPr>
      </w:pPr>
    </w:p>
    <w:p w14:paraId="6262C3B5" w14:textId="77777777" w:rsidR="00596C26" w:rsidRDefault="00596C26" w:rsidP="00E32F60">
      <w:pPr>
        <w:spacing w:line="360" w:lineRule="auto"/>
        <w:jc w:val="both"/>
        <w:rPr>
          <w:rFonts w:ascii="Times New Roman" w:eastAsia="Times New Roman" w:hAnsi="Times New Roman" w:cs="Times New Roman"/>
          <w:kern w:val="0"/>
          <w:sz w:val="24"/>
          <w:szCs w:val="24"/>
          <w:lang w:eastAsia="en-GB"/>
          <w14:ligatures w14:val="none"/>
        </w:rPr>
      </w:pPr>
    </w:p>
    <w:p w14:paraId="1373AB98" w14:textId="77777777" w:rsidR="00596C26" w:rsidRDefault="00596C26" w:rsidP="00E32F60">
      <w:pPr>
        <w:spacing w:line="360" w:lineRule="auto"/>
        <w:jc w:val="both"/>
        <w:rPr>
          <w:rFonts w:ascii="Times New Roman" w:eastAsia="Times New Roman" w:hAnsi="Times New Roman" w:cs="Times New Roman"/>
          <w:kern w:val="0"/>
          <w:sz w:val="24"/>
          <w:szCs w:val="24"/>
          <w:lang w:eastAsia="en-GB"/>
          <w14:ligatures w14:val="none"/>
        </w:rPr>
      </w:pPr>
    </w:p>
    <w:p w14:paraId="7B9EA5AE" w14:textId="062A7E4B" w:rsidR="00596C26" w:rsidRDefault="001D75AF" w:rsidP="00224EDF">
      <w:pPr>
        <w:pStyle w:val="Heading1"/>
        <w:rPr>
          <w:rFonts w:ascii="Times New Roman" w:eastAsia="Times New Roman" w:hAnsi="Times New Roman" w:cs="Times New Roman"/>
          <w:color w:val="000000" w:themeColor="text1"/>
          <w:lang w:eastAsia="en-GB"/>
        </w:rPr>
      </w:pPr>
      <w:r w:rsidRPr="004A1481">
        <w:rPr>
          <w:noProof/>
        </w:rPr>
        <w:lastRenderedPageBreak/>
        <w:drawing>
          <wp:anchor distT="0" distB="0" distL="114300" distR="114300" simplePos="0" relativeHeight="251669504" behindDoc="1" locked="0" layoutInCell="1" allowOverlap="1" wp14:anchorId="273BA8A3" wp14:editId="02A86FAD">
            <wp:simplePos x="0" y="0"/>
            <wp:positionH relativeFrom="column">
              <wp:posOffset>4533900</wp:posOffset>
            </wp:positionH>
            <wp:positionV relativeFrom="topMargin">
              <wp:posOffset>98425</wp:posOffset>
            </wp:positionV>
            <wp:extent cx="1912620" cy="725170"/>
            <wp:effectExtent l="0" t="0" r="0" b="0"/>
            <wp:wrapNone/>
            <wp:docPr id="536943603" name="Picture 53694360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2620" cy="725170"/>
                    </a:xfrm>
                    <a:prstGeom prst="rect">
                      <a:avLst/>
                    </a:prstGeom>
                    <a:noFill/>
                    <a:ln>
                      <a:noFill/>
                    </a:ln>
                  </pic:spPr>
                </pic:pic>
              </a:graphicData>
            </a:graphic>
          </wp:anchor>
        </w:drawing>
      </w:r>
      <w:r w:rsidR="00596C26" w:rsidRPr="00224EDF">
        <w:rPr>
          <w:rFonts w:ascii="Times New Roman" w:eastAsia="Times New Roman" w:hAnsi="Times New Roman" w:cs="Times New Roman"/>
          <w:color w:val="000000" w:themeColor="text1"/>
          <w:sz w:val="28"/>
          <w:szCs w:val="28"/>
          <w:lang w:eastAsia="en-GB"/>
        </w:rPr>
        <w:t>R</w:t>
      </w:r>
      <w:r w:rsidR="00224EDF" w:rsidRPr="00224EDF">
        <w:rPr>
          <w:rFonts w:ascii="Times New Roman" w:eastAsia="Times New Roman" w:hAnsi="Times New Roman" w:cs="Times New Roman"/>
          <w:color w:val="000000" w:themeColor="text1"/>
          <w:sz w:val="28"/>
          <w:szCs w:val="28"/>
          <w:lang w:eastAsia="en-GB"/>
        </w:rPr>
        <w:t>EFERENCES</w:t>
      </w:r>
      <w:r w:rsidR="00596C26" w:rsidRPr="00224EDF">
        <w:rPr>
          <w:rFonts w:ascii="Times New Roman" w:eastAsia="Times New Roman" w:hAnsi="Times New Roman" w:cs="Times New Roman"/>
          <w:color w:val="000000" w:themeColor="text1"/>
          <w:sz w:val="28"/>
          <w:szCs w:val="28"/>
          <w:lang w:eastAsia="en-GB"/>
        </w:rPr>
        <w:t xml:space="preserve"> </w:t>
      </w:r>
      <w:r w:rsidR="00596C26" w:rsidRPr="00224EDF">
        <w:rPr>
          <w:rFonts w:ascii="Times New Roman" w:eastAsia="Times New Roman" w:hAnsi="Times New Roman" w:cs="Times New Roman"/>
          <w:color w:val="000000" w:themeColor="text1"/>
          <w:lang w:eastAsia="en-GB"/>
        </w:rPr>
        <w:t>:</w:t>
      </w:r>
    </w:p>
    <w:p w14:paraId="44DBB8B2" w14:textId="77777777" w:rsidR="00224EDF" w:rsidRDefault="00224EDF" w:rsidP="00224EDF">
      <w:pPr>
        <w:rPr>
          <w:lang w:eastAsia="en-GB"/>
        </w:rPr>
      </w:pPr>
    </w:p>
    <w:p w14:paraId="2DE23A21" w14:textId="77777777" w:rsidR="00224EDF" w:rsidRP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r w:rsidRPr="00600AE4">
        <w:rPr>
          <w:rFonts w:ascii="Times New Roman" w:eastAsia="Times New Roman" w:hAnsi="Times New Roman" w:cs="Times New Roman"/>
          <w:kern w:val="0"/>
          <w:sz w:val="24"/>
          <w:szCs w:val="24"/>
          <w:lang w:eastAsia="en-GB"/>
          <w14:ligatures w14:val="none"/>
        </w:rPr>
        <w:t xml:space="preserve">Awan, U. </w:t>
      </w:r>
      <w:r w:rsidRPr="00600AE4">
        <w:rPr>
          <w:rFonts w:ascii="Times New Roman" w:eastAsia="Times New Roman" w:hAnsi="Times New Roman" w:cs="Times New Roman"/>
          <w:i/>
          <w:iCs/>
          <w:kern w:val="0"/>
          <w:sz w:val="24"/>
          <w:szCs w:val="24"/>
          <w:lang w:eastAsia="en-GB"/>
          <w14:ligatures w14:val="none"/>
        </w:rPr>
        <w:t>et al.</w:t>
      </w:r>
      <w:r w:rsidRPr="00600AE4">
        <w:rPr>
          <w:rFonts w:ascii="Times New Roman" w:eastAsia="Times New Roman" w:hAnsi="Times New Roman" w:cs="Times New Roman"/>
          <w:kern w:val="0"/>
          <w:sz w:val="24"/>
          <w:szCs w:val="24"/>
          <w:lang w:eastAsia="en-GB"/>
          <w14:ligatures w14:val="none"/>
        </w:rPr>
        <w:t xml:space="preserve"> (2021) ‘Big data analytics capability and decision-making: The role of data-driven insight on circular economy performance’, </w:t>
      </w:r>
      <w:r w:rsidRPr="00600AE4">
        <w:rPr>
          <w:rFonts w:ascii="Times New Roman" w:eastAsia="Times New Roman" w:hAnsi="Times New Roman" w:cs="Times New Roman"/>
          <w:i/>
          <w:iCs/>
          <w:kern w:val="0"/>
          <w:sz w:val="24"/>
          <w:szCs w:val="24"/>
          <w:lang w:eastAsia="en-GB"/>
          <w14:ligatures w14:val="none"/>
        </w:rPr>
        <w:t>Technological forecasting &amp; social change</w:t>
      </w:r>
      <w:r w:rsidRPr="00600AE4">
        <w:rPr>
          <w:rFonts w:ascii="Times New Roman" w:eastAsia="Times New Roman" w:hAnsi="Times New Roman" w:cs="Times New Roman"/>
          <w:kern w:val="0"/>
          <w:sz w:val="24"/>
          <w:szCs w:val="24"/>
          <w:lang w:eastAsia="en-GB"/>
          <w14:ligatures w14:val="none"/>
        </w:rPr>
        <w:t xml:space="preserve">, 168, pp. 120766-. Available at: </w:t>
      </w:r>
      <w:hyperlink r:id="rId11" w:history="1">
        <w:r w:rsidRPr="00600AE4">
          <w:rPr>
            <w:rStyle w:val="Hyperlink"/>
            <w:rFonts w:ascii="Times New Roman" w:eastAsia="Times New Roman" w:hAnsi="Times New Roman" w:cs="Times New Roman"/>
            <w:kern w:val="0"/>
            <w:sz w:val="24"/>
            <w:szCs w:val="24"/>
            <w:lang w:eastAsia="en-GB"/>
            <w14:ligatures w14:val="none"/>
          </w:rPr>
          <w:t>https://doi.org/10.1016/j.techfore.2021.120766</w:t>
        </w:r>
      </w:hyperlink>
      <w:r w:rsidRPr="00600AE4">
        <w:rPr>
          <w:rFonts w:ascii="Times New Roman" w:eastAsia="Times New Roman" w:hAnsi="Times New Roman" w:cs="Times New Roman"/>
          <w:kern w:val="0"/>
          <w:sz w:val="24"/>
          <w:szCs w:val="24"/>
          <w:lang w:eastAsia="en-GB"/>
          <w14:ligatures w14:val="none"/>
        </w:rPr>
        <w:t>.</w:t>
      </w:r>
      <w:r w:rsidRPr="00224EDF">
        <w:rPr>
          <w:rFonts w:ascii="Times New Roman" w:eastAsia="Times New Roman" w:hAnsi="Times New Roman" w:cs="Times New Roman"/>
          <w:kern w:val="0"/>
          <w:sz w:val="24"/>
          <w:szCs w:val="24"/>
          <w:lang w:eastAsia="en-GB"/>
          <w14:ligatures w14:val="none"/>
        </w:rPr>
        <w:t xml:space="preserve"> </w:t>
      </w:r>
    </w:p>
    <w:p w14:paraId="6764B965" w14:textId="77777777" w:rsidR="00224EDF" w:rsidRPr="00224EDF" w:rsidRDefault="00224EDF" w:rsidP="00224EDF">
      <w:pPr>
        <w:rPr>
          <w:rFonts w:ascii="Times New Roman" w:hAnsi="Times New Roman" w:cs="Times New Roman"/>
          <w:lang w:eastAsia="en-GB"/>
        </w:rPr>
      </w:pPr>
    </w:p>
    <w:p w14:paraId="1766AFBC" w14:textId="77777777" w:rsidR="00224EDF" w:rsidRP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r w:rsidRPr="00FF4EB1">
        <w:rPr>
          <w:rFonts w:ascii="Times New Roman" w:eastAsia="Times New Roman" w:hAnsi="Times New Roman" w:cs="Times New Roman"/>
          <w:kern w:val="0"/>
          <w:sz w:val="24"/>
          <w:szCs w:val="24"/>
          <w:lang w:eastAsia="en-GB"/>
          <w14:ligatures w14:val="none"/>
        </w:rPr>
        <w:t xml:space="preserve">Contractor, F.J. </w:t>
      </w:r>
      <w:r w:rsidRPr="00FF4EB1">
        <w:rPr>
          <w:rFonts w:ascii="Times New Roman" w:eastAsia="Times New Roman" w:hAnsi="Times New Roman" w:cs="Times New Roman"/>
          <w:i/>
          <w:iCs/>
          <w:kern w:val="0"/>
          <w:sz w:val="24"/>
          <w:szCs w:val="24"/>
          <w:lang w:eastAsia="en-GB"/>
          <w14:ligatures w14:val="none"/>
        </w:rPr>
        <w:t>et al.</w:t>
      </w:r>
      <w:r w:rsidRPr="00FF4EB1">
        <w:rPr>
          <w:rFonts w:ascii="Times New Roman" w:eastAsia="Times New Roman" w:hAnsi="Times New Roman" w:cs="Times New Roman"/>
          <w:kern w:val="0"/>
          <w:sz w:val="24"/>
          <w:szCs w:val="24"/>
          <w:lang w:eastAsia="en-GB"/>
          <w14:ligatures w14:val="none"/>
        </w:rPr>
        <w:t xml:space="preserve"> (2020) ‘How do country regulations and business environment impact foreign direct investment (FDI) inflows?’, </w:t>
      </w:r>
      <w:r w:rsidRPr="00FF4EB1">
        <w:rPr>
          <w:rFonts w:ascii="Times New Roman" w:eastAsia="Times New Roman" w:hAnsi="Times New Roman" w:cs="Times New Roman"/>
          <w:i/>
          <w:iCs/>
          <w:kern w:val="0"/>
          <w:sz w:val="24"/>
          <w:szCs w:val="24"/>
          <w:lang w:eastAsia="en-GB"/>
          <w14:ligatures w14:val="none"/>
        </w:rPr>
        <w:t>International business review</w:t>
      </w:r>
      <w:r w:rsidRPr="00FF4EB1">
        <w:rPr>
          <w:rFonts w:ascii="Times New Roman" w:eastAsia="Times New Roman" w:hAnsi="Times New Roman" w:cs="Times New Roman"/>
          <w:kern w:val="0"/>
          <w:sz w:val="24"/>
          <w:szCs w:val="24"/>
          <w:lang w:eastAsia="en-GB"/>
          <w14:ligatures w14:val="none"/>
        </w:rPr>
        <w:t xml:space="preserve">, 29(2), pp. 101640-. Available at: </w:t>
      </w:r>
      <w:hyperlink r:id="rId12" w:history="1">
        <w:r w:rsidRPr="00FF4EB1">
          <w:rPr>
            <w:rStyle w:val="Hyperlink"/>
            <w:rFonts w:ascii="Times New Roman" w:eastAsia="Times New Roman" w:hAnsi="Times New Roman" w:cs="Times New Roman"/>
            <w:kern w:val="0"/>
            <w:sz w:val="24"/>
            <w:szCs w:val="24"/>
            <w:lang w:eastAsia="en-GB"/>
            <w14:ligatures w14:val="none"/>
          </w:rPr>
          <w:t>https://doi.org/10.1016/j.ibusrev.2019.101640</w:t>
        </w:r>
      </w:hyperlink>
      <w:r w:rsidRPr="00FF4EB1">
        <w:rPr>
          <w:rFonts w:ascii="Times New Roman" w:eastAsia="Times New Roman" w:hAnsi="Times New Roman" w:cs="Times New Roman"/>
          <w:kern w:val="0"/>
          <w:sz w:val="24"/>
          <w:szCs w:val="24"/>
          <w:lang w:eastAsia="en-GB"/>
          <w14:ligatures w14:val="none"/>
        </w:rPr>
        <w:t>.</w:t>
      </w:r>
    </w:p>
    <w:p w14:paraId="459D80A2" w14:textId="77777777" w:rsidR="00224EDF" w:rsidRPr="00224EDF" w:rsidRDefault="00224EDF" w:rsidP="00224EDF">
      <w:pPr>
        <w:rPr>
          <w:rFonts w:ascii="Times New Roman" w:hAnsi="Times New Roman" w:cs="Times New Roman"/>
          <w:lang w:eastAsia="en-GB"/>
        </w:rPr>
      </w:pPr>
    </w:p>
    <w:p w14:paraId="0D1AF695" w14:textId="2FDBC300" w:rsidR="00224EDF" w:rsidRP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r w:rsidRPr="00FF4EB1">
        <w:rPr>
          <w:rFonts w:ascii="Times New Roman" w:eastAsia="Times New Roman" w:hAnsi="Times New Roman" w:cs="Times New Roman"/>
          <w:kern w:val="0"/>
          <w:sz w:val="24"/>
          <w:szCs w:val="24"/>
          <w:lang w:eastAsia="en-GB"/>
          <w14:ligatures w14:val="none"/>
        </w:rPr>
        <w:t xml:space="preserve">Dmytriyev, S.D., Freeman, R.E. and Hörisch, J. (2021) ‘The Relationship between Stakeholder Theory and Corporate Social Responsibility: Differences, Similarities, and Implications for Social Issues in Management’, </w:t>
      </w:r>
      <w:r w:rsidRPr="00FF4EB1">
        <w:rPr>
          <w:rFonts w:ascii="Times New Roman" w:eastAsia="Times New Roman" w:hAnsi="Times New Roman" w:cs="Times New Roman"/>
          <w:i/>
          <w:iCs/>
          <w:kern w:val="0"/>
          <w:sz w:val="24"/>
          <w:szCs w:val="24"/>
          <w:lang w:eastAsia="en-GB"/>
          <w14:ligatures w14:val="none"/>
        </w:rPr>
        <w:t>Journal of management studies</w:t>
      </w:r>
      <w:r w:rsidRPr="00FF4EB1">
        <w:rPr>
          <w:rFonts w:ascii="Times New Roman" w:eastAsia="Times New Roman" w:hAnsi="Times New Roman" w:cs="Times New Roman"/>
          <w:kern w:val="0"/>
          <w:sz w:val="24"/>
          <w:szCs w:val="24"/>
          <w:lang w:eastAsia="en-GB"/>
          <w14:ligatures w14:val="none"/>
        </w:rPr>
        <w:t xml:space="preserve">, 58(6), pp. 1441–1470. Available at: </w:t>
      </w:r>
      <w:hyperlink r:id="rId13" w:history="1">
        <w:r w:rsidRPr="00FF4EB1">
          <w:rPr>
            <w:rStyle w:val="Hyperlink"/>
            <w:rFonts w:ascii="Times New Roman" w:eastAsia="Times New Roman" w:hAnsi="Times New Roman" w:cs="Times New Roman"/>
            <w:kern w:val="0"/>
            <w:sz w:val="24"/>
            <w:szCs w:val="24"/>
            <w:lang w:eastAsia="en-GB"/>
            <w14:ligatures w14:val="none"/>
          </w:rPr>
          <w:t>https://doi.org/10.1111/joms.12684</w:t>
        </w:r>
      </w:hyperlink>
      <w:r w:rsidRPr="00FF4EB1">
        <w:rPr>
          <w:rFonts w:ascii="Times New Roman" w:eastAsia="Times New Roman" w:hAnsi="Times New Roman" w:cs="Times New Roman"/>
          <w:kern w:val="0"/>
          <w:sz w:val="24"/>
          <w:szCs w:val="24"/>
          <w:lang w:eastAsia="en-GB"/>
          <w14:ligatures w14:val="none"/>
        </w:rPr>
        <w:t>.</w:t>
      </w:r>
      <w:r w:rsidRPr="00224EDF">
        <w:rPr>
          <w:rFonts w:ascii="Times New Roman" w:eastAsia="Times New Roman" w:hAnsi="Times New Roman" w:cs="Times New Roman"/>
          <w:kern w:val="0"/>
          <w:sz w:val="24"/>
          <w:szCs w:val="24"/>
          <w:lang w:eastAsia="en-GB"/>
          <w14:ligatures w14:val="none"/>
        </w:rPr>
        <w:t xml:space="preserve"> </w:t>
      </w:r>
    </w:p>
    <w:p w14:paraId="60CE3F7F" w14:textId="77777777" w:rsidR="00224EDF" w:rsidRP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p>
    <w:p w14:paraId="343E2D7B" w14:textId="77777777" w:rsidR="00224EDF" w:rsidRP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r w:rsidRPr="00211071">
        <w:rPr>
          <w:rFonts w:ascii="Times New Roman" w:eastAsia="Times New Roman" w:hAnsi="Times New Roman" w:cs="Times New Roman"/>
          <w:kern w:val="0"/>
          <w:sz w:val="24"/>
          <w:szCs w:val="24"/>
          <w:lang w:eastAsia="en-GB"/>
          <w14:ligatures w14:val="none"/>
        </w:rPr>
        <w:t xml:space="preserve">Duan, Y., Cao, G. and Edwards, J.S. (2020) ‘Understanding the impact of business analytics on innovation’, </w:t>
      </w:r>
      <w:r w:rsidRPr="00211071">
        <w:rPr>
          <w:rFonts w:ascii="Times New Roman" w:eastAsia="Times New Roman" w:hAnsi="Times New Roman" w:cs="Times New Roman"/>
          <w:i/>
          <w:iCs/>
          <w:kern w:val="0"/>
          <w:sz w:val="24"/>
          <w:szCs w:val="24"/>
          <w:lang w:eastAsia="en-GB"/>
          <w14:ligatures w14:val="none"/>
        </w:rPr>
        <w:t>European journal of operational research</w:t>
      </w:r>
      <w:r w:rsidRPr="00211071">
        <w:rPr>
          <w:rFonts w:ascii="Times New Roman" w:eastAsia="Times New Roman" w:hAnsi="Times New Roman" w:cs="Times New Roman"/>
          <w:kern w:val="0"/>
          <w:sz w:val="24"/>
          <w:szCs w:val="24"/>
          <w:lang w:eastAsia="en-GB"/>
          <w14:ligatures w14:val="none"/>
        </w:rPr>
        <w:t xml:space="preserve">, 281(3), pp. 673–686. Available at: </w:t>
      </w:r>
      <w:hyperlink r:id="rId14" w:history="1">
        <w:r w:rsidRPr="00211071">
          <w:rPr>
            <w:rStyle w:val="Hyperlink"/>
            <w:rFonts w:ascii="Times New Roman" w:eastAsia="Times New Roman" w:hAnsi="Times New Roman" w:cs="Times New Roman"/>
            <w:kern w:val="0"/>
            <w:sz w:val="24"/>
            <w:szCs w:val="24"/>
            <w:lang w:eastAsia="en-GB"/>
            <w14:ligatures w14:val="none"/>
          </w:rPr>
          <w:t>https://doi.org/10.1016/j.ejor.2018.06.021</w:t>
        </w:r>
      </w:hyperlink>
      <w:r w:rsidRPr="00211071">
        <w:rPr>
          <w:rFonts w:ascii="Times New Roman" w:eastAsia="Times New Roman" w:hAnsi="Times New Roman" w:cs="Times New Roman"/>
          <w:kern w:val="0"/>
          <w:sz w:val="24"/>
          <w:szCs w:val="24"/>
          <w:lang w:eastAsia="en-GB"/>
          <w14:ligatures w14:val="none"/>
        </w:rPr>
        <w:t>.</w:t>
      </w:r>
    </w:p>
    <w:p w14:paraId="791DF6CC" w14:textId="77777777" w:rsidR="00224EDF" w:rsidRP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p>
    <w:p w14:paraId="703D4E94" w14:textId="43909C27" w:rsidR="00224EDF" w:rsidRP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r w:rsidRPr="00211071">
        <w:rPr>
          <w:rFonts w:ascii="Times New Roman" w:eastAsia="Times New Roman" w:hAnsi="Times New Roman" w:cs="Times New Roman"/>
          <w:kern w:val="0"/>
          <w:sz w:val="24"/>
          <w:szCs w:val="24"/>
          <w:lang w:eastAsia="en-GB"/>
          <w14:ligatures w14:val="none"/>
        </w:rPr>
        <w:t xml:space="preserve">Whittington, R. </w:t>
      </w:r>
      <w:r w:rsidRPr="00211071">
        <w:rPr>
          <w:rFonts w:ascii="Times New Roman" w:eastAsia="Times New Roman" w:hAnsi="Times New Roman" w:cs="Times New Roman"/>
          <w:i/>
          <w:iCs/>
          <w:kern w:val="0"/>
          <w:sz w:val="24"/>
          <w:szCs w:val="24"/>
          <w:lang w:eastAsia="en-GB"/>
          <w14:ligatures w14:val="none"/>
        </w:rPr>
        <w:t>et al.</w:t>
      </w:r>
      <w:r w:rsidRPr="00211071">
        <w:rPr>
          <w:rFonts w:ascii="Times New Roman" w:eastAsia="Times New Roman" w:hAnsi="Times New Roman" w:cs="Times New Roman"/>
          <w:kern w:val="0"/>
          <w:sz w:val="24"/>
          <w:szCs w:val="24"/>
          <w:lang w:eastAsia="en-GB"/>
          <w14:ligatures w14:val="none"/>
        </w:rPr>
        <w:t xml:space="preserve"> (2020) </w:t>
      </w:r>
      <w:r w:rsidRPr="00211071">
        <w:rPr>
          <w:rFonts w:ascii="Times New Roman" w:eastAsia="Times New Roman" w:hAnsi="Times New Roman" w:cs="Times New Roman"/>
          <w:i/>
          <w:iCs/>
          <w:kern w:val="0"/>
          <w:sz w:val="24"/>
          <w:szCs w:val="24"/>
          <w:lang w:eastAsia="en-GB"/>
          <w14:ligatures w14:val="none"/>
        </w:rPr>
        <w:t>Exploring strategy : text and cases</w:t>
      </w:r>
      <w:r w:rsidRPr="00211071">
        <w:rPr>
          <w:rFonts w:ascii="Times New Roman" w:eastAsia="Times New Roman" w:hAnsi="Times New Roman" w:cs="Times New Roman"/>
          <w:kern w:val="0"/>
          <w:sz w:val="24"/>
          <w:szCs w:val="24"/>
          <w:lang w:eastAsia="en-GB"/>
          <w14:ligatures w14:val="none"/>
        </w:rPr>
        <w:t>. Twelfth edition. Harlow, England: Pearson Education Limited</w:t>
      </w:r>
    </w:p>
    <w:p w14:paraId="0BE42200" w14:textId="77777777" w:rsidR="00224EDF" w:rsidRP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p>
    <w:p w14:paraId="3ABF7703" w14:textId="77777777" w:rsidR="00224EDF" w:rsidRP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r w:rsidRPr="00074382">
        <w:rPr>
          <w:rFonts w:ascii="Times New Roman" w:eastAsia="Times New Roman" w:hAnsi="Times New Roman" w:cs="Times New Roman"/>
          <w:kern w:val="0"/>
          <w:sz w:val="24"/>
          <w:szCs w:val="24"/>
          <w:lang w:eastAsia="en-GB"/>
          <w14:ligatures w14:val="none"/>
        </w:rPr>
        <w:t xml:space="preserve">Moktadir, Md.A. </w:t>
      </w:r>
      <w:r w:rsidRPr="00074382">
        <w:rPr>
          <w:rFonts w:ascii="Times New Roman" w:eastAsia="Times New Roman" w:hAnsi="Times New Roman" w:cs="Times New Roman"/>
          <w:i/>
          <w:iCs/>
          <w:kern w:val="0"/>
          <w:sz w:val="24"/>
          <w:szCs w:val="24"/>
          <w:lang w:eastAsia="en-GB"/>
          <w14:ligatures w14:val="none"/>
        </w:rPr>
        <w:t>et al.</w:t>
      </w:r>
      <w:r w:rsidRPr="00074382">
        <w:rPr>
          <w:rFonts w:ascii="Times New Roman" w:eastAsia="Times New Roman" w:hAnsi="Times New Roman" w:cs="Times New Roman"/>
          <w:kern w:val="0"/>
          <w:sz w:val="24"/>
          <w:szCs w:val="24"/>
          <w:lang w:eastAsia="en-GB"/>
          <w14:ligatures w14:val="none"/>
        </w:rPr>
        <w:t xml:space="preserve"> (2020) ‘Critical success factors for a circular economy: Implications for business strategy and the environment’, </w:t>
      </w:r>
      <w:r w:rsidRPr="00074382">
        <w:rPr>
          <w:rFonts w:ascii="Times New Roman" w:eastAsia="Times New Roman" w:hAnsi="Times New Roman" w:cs="Times New Roman"/>
          <w:i/>
          <w:iCs/>
          <w:kern w:val="0"/>
          <w:sz w:val="24"/>
          <w:szCs w:val="24"/>
          <w:lang w:eastAsia="en-GB"/>
          <w14:ligatures w14:val="none"/>
        </w:rPr>
        <w:t>Business strategy and the environment</w:t>
      </w:r>
      <w:r w:rsidRPr="00074382">
        <w:rPr>
          <w:rFonts w:ascii="Times New Roman" w:eastAsia="Times New Roman" w:hAnsi="Times New Roman" w:cs="Times New Roman"/>
          <w:kern w:val="0"/>
          <w:sz w:val="24"/>
          <w:szCs w:val="24"/>
          <w:lang w:eastAsia="en-GB"/>
          <w14:ligatures w14:val="none"/>
        </w:rPr>
        <w:t xml:space="preserve">, 29(8), pp. 3611–3635. Available at: </w:t>
      </w:r>
      <w:hyperlink r:id="rId15" w:history="1">
        <w:r w:rsidRPr="00074382">
          <w:rPr>
            <w:rStyle w:val="Hyperlink"/>
            <w:rFonts w:ascii="Times New Roman" w:eastAsia="Times New Roman" w:hAnsi="Times New Roman" w:cs="Times New Roman"/>
            <w:kern w:val="0"/>
            <w:sz w:val="24"/>
            <w:szCs w:val="24"/>
            <w:lang w:eastAsia="en-GB"/>
            <w14:ligatures w14:val="none"/>
          </w:rPr>
          <w:t>https://doi.org/10.1002/bse.2600</w:t>
        </w:r>
      </w:hyperlink>
      <w:r w:rsidRPr="00074382">
        <w:rPr>
          <w:rFonts w:ascii="Times New Roman" w:eastAsia="Times New Roman" w:hAnsi="Times New Roman" w:cs="Times New Roman"/>
          <w:kern w:val="0"/>
          <w:sz w:val="24"/>
          <w:szCs w:val="24"/>
          <w:lang w:eastAsia="en-GB"/>
          <w14:ligatures w14:val="none"/>
        </w:rPr>
        <w:t>.</w:t>
      </w:r>
      <w:r w:rsidRPr="00224EDF">
        <w:rPr>
          <w:rFonts w:ascii="Times New Roman" w:eastAsia="Times New Roman" w:hAnsi="Times New Roman" w:cs="Times New Roman"/>
          <w:kern w:val="0"/>
          <w:sz w:val="24"/>
          <w:szCs w:val="24"/>
          <w:lang w:eastAsia="en-GB"/>
          <w14:ligatures w14:val="none"/>
        </w:rPr>
        <w:t xml:space="preserve"> </w:t>
      </w:r>
    </w:p>
    <w:p w14:paraId="37C39CAD" w14:textId="77777777" w:rsidR="00224EDF" w:rsidRP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p>
    <w:p w14:paraId="7DF0631E" w14:textId="77777777" w:rsidR="00224EDF" w:rsidRP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r w:rsidRPr="00EE6C19">
        <w:rPr>
          <w:rFonts w:ascii="Times New Roman" w:eastAsia="Times New Roman" w:hAnsi="Times New Roman" w:cs="Times New Roman"/>
          <w:kern w:val="0"/>
          <w:sz w:val="24"/>
          <w:szCs w:val="24"/>
          <w:lang w:eastAsia="en-GB"/>
          <w14:ligatures w14:val="none"/>
        </w:rPr>
        <w:t xml:space="preserve">Morrison, J. (2023) </w:t>
      </w:r>
      <w:r w:rsidRPr="00EE6C19">
        <w:rPr>
          <w:rFonts w:ascii="Times New Roman" w:eastAsia="Times New Roman" w:hAnsi="Times New Roman" w:cs="Times New Roman"/>
          <w:i/>
          <w:iCs/>
          <w:kern w:val="0"/>
          <w:sz w:val="24"/>
          <w:szCs w:val="24"/>
          <w:lang w:eastAsia="en-GB"/>
          <w14:ligatures w14:val="none"/>
        </w:rPr>
        <w:t>The global business environment : sustainability in the balance</w:t>
      </w:r>
      <w:r w:rsidRPr="00EE6C19">
        <w:rPr>
          <w:rFonts w:ascii="Times New Roman" w:eastAsia="Times New Roman" w:hAnsi="Times New Roman" w:cs="Times New Roman"/>
          <w:kern w:val="0"/>
          <w:sz w:val="24"/>
          <w:szCs w:val="24"/>
          <w:lang w:eastAsia="en-GB"/>
          <w14:ligatures w14:val="none"/>
        </w:rPr>
        <w:t>. Sixth edition. London ; Bloomsbury Academic.</w:t>
      </w:r>
      <w:r w:rsidRPr="00224EDF">
        <w:rPr>
          <w:rFonts w:ascii="Times New Roman" w:eastAsia="Times New Roman" w:hAnsi="Times New Roman" w:cs="Times New Roman"/>
          <w:kern w:val="0"/>
          <w:sz w:val="24"/>
          <w:szCs w:val="24"/>
          <w:lang w:eastAsia="en-GB"/>
          <w14:ligatures w14:val="none"/>
        </w:rPr>
        <w:t xml:space="preserve"> </w:t>
      </w:r>
    </w:p>
    <w:p w14:paraId="4E4913CB" w14:textId="77777777" w:rsidR="00224EDF" w:rsidRP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p>
    <w:p w14:paraId="27E95CC0" w14:textId="77777777" w:rsidR="00224EDF" w:rsidRPr="00EE6C19" w:rsidRDefault="00224EDF" w:rsidP="00224EDF">
      <w:pPr>
        <w:spacing w:after="0" w:line="240" w:lineRule="auto"/>
        <w:rPr>
          <w:rFonts w:ascii="Times New Roman" w:eastAsia="Times New Roman" w:hAnsi="Times New Roman" w:cs="Times New Roman"/>
          <w:kern w:val="0"/>
          <w:sz w:val="24"/>
          <w:szCs w:val="24"/>
          <w:lang w:eastAsia="en-GB"/>
          <w14:ligatures w14:val="none"/>
        </w:rPr>
      </w:pPr>
      <w:r w:rsidRPr="00EE6C19">
        <w:rPr>
          <w:rFonts w:ascii="Times New Roman" w:eastAsia="Times New Roman" w:hAnsi="Times New Roman" w:cs="Times New Roman"/>
          <w:kern w:val="0"/>
          <w:sz w:val="24"/>
          <w:szCs w:val="24"/>
          <w:lang w:eastAsia="en-GB"/>
          <w14:ligatures w14:val="none"/>
        </w:rPr>
        <w:t xml:space="preserve">Yang, M., Fu, M. and Zhang, Z. (2021) ‘The adoption of digital technologies in supply chains: Drivers, process and impact’, </w:t>
      </w:r>
      <w:r w:rsidRPr="00EE6C19">
        <w:rPr>
          <w:rFonts w:ascii="Times New Roman" w:eastAsia="Times New Roman" w:hAnsi="Times New Roman" w:cs="Times New Roman"/>
          <w:i/>
          <w:iCs/>
          <w:kern w:val="0"/>
          <w:sz w:val="24"/>
          <w:szCs w:val="24"/>
          <w:lang w:eastAsia="en-GB"/>
          <w14:ligatures w14:val="none"/>
        </w:rPr>
        <w:t>Technological forecasting &amp; social change</w:t>
      </w:r>
      <w:r w:rsidRPr="00EE6C19">
        <w:rPr>
          <w:rFonts w:ascii="Times New Roman" w:eastAsia="Times New Roman" w:hAnsi="Times New Roman" w:cs="Times New Roman"/>
          <w:kern w:val="0"/>
          <w:sz w:val="24"/>
          <w:szCs w:val="24"/>
          <w:lang w:eastAsia="en-GB"/>
          <w14:ligatures w14:val="none"/>
        </w:rPr>
        <w:t xml:space="preserve">, 169, pp. 120795-. Available at: </w:t>
      </w:r>
      <w:hyperlink r:id="rId16" w:history="1">
        <w:r w:rsidRPr="00EE6C19">
          <w:rPr>
            <w:rStyle w:val="Hyperlink"/>
            <w:rFonts w:ascii="Times New Roman" w:eastAsia="Times New Roman" w:hAnsi="Times New Roman" w:cs="Times New Roman"/>
            <w:kern w:val="0"/>
            <w:sz w:val="24"/>
            <w:szCs w:val="24"/>
            <w:lang w:eastAsia="en-GB"/>
            <w14:ligatures w14:val="none"/>
          </w:rPr>
          <w:t>https://doi.org/10.1016/j.techfore.2021.120795</w:t>
        </w:r>
      </w:hyperlink>
      <w:r w:rsidRPr="00EE6C19">
        <w:rPr>
          <w:rFonts w:ascii="Times New Roman" w:eastAsia="Times New Roman" w:hAnsi="Times New Roman" w:cs="Times New Roman"/>
          <w:kern w:val="0"/>
          <w:sz w:val="24"/>
          <w:szCs w:val="24"/>
          <w:lang w:eastAsia="en-GB"/>
          <w14:ligatures w14:val="none"/>
        </w:rPr>
        <w:t>.</w:t>
      </w:r>
      <w:r w:rsidRPr="00224EDF">
        <w:rPr>
          <w:rFonts w:ascii="Times New Roman" w:eastAsia="Times New Roman" w:hAnsi="Times New Roman" w:cs="Times New Roman"/>
          <w:kern w:val="0"/>
          <w:sz w:val="24"/>
          <w:szCs w:val="24"/>
          <w:lang w:eastAsia="en-GB"/>
          <w14:ligatures w14:val="none"/>
        </w:rPr>
        <w:t xml:space="preserve"> </w:t>
      </w:r>
    </w:p>
    <w:p w14:paraId="3D9C92C5" w14:textId="77777777" w:rsid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p>
    <w:p w14:paraId="3E4354B9" w14:textId="77777777" w:rsidR="00224EDF" w:rsidRDefault="00224EDF" w:rsidP="00224EDF">
      <w:pPr>
        <w:spacing w:after="0" w:line="240" w:lineRule="auto"/>
        <w:rPr>
          <w:rFonts w:ascii="Times New Roman" w:eastAsia="Times New Roman" w:hAnsi="Times New Roman" w:cs="Times New Roman"/>
          <w:kern w:val="0"/>
          <w:sz w:val="24"/>
          <w:szCs w:val="24"/>
          <w:lang w:eastAsia="en-GB"/>
          <w14:ligatures w14:val="none"/>
        </w:rPr>
      </w:pPr>
    </w:p>
    <w:p w14:paraId="75A02F4C" w14:textId="77777777" w:rsidR="00224EDF" w:rsidRPr="00FF4EB1" w:rsidRDefault="00224EDF" w:rsidP="00224EDF">
      <w:pPr>
        <w:spacing w:after="0" w:line="240" w:lineRule="auto"/>
        <w:rPr>
          <w:rFonts w:ascii="Times New Roman" w:eastAsia="Times New Roman" w:hAnsi="Times New Roman" w:cs="Times New Roman"/>
          <w:kern w:val="0"/>
          <w:sz w:val="24"/>
          <w:szCs w:val="24"/>
          <w:lang w:eastAsia="en-GB"/>
          <w14:ligatures w14:val="none"/>
        </w:rPr>
      </w:pPr>
    </w:p>
    <w:p w14:paraId="6901D863" w14:textId="77777777" w:rsidR="00224EDF" w:rsidRPr="00224EDF" w:rsidRDefault="00224EDF" w:rsidP="00224EDF">
      <w:pPr>
        <w:rPr>
          <w:lang w:eastAsia="en-GB"/>
        </w:rPr>
      </w:pPr>
    </w:p>
    <w:p w14:paraId="1833C439" w14:textId="77777777" w:rsidR="00224EDF" w:rsidRDefault="00224EDF" w:rsidP="00224EDF">
      <w:pPr>
        <w:rPr>
          <w:lang w:eastAsia="en-GB"/>
        </w:rPr>
      </w:pPr>
    </w:p>
    <w:p w14:paraId="10E49DE2" w14:textId="77777777" w:rsidR="00224EDF" w:rsidRPr="00224EDF" w:rsidRDefault="00224EDF" w:rsidP="00224EDF">
      <w:pPr>
        <w:rPr>
          <w:lang w:eastAsia="en-GB"/>
        </w:rPr>
      </w:pPr>
    </w:p>
    <w:p w14:paraId="0E973E4E" w14:textId="77777777" w:rsidR="00224EDF" w:rsidRDefault="00224EDF" w:rsidP="00224EDF">
      <w:pPr>
        <w:rPr>
          <w:lang w:eastAsia="en-GB"/>
        </w:rPr>
      </w:pPr>
    </w:p>
    <w:p w14:paraId="72B8314A" w14:textId="77777777" w:rsidR="00224EDF" w:rsidRPr="00224EDF" w:rsidRDefault="00224EDF" w:rsidP="00224EDF">
      <w:pPr>
        <w:rPr>
          <w:lang w:eastAsia="en-GB"/>
        </w:rPr>
      </w:pPr>
    </w:p>
    <w:p w14:paraId="63DACD9F" w14:textId="77777777" w:rsidR="00596C26" w:rsidRDefault="00596C26" w:rsidP="00E32F60">
      <w:pPr>
        <w:spacing w:line="360" w:lineRule="auto"/>
        <w:jc w:val="both"/>
        <w:rPr>
          <w:rFonts w:ascii="Times New Roman" w:eastAsia="Times New Roman" w:hAnsi="Times New Roman" w:cs="Times New Roman"/>
          <w:kern w:val="0"/>
          <w:sz w:val="24"/>
          <w:szCs w:val="24"/>
          <w:lang w:eastAsia="en-GB"/>
          <w14:ligatures w14:val="none"/>
        </w:rPr>
      </w:pPr>
    </w:p>
    <w:p w14:paraId="4CCFD901" w14:textId="77777777" w:rsidR="00596C26" w:rsidRPr="00A41247" w:rsidRDefault="00596C26" w:rsidP="00E32F60">
      <w:pPr>
        <w:spacing w:line="360" w:lineRule="auto"/>
        <w:jc w:val="both"/>
        <w:rPr>
          <w:rFonts w:ascii="Times New Roman" w:eastAsia="Times New Roman" w:hAnsi="Times New Roman" w:cs="Times New Roman"/>
          <w:kern w:val="0"/>
          <w:sz w:val="24"/>
          <w:szCs w:val="24"/>
          <w:lang w:eastAsia="en-GB"/>
          <w14:ligatures w14:val="none"/>
        </w:rPr>
      </w:pPr>
    </w:p>
    <w:p w14:paraId="1C3DA48C" w14:textId="7E18E4C1" w:rsidR="00A41247" w:rsidRPr="00A41247" w:rsidRDefault="00A41247" w:rsidP="00A41247">
      <w:pPr>
        <w:spacing w:line="360" w:lineRule="auto"/>
        <w:rPr>
          <w:rFonts w:ascii="Times New Roman" w:eastAsia="Times New Roman" w:hAnsi="Times New Roman" w:cs="Times New Roman"/>
          <w:kern w:val="0"/>
          <w:sz w:val="24"/>
          <w:szCs w:val="24"/>
          <w:lang w:eastAsia="en-GB"/>
          <w14:ligatures w14:val="none"/>
        </w:rPr>
      </w:pPr>
    </w:p>
    <w:p w14:paraId="5D840133" w14:textId="7DBE3AFA" w:rsidR="00597200" w:rsidRPr="00597200" w:rsidRDefault="00597200" w:rsidP="00A41247">
      <w:pPr>
        <w:spacing w:after="0" w:line="360" w:lineRule="auto"/>
        <w:jc w:val="both"/>
        <w:rPr>
          <w:rFonts w:ascii="Times New Roman" w:eastAsia="Times New Roman" w:hAnsi="Times New Roman" w:cs="Times New Roman"/>
          <w:kern w:val="0"/>
          <w:sz w:val="24"/>
          <w:szCs w:val="24"/>
          <w:lang w:eastAsia="en-GB"/>
          <w14:ligatures w14:val="none"/>
        </w:rPr>
      </w:pPr>
    </w:p>
    <w:p w14:paraId="53B38488" w14:textId="77777777" w:rsidR="00597200" w:rsidRDefault="00597200" w:rsidP="00597200">
      <w:pPr>
        <w:spacing w:line="360" w:lineRule="auto"/>
        <w:rPr>
          <w:rFonts w:ascii="Times New Roman" w:hAnsi="Times New Roman" w:cs="Times New Roman"/>
          <w:color w:val="000000"/>
          <w:sz w:val="24"/>
          <w:szCs w:val="24"/>
        </w:rPr>
      </w:pPr>
    </w:p>
    <w:p w14:paraId="45441FF3" w14:textId="77777777" w:rsidR="00597200" w:rsidRPr="00597200" w:rsidRDefault="00597200">
      <w:pPr>
        <w:rPr>
          <w:sz w:val="24"/>
          <w:szCs w:val="24"/>
        </w:rPr>
      </w:pPr>
    </w:p>
    <w:sectPr w:rsidR="00597200" w:rsidRPr="00597200" w:rsidSect="007A5065">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B219AA" w14:textId="77777777" w:rsidR="00526C9D" w:rsidRDefault="00526C9D" w:rsidP="007A5065">
      <w:pPr>
        <w:spacing w:after="0" w:line="240" w:lineRule="auto"/>
      </w:pPr>
      <w:r>
        <w:separator/>
      </w:r>
    </w:p>
  </w:endnote>
  <w:endnote w:type="continuationSeparator" w:id="0">
    <w:p w14:paraId="4E48C554" w14:textId="77777777" w:rsidR="00526C9D" w:rsidRDefault="00526C9D" w:rsidP="007A5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nos">
    <w:altName w:val="MS Gothic"/>
    <w:charset w:val="80"/>
    <w:family w:val="roman"/>
    <w:pitch w:val="variable"/>
  </w:font>
  <w:font w:name="Noto Sans CJK SC">
    <w:altName w:val="Yu Gothic"/>
    <w:charset w:val="80"/>
    <w:family w:val="auto"/>
    <w:pitch w:val="variable"/>
  </w:font>
  <w:font w:name="DejaVu Sans">
    <w:altName w:val="MS Gothic"/>
    <w:charset w:val="00"/>
    <w:family w:val="swiss"/>
    <w:pitch w:val="default"/>
    <w:sig w:usb0="00000000" w:usb1="00000000"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868D8" w14:textId="77777777" w:rsidR="007A5065" w:rsidRDefault="007A50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2570344"/>
      <w:docPartObj>
        <w:docPartGallery w:val="Page Numbers (Bottom of Page)"/>
        <w:docPartUnique/>
      </w:docPartObj>
    </w:sdtPr>
    <w:sdtEndPr>
      <w:rPr>
        <w:color w:val="7F7F7F" w:themeColor="background1" w:themeShade="7F"/>
        <w:spacing w:val="60"/>
      </w:rPr>
    </w:sdtEndPr>
    <w:sdtContent>
      <w:p w14:paraId="1F09DFFD" w14:textId="0E31CDF6" w:rsidR="007A5065" w:rsidRDefault="007A506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E4A325" w14:textId="77777777" w:rsidR="007A5065" w:rsidRDefault="007A50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E72882" w14:textId="77777777" w:rsidR="007A5065" w:rsidRDefault="007A50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517E53" w14:textId="77777777" w:rsidR="00526C9D" w:rsidRDefault="00526C9D" w:rsidP="007A5065">
      <w:pPr>
        <w:spacing w:after="0" w:line="240" w:lineRule="auto"/>
      </w:pPr>
      <w:r>
        <w:separator/>
      </w:r>
    </w:p>
  </w:footnote>
  <w:footnote w:type="continuationSeparator" w:id="0">
    <w:p w14:paraId="18A32C60" w14:textId="77777777" w:rsidR="00526C9D" w:rsidRDefault="00526C9D" w:rsidP="007A50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29198" w14:textId="77777777" w:rsidR="007A5065" w:rsidRDefault="007A50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2DC34" w14:textId="77777777" w:rsidR="007A5065" w:rsidRDefault="007A50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2A1B2C" w14:textId="77777777" w:rsidR="007A5065" w:rsidRDefault="007A50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E63864"/>
    <w:multiLevelType w:val="hybridMultilevel"/>
    <w:tmpl w:val="237CD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86433B"/>
    <w:multiLevelType w:val="hybridMultilevel"/>
    <w:tmpl w:val="E3EA3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3915511">
    <w:abstractNumId w:val="1"/>
  </w:num>
  <w:num w:numId="2" w16cid:durableId="1523860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065"/>
    <w:rsid w:val="001D75AF"/>
    <w:rsid w:val="00224EDF"/>
    <w:rsid w:val="0028566F"/>
    <w:rsid w:val="003148AE"/>
    <w:rsid w:val="00342A62"/>
    <w:rsid w:val="003663A4"/>
    <w:rsid w:val="00440FD6"/>
    <w:rsid w:val="00475A6B"/>
    <w:rsid w:val="00526C9D"/>
    <w:rsid w:val="005655F3"/>
    <w:rsid w:val="00596C26"/>
    <w:rsid w:val="00597200"/>
    <w:rsid w:val="006573C3"/>
    <w:rsid w:val="006A3000"/>
    <w:rsid w:val="007A5065"/>
    <w:rsid w:val="007B30DC"/>
    <w:rsid w:val="007E2153"/>
    <w:rsid w:val="00885A86"/>
    <w:rsid w:val="00925973"/>
    <w:rsid w:val="00A41247"/>
    <w:rsid w:val="00AF4115"/>
    <w:rsid w:val="00B254C8"/>
    <w:rsid w:val="00BC0D31"/>
    <w:rsid w:val="00E32F60"/>
    <w:rsid w:val="00E348D7"/>
    <w:rsid w:val="00FC5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C2399"/>
  <w15:chartTrackingRefBased/>
  <w15:docId w15:val="{F500C2D0-1334-4118-8077-9848BA018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0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50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50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50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50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50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0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0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0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0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50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50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50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50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50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0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0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065"/>
    <w:rPr>
      <w:rFonts w:eastAsiaTheme="majorEastAsia" w:cstheme="majorBidi"/>
      <w:color w:val="272727" w:themeColor="text1" w:themeTint="D8"/>
    </w:rPr>
  </w:style>
  <w:style w:type="paragraph" w:styleId="Title">
    <w:name w:val="Title"/>
    <w:basedOn w:val="Normal"/>
    <w:next w:val="Normal"/>
    <w:link w:val="TitleChar"/>
    <w:uiPriority w:val="10"/>
    <w:qFormat/>
    <w:rsid w:val="007A50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0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0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0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065"/>
    <w:pPr>
      <w:spacing w:before="160"/>
      <w:jc w:val="center"/>
    </w:pPr>
    <w:rPr>
      <w:i/>
      <w:iCs/>
      <w:color w:val="404040" w:themeColor="text1" w:themeTint="BF"/>
    </w:rPr>
  </w:style>
  <w:style w:type="character" w:customStyle="1" w:styleId="QuoteChar">
    <w:name w:val="Quote Char"/>
    <w:basedOn w:val="DefaultParagraphFont"/>
    <w:link w:val="Quote"/>
    <w:uiPriority w:val="29"/>
    <w:rsid w:val="007A5065"/>
    <w:rPr>
      <w:i/>
      <w:iCs/>
      <w:color w:val="404040" w:themeColor="text1" w:themeTint="BF"/>
    </w:rPr>
  </w:style>
  <w:style w:type="paragraph" w:styleId="ListParagraph">
    <w:name w:val="List Paragraph"/>
    <w:basedOn w:val="Normal"/>
    <w:uiPriority w:val="34"/>
    <w:qFormat/>
    <w:rsid w:val="007A5065"/>
    <w:pPr>
      <w:ind w:left="720"/>
      <w:contextualSpacing/>
    </w:pPr>
  </w:style>
  <w:style w:type="character" w:styleId="IntenseEmphasis">
    <w:name w:val="Intense Emphasis"/>
    <w:basedOn w:val="DefaultParagraphFont"/>
    <w:uiPriority w:val="21"/>
    <w:qFormat/>
    <w:rsid w:val="007A5065"/>
    <w:rPr>
      <w:i/>
      <w:iCs/>
      <w:color w:val="0F4761" w:themeColor="accent1" w:themeShade="BF"/>
    </w:rPr>
  </w:style>
  <w:style w:type="paragraph" w:styleId="IntenseQuote">
    <w:name w:val="Intense Quote"/>
    <w:basedOn w:val="Normal"/>
    <w:next w:val="Normal"/>
    <w:link w:val="IntenseQuoteChar"/>
    <w:uiPriority w:val="30"/>
    <w:qFormat/>
    <w:rsid w:val="007A50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5065"/>
    <w:rPr>
      <w:i/>
      <w:iCs/>
      <w:color w:val="0F4761" w:themeColor="accent1" w:themeShade="BF"/>
    </w:rPr>
  </w:style>
  <w:style w:type="character" w:styleId="IntenseReference">
    <w:name w:val="Intense Reference"/>
    <w:basedOn w:val="DefaultParagraphFont"/>
    <w:uiPriority w:val="32"/>
    <w:qFormat/>
    <w:rsid w:val="007A5065"/>
    <w:rPr>
      <w:b/>
      <w:bCs/>
      <w:smallCaps/>
      <w:color w:val="0F4761" w:themeColor="accent1" w:themeShade="BF"/>
      <w:spacing w:val="5"/>
    </w:rPr>
  </w:style>
  <w:style w:type="paragraph" w:styleId="NoSpacing">
    <w:name w:val="No Spacing"/>
    <w:link w:val="NoSpacingChar"/>
    <w:uiPriority w:val="1"/>
    <w:qFormat/>
    <w:rsid w:val="007A506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A5065"/>
    <w:rPr>
      <w:rFonts w:eastAsiaTheme="minorEastAsia"/>
      <w:kern w:val="0"/>
      <w:lang w:val="en-US"/>
      <w14:ligatures w14:val="none"/>
    </w:rPr>
  </w:style>
  <w:style w:type="paragraph" w:styleId="Header">
    <w:name w:val="header"/>
    <w:basedOn w:val="Normal"/>
    <w:link w:val="HeaderChar"/>
    <w:uiPriority w:val="99"/>
    <w:unhideWhenUsed/>
    <w:rsid w:val="007A5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065"/>
  </w:style>
  <w:style w:type="paragraph" w:styleId="Footer">
    <w:name w:val="footer"/>
    <w:basedOn w:val="Normal"/>
    <w:link w:val="FooterChar"/>
    <w:uiPriority w:val="99"/>
    <w:unhideWhenUsed/>
    <w:rsid w:val="007A5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065"/>
  </w:style>
  <w:style w:type="paragraph" w:styleId="BodyText">
    <w:name w:val="Body Text"/>
    <w:basedOn w:val="Normal"/>
    <w:link w:val="BodyTextChar"/>
    <w:rsid w:val="00597200"/>
    <w:pPr>
      <w:widowControl w:val="0"/>
      <w:suppressAutoHyphens/>
      <w:spacing w:after="120" w:line="240" w:lineRule="auto"/>
    </w:pPr>
    <w:rPr>
      <w:rFonts w:ascii="Tinos" w:eastAsia="Noto Sans CJK SC" w:hAnsi="Tinos" w:cs="DejaVu Sans"/>
      <w:kern w:val="1"/>
      <w:sz w:val="24"/>
      <w:szCs w:val="24"/>
      <w:lang w:eastAsia="hi-IN" w:bidi="hi-IN"/>
      <w14:ligatures w14:val="none"/>
    </w:rPr>
  </w:style>
  <w:style w:type="character" w:customStyle="1" w:styleId="BodyTextChar">
    <w:name w:val="Body Text Char"/>
    <w:basedOn w:val="DefaultParagraphFont"/>
    <w:link w:val="BodyText"/>
    <w:rsid w:val="00597200"/>
    <w:rPr>
      <w:rFonts w:ascii="Tinos" w:eastAsia="Noto Sans CJK SC" w:hAnsi="Tinos" w:cs="DejaVu Sans"/>
      <w:kern w:val="1"/>
      <w:sz w:val="24"/>
      <w:szCs w:val="24"/>
      <w:lang w:eastAsia="hi-IN" w:bidi="hi-IN"/>
      <w14:ligatures w14:val="none"/>
    </w:rPr>
  </w:style>
  <w:style w:type="character" w:styleId="Hyperlink">
    <w:name w:val="Hyperlink"/>
    <w:basedOn w:val="DefaultParagraphFont"/>
    <w:uiPriority w:val="99"/>
    <w:unhideWhenUsed/>
    <w:rsid w:val="00224EDF"/>
    <w:rPr>
      <w:color w:val="0000FF"/>
      <w:u w:val="single"/>
    </w:rPr>
  </w:style>
  <w:style w:type="character" w:styleId="UnresolvedMention">
    <w:name w:val="Unresolved Mention"/>
    <w:basedOn w:val="DefaultParagraphFont"/>
    <w:uiPriority w:val="99"/>
    <w:semiHidden/>
    <w:unhideWhenUsed/>
    <w:rsid w:val="00224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265878">
      <w:bodyDiv w:val="1"/>
      <w:marLeft w:val="0"/>
      <w:marRight w:val="0"/>
      <w:marTop w:val="0"/>
      <w:marBottom w:val="0"/>
      <w:divBdr>
        <w:top w:val="none" w:sz="0" w:space="0" w:color="auto"/>
        <w:left w:val="none" w:sz="0" w:space="0" w:color="auto"/>
        <w:bottom w:val="none" w:sz="0" w:space="0" w:color="auto"/>
        <w:right w:val="none" w:sz="0" w:space="0" w:color="auto"/>
      </w:divBdr>
    </w:div>
    <w:div w:id="457719114">
      <w:bodyDiv w:val="1"/>
      <w:marLeft w:val="0"/>
      <w:marRight w:val="0"/>
      <w:marTop w:val="0"/>
      <w:marBottom w:val="0"/>
      <w:divBdr>
        <w:top w:val="none" w:sz="0" w:space="0" w:color="auto"/>
        <w:left w:val="none" w:sz="0" w:space="0" w:color="auto"/>
        <w:bottom w:val="none" w:sz="0" w:space="0" w:color="auto"/>
        <w:right w:val="none" w:sz="0" w:space="0" w:color="auto"/>
      </w:divBdr>
    </w:div>
    <w:div w:id="528572375">
      <w:bodyDiv w:val="1"/>
      <w:marLeft w:val="0"/>
      <w:marRight w:val="0"/>
      <w:marTop w:val="0"/>
      <w:marBottom w:val="0"/>
      <w:divBdr>
        <w:top w:val="none" w:sz="0" w:space="0" w:color="auto"/>
        <w:left w:val="none" w:sz="0" w:space="0" w:color="auto"/>
        <w:bottom w:val="none" w:sz="0" w:space="0" w:color="auto"/>
        <w:right w:val="none" w:sz="0" w:space="0" w:color="auto"/>
      </w:divBdr>
    </w:div>
    <w:div w:id="591086069">
      <w:bodyDiv w:val="1"/>
      <w:marLeft w:val="0"/>
      <w:marRight w:val="0"/>
      <w:marTop w:val="0"/>
      <w:marBottom w:val="0"/>
      <w:divBdr>
        <w:top w:val="none" w:sz="0" w:space="0" w:color="auto"/>
        <w:left w:val="none" w:sz="0" w:space="0" w:color="auto"/>
        <w:bottom w:val="none" w:sz="0" w:space="0" w:color="auto"/>
        <w:right w:val="none" w:sz="0" w:space="0" w:color="auto"/>
      </w:divBdr>
    </w:div>
    <w:div w:id="1010063188">
      <w:bodyDiv w:val="1"/>
      <w:marLeft w:val="0"/>
      <w:marRight w:val="0"/>
      <w:marTop w:val="0"/>
      <w:marBottom w:val="0"/>
      <w:divBdr>
        <w:top w:val="none" w:sz="0" w:space="0" w:color="auto"/>
        <w:left w:val="none" w:sz="0" w:space="0" w:color="auto"/>
        <w:bottom w:val="none" w:sz="0" w:space="0" w:color="auto"/>
        <w:right w:val="none" w:sz="0" w:space="0" w:color="auto"/>
      </w:divBdr>
    </w:div>
    <w:div w:id="1395422401">
      <w:bodyDiv w:val="1"/>
      <w:marLeft w:val="0"/>
      <w:marRight w:val="0"/>
      <w:marTop w:val="0"/>
      <w:marBottom w:val="0"/>
      <w:divBdr>
        <w:top w:val="none" w:sz="0" w:space="0" w:color="auto"/>
        <w:left w:val="none" w:sz="0" w:space="0" w:color="auto"/>
        <w:bottom w:val="none" w:sz="0" w:space="0" w:color="auto"/>
        <w:right w:val="none" w:sz="0" w:space="0" w:color="auto"/>
      </w:divBdr>
    </w:div>
    <w:div w:id="1449541024">
      <w:bodyDiv w:val="1"/>
      <w:marLeft w:val="0"/>
      <w:marRight w:val="0"/>
      <w:marTop w:val="0"/>
      <w:marBottom w:val="0"/>
      <w:divBdr>
        <w:top w:val="none" w:sz="0" w:space="0" w:color="auto"/>
        <w:left w:val="none" w:sz="0" w:space="0" w:color="auto"/>
        <w:bottom w:val="none" w:sz="0" w:space="0" w:color="auto"/>
        <w:right w:val="none" w:sz="0" w:space="0" w:color="auto"/>
      </w:divBdr>
    </w:div>
    <w:div w:id="2028944283">
      <w:bodyDiv w:val="1"/>
      <w:marLeft w:val="0"/>
      <w:marRight w:val="0"/>
      <w:marTop w:val="0"/>
      <w:marBottom w:val="0"/>
      <w:divBdr>
        <w:top w:val="none" w:sz="0" w:space="0" w:color="auto"/>
        <w:left w:val="none" w:sz="0" w:space="0" w:color="auto"/>
        <w:bottom w:val="none" w:sz="0" w:space="0" w:color="auto"/>
        <w:right w:val="none" w:sz="0" w:space="0" w:color="auto"/>
      </w:divBdr>
    </w:div>
    <w:div w:id="2079012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11/joms.12684"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doi.org/10.1016/j.ibusrev.2019.101640"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techfore.2021.12079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techfore.2021.120766"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doi.org/10.1002/bse.2600"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ejor.2018.06.021"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635B68F3C6A4DAC8AF03903BE9042E0"/>
        <w:category>
          <w:name w:val="General"/>
          <w:gallery w:val="placeholder"/>
        </w:category>
        <w:types>
          <w:type w:val="bbPlcHdr"/>
        </w:types>
        <w:behaviors>
          <w:behavior w:val="content"/>
        </w:behaviors>
        <w:guid w:val="{E6034ED5-4A9E-4415-9488-4B5B3EB82BE6}"/>
      </w:docPartPr>
      <w:docPartBody>
        <w:p w:rsidR="003E2699" w:rsidRDefault="00AB155A" w:rsidP="00AB155A">
          <w:pPr>
            <w:pStyle w:val="F635B68F3C6A4DAC8AF03903BE9042E0"/>
          </w:pPr>
          <w:r>
            <w:rPr>
              <w:rFonts w:asciiTheme="majorHAnsi" w:eastAsiaTheme="majorEastAsia" w:hAnsiTheme="majorHAnsi" w:cstheme="majorBidi"/>
              <w:caps/>
              <w:color w:val="156082" w:themeColor="accent1"/>
              <w:sz w:val="80"/>
              <w:szCs w:val="80"/>
            </w:rPr>
            <w:t>[Document title]</w:t>
          </w:r>
        </w:p>
      </w:docPartBody>
    </w:docPart>
    <w:docPart>
      <w:docPartPr>
        <w:name w:val="419FDC6BBCC441758F80AB3410D2B282"/>
        <w:category>
          <w:name w:val="General"/>
          <w:gallery w:val="placeholder"/>
        </w:category>
        <w:types>
          <w:type w:val="bbPlcHdr"/>
        </w:types>
        <w:behaviors>
          <w:behavior w:val="content"/>
        </w:behaviors>
        <w:guid w:val="{FBF4D95C-D062-4A75-BC83-35E9468EBC4F}"/>
      </w:docPartPr>
      <w:docPartBody>
        <w:p w:rsidR="003E2699" w:rsidRDefault="00AB155A" w:rsidP="00AB155A">
          <w:pPr>
            <w:pStyle w:val="419FDC6BBCC441758F80AB3410D2B28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nos">
    <w:altName w:val="MS Gothic"/>
    <w:charset w:val="80"/>
    <w:family w:val="roman"/>
    <w:pitch w:val="variable"/>
  </w:font>
  <w:font w:name="Noto Sans CJK SC">
    <w:altName w:val="Yu Gothic"/>
    <w:charset w:val="80"/>
    <w:family w:val="auto"/>
    <w:pitch w:val="variable"/>
  </w:font>
  <w:font w:name="DejaVu Sans">
    <w:altName w:val="MS Gothic"/>
    <w:charset w:val="00"/>
    <w:family w:val="swiss"/>
    <w:pitch w:val="default"/>
    <w:sig w:usb0="00000000" w:usb1="00000000" w:usb2="0A24602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55A"/>
    <w:rsid w:val="00141316"/>
    <w:rsid w:val="001715C9"/>
    <w:rsid w:val="003663A4"/>
    <w:rsid w:val="003E2699"/>
    <w:rsid w:val="00AB155A"/>
    <w:rsid w:val="00E4703C"/>
    <w:rsid w:val="00FC5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35B68F3C6A4DAC8AF03903BE9042E0">
    <w:name w:val="F635B68F3C6A4DAC8AF03903BE9042E0"/>
    <w:rsid w:val="00AB155A"/>
  </w:style>
  <w:style w:type="paragraph" w:customStyle="1" w:styleId="419FDC6BBCC441758F80AB3410D2B282">
    <w:name w:val="419FDC6BBCC441758F80AB3410D2B282"/>
    <w:rsid w:val="00AB15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2024-08-24T00:00:00</PublishDate>
  <Abstract/>
  <CompanyAddress>LECTURER: ZAINAB ATTA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1890</Words>
  <Characters>10775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global business invironment</vt:lpstr>
    </vt:vector>
  </TitlesOfParts>
  <Company>MARIA VIORICA COVETE id:2128947</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Environment</dc:title>
  <dc:subject>LCBB4010_LON</dc:subject>
  <dc:creator>Maria</dc:creator>
  <cp:keywords/>
  <dc:description/>
  <cp:lastModifiedBy>Maria Covete</cp:lastModifiedBy>
  <cp:revision>19</cp:revision>
  <dcterms:created xsi:type="dcterms:W3CDTF">2024-08-21T05:52:00Z</dcterms:created>
  <dcterms:modified xsi:type="dcterms:W3CDTF">2024-08-21T07:55:00Z</dcterms:modified>
</cp:coreProperties>
</file>