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2F248" w14:textId="03EC881D" w:rsidR="00524387" w:rsidRPr="000663DB" w:rsidRDefault="000663DB" w:rsidP="000663DB">
      <w:pPr>
        <w:pStyle w:val="Heading1"/>
        <w:rPr>
          <w:sz w:val="56"/>
          <w:szCs w:val="56"/>
        </w:rPr>
      </w:pPr>
      <w:r w:rsidRPr="000663DB">
        <w:rPr>
          <w:sz w:val="56"/>
          <w:szCs w:val="56"/>
        </w:rPr>
        <w:t>A Critical Comparison of two JSTOR Papers</w:t>
      </w:r>
    </w:p>
    <w:p w14:paraId="42E8F054" w14:textId="4D33B4F3" w:rsidR="00524387" w:rsidRDefault="000663DB" w:rsidP="000663DB">
      <w:pPr>
        <w:pStyle w:val="Heading2"/>
      </w:pPr>
      <w:r>
        <w:t>Introduction</w:t>
      </w:r>
    </w:p>
    <w:p w14:paraId="4B9999E7" w14:textId="6FAD948B" w:rsidR="00524387" w:rsidRDefault="000663DB" w:rsidP="000663DB">
      <w:r>
        <w:t xml:space="preserve">This essay </w:t>
      </w:r>
      <w:proofErr w:type="gramStart"/>
      <w:r>
        <w:t>compares and contrasts</w:t>
      </w:r>
      <w:proofErr w:type="gramEnd"/>
      <w:r>
        <w:t xml:space="preserve"> two JSTOR papers. The two papers chosen are Mark </w:t>
      </w:r>
      <w:proofErr w:type="spellStart"/>
      <w:r>
        <w:t>Graubard</w:t>
      </w:r>
      <w:proofErr w:type="spellEnd"/>
      <w:r>
        <w:t>, ‘Astrology’s Demise and its Bearing on the Decline and Death of Beliefs’, Osiris, vol. 13, 1958, pp.210-261 and Raymond Head, ‘Holst – Astrology and Modernism in ‘The Planets’, Tempo, New Series, no187 (Dec.1993), pp.15-22.</w:t>
      </w:r>
    </w:p>
    <w:p w14:paraId="7149AD01" w14:textId="1642BFB6" w:rsidR="00524387" w:rsidRDefault="00E669F1" w:rsidP="000663DB">
      <w:r>
        <w:t xml:space="preserve">The </w:t>
      </w:r>
      <w:r w:rsidR="009E4D71">
        <w:t>essay</w:t>
      </w:r>
      <w:r>
        <w:t xml:space="preserve"> will </w:t>
      </w:r>
      <w:r w:rsidR="009E4D71">
        <w:t>aim</w:t>
      </w:r>
      <w:r>
        <w:t xml:space="preserve"> to compare </w:t>
      </w:r>
      <w:r w:rsidR="0017628E">
        <w:t xml:space="preserve">the </w:t>
      </w:r>
      <w:r w:rsidR="00BB2A7A">
        <w:t xml:space="preserve">background and </w:t>
      </w:r>
      <w:r w:rsidR="00D86C27">
        <w:t>approach of each author</w:t>
      </w:r>
      <w:r>
        <w:t>, discuss the</w:t>
      </w:r>
      <w:r w:rsidR="009E4D71">
        <w:t>ir</w:t>
      </w:r>
      <w:r>
        <w:t xml:space="preserve"> </w:t>
      </w:r>
      <w:r w:rsidR="0017628E">
        <w:t xml:space="preserve">view of the </w:t>
      </w:r>
      <w:r w:rsidR="00486127">
        <w:t>protagonist’s</w:t>
      </w:r>
      <w:r w:rsidR="0017628E">
        <w:t xml:space="preserve"> philosophy and </w:t>
      </w:r>
      <w:r>
        <w:t xml:space="preserve">cultural context at the time </w:t>
      </w:r>
      <w:r w:rsidR="0017628E">
        <w:t>under discussion</w:t>
      </w:r>
      <w:r>
        <w:t xml:space="preserve">, and seek to </w:t>
      </w:r>
      <w:r w:rsidR="0017628E">
        <w:t>conclude by establishing</w:t>
      </w:r>
      <w:r w:rsidR="00D86C27">
        <w:t xml:space="preserve"> what they have </w:t>
      </w:r>
      <w:r w:rsidR="004F01E7" w:rsidRPr="004F01E7">
        <w:t>demonstrated</w:t>
      </w:r>
      <w:r w:rsidR="00D86C27">
        <w:t>.</w:t>
      </w:r>
    </w:p>
    <w:p w14:paraId="327F0303" w14:textId="287B4E07" w:rsidR="00524387" w:rsidRDefault="000663DB" w:rsidP="000663DB">
      <w:pPr>
        <w:pStyle w:val="Heading2"/>
      </w:pPr>
      <w:r>
        <w:t>Context</w:t>
      </w:r>
    </w:p>
    <w:p w14:paraId="10036BE2" w14:textId="66C8CCA8" w:rsidR="00D86C27" w:rsidRDefault="007A35F1" w:rsidP="000663DB">
      <w:r>
        <w:t xml:space="preserve">Mark </w:t>
      </w:r>
      <w:proofErr w:type="spellStart"/>
      <w:r>
        <w:t>Graubard</w:t>
      </w:r>
      <w:proofErr w:type="spellEnd"/>
      <w:r w:rsidR="004C191C">
        <w:t xml:space="preserve"> was born in Poland around 1904. He obtained an MA and PHD in Zoology </w:t>
      </w:r>
      <w:r w:rsidR="00BB2A7A">
        <w:t>and</w:t>
      </w:r>
      <w:r w:rsidR="00E669F1">
        <w:t xml:space="preserve"> became</w:t>
      </w:r>
      <w:r w:rsidR="004C191C">
        <w:t xml:space="preserve"> a teacher of natural sciences. He served as Professor Emeritus and Chairman of Natural Science</w:t>
      </w:r>
      <w:r w:rsidR="00C833CA">
        <w:t>s</w:t>
      </w:r>
      <w:r w:rsidR="004C191C">
        <w:t xml:space="preserve"> at the University of Minnesota</w:t>
      </w:r>
      <w:r w:rsidR="004250E3">
        <w:rPr>
          <w:rStyle w:val="FootnoteReference"/>
        </w:rPr>
        <w:footnoteReference w:id="1"/>
      </w:r>
      <w:r w:rsidR="004C191C">
        <w:t>.</w:t>
      </w:r>
      <w:r w:rsidR="00945768">
        <w:t xml:space="preserve"> </w:t>
      </w:r>
      <w:r w:rsidR="004C191C">
        <w:t xml:space="preserve">His early works center on natural </w:t>
      </w:r>
      <w:r w:rsidR="00250BB1">
        <w:t xml:space="preserve">and life </w:t>
      </w:r>
      <w:r w:rsidR="004C191C">
        <w:t>sciences</w:t>
      </w:r>
      <w:r w:rsidR="00250BB1">
        <w:rPr>
          <w:rStyle w:val="FootnoteReference"/>
        </w:rPr>
        <w:footnoteReference w:id="2"/>
      </w:r>
      <w:r w:rsidR="004C191C">
        <w:t xml:space="preserve"> but he </w:t>
      </w:r>
      <w:r w:rsidR="00486127">
        <w:t>later</w:t>
      </w:r>
      <w:r w:rsidR="004C191C">
        <w:t xml:space="preserve"> </w:t>
      </w:r>
      <w:r w:rsidR="004250E3">
        <w:t>became</w:t>
      </w:r>
      <w:r w:rsidR="004C191C">
        <w:t xml:space="preserve"> know</w:t>
      </w:r>
      <w:r w:rsidR="004250E3">
        <w:t>n</w:t>
      </w:r>
      <w:r w:rsidR="004C191C">
        <w:t xml:space="preserve"> as a</w:t>
      </w:r>
      <w:r w:rsidR="00486127">
        <w:t xml:space="preserve">n </w:t>
      </w:r>
      <w:r w:rsidR="004C191C">
        <w:t xml:space="preserve">authority on ancient science, alchemy and </w:t>
      </w:r>
      <w:r w:rsidR="004C191C">
        <w:lastRenderedPageBreak/>
        <w:t>witchcraft</w:t>
      </w:r>
      <w:r w:rsidR="00250BB1">
        <w:rPr>
          <w:rStyle w:val="FootnoteReference"/>
        </w:rPr>
        <w:footnoteReference w:id="3"/>
      </w:r>
      <w:r w:rsidR="004C191C">
        <w:t xml:space="preserve">, </w:t>
      </w:r>
      <w:r w:rsidR="00C833CA">
        <w:t>indicating</w:t>
      </w:r>
      <w:r w:rsidR="004C191C">
        <w:t xml:space="preserve"> </w:t>
      </w:r>
      <w:r w:rsidR="00C833CA">
        <w:t xml:space="preserve">philosophical </w:t>
      </w:r>
      <w:r w:rsidR="004250E3">
        <w:t>evolution.</w:t>
      </w:r>
      <w:r w:rsidR="00945768">
        <w:t xml:space="preserve"> </w:t>
      </w:r>
      <w:r w:rsidR="004250E3">
        <w:t xml:space="preserve">He wrote ‘Astrology’s Demise’ </w:t>
      </w:r>
      <w:r w:rsidR="00A22467">
        <w:t>in 1958</w:t>
      </w:r>
      <w:r w:rsidR="009E4D71">
        <w:t xml:space="preserve"> </w:t>
      </w:r>
      <w:r w:rsidR="00A22467">
        <w:t>i</w:t>
      </w:r>
      <w:r w:rsidR="00D86C27">
        <w:t>n respons</w:t>
      </w:r>
      <w:r w:rsidR="00A22467">
        <w:t>e</w:t>
      </w:r>
      <w:r w:rsidR="00D86C27">
        <w:t xml:space="preserve"> to Lynn Thorndike</w:t>
      </w:r>
      <w:r w:rsidR="009E4D71">
        <w:t>’s</w:t>
      </w:r>
      <w:r w:rsidR="009E4D71" w:rsidRPr="009E4D71">
        <w:t xml:space="preserve"> </w:t>
      </w:r>
      <w:r w:rsidR="009E4D71">
        <w:t>paper</w:t>
      </w:r>
      <w:r w:rsidR="00D86C27">
        <w:rPr>
          <w:rStyle w:val="FootnoteReference"/>
        </w:rPr>
        <w:footnoteReference w:id="4"/>
      </w:r>
      <w:r w:rsidR="00D86C27">
        <w:t xml:space="preserve"> to </w:t>
      </w:r>
      <w:r w:rsidR="009E4D71">
        <w:t>explore</w:t>
      </w:r>
      <w:r w:rsidR="00D86C27">
        <w:t xml:space="preserve"> his assertion many historians of science overlooked the cosmological role of astrology as a universal law of nature</w:t>
      </w:r>
      <w:r w:rsidR="00450A46">
        <w:t>,</w:t>
      </w:r>
      <w:r w:rsidR="00D86C27">
        <w:t xml:space="preserve"> thereby failing to see its competitive analogy to the law of gravitation.</w:t>
      </w:r>
      <w:r w:rsidR="005A4FB5">
        <w:t xml:space="preserve"> </w:t>
      </w:r>
    </w:p>
    <w:p w14:paraId="4F1EEA86" w14:textId="3C0758A2" w:rsidR="005B61E0" w:rsidRDefault="007A35F1" w:rsidP="005B61E0">
      <w:r>
        <w:t>Raymond Head</w:t>
      </w:r>
      <w:r w:rsidR="004250E3">
        <w:t xml:space="preserve"> was born in the UK in 1948. </w:t>
      </w:r>
      <w:r w:rsidR="00BD6A22">
        <w:t>He is a composer, writer and teacher of voice and piano. Following disillusionment with music, he undertook an MA investigating Indian influences on western culture, a longtime interest</w:t>
      </w:r>
      <w:r w:rsidR="00BD6A22">
        <w:rPr>
          <w:rStyle w:val="FootnoteReference"/>
        </w:rPr>
        <w:footnoteReference w:id="5"/>
      </w:r>
      <w:r w:rsidR="00BD6A22">
        <w:t>. He is Vice</w:t>
      </w:r>
      <w:r w:rsidR="00C833CA">
        <w:t>-</w:t>
      </w:r>
      <w:r w:rsidR="00BD6A22">
        <w:t xml:space="preserve">President of the Holst Society </w:t>
      </w:r>
      <w:r w:rsidR="00C833CA">
        <w:t>and</w:t>
      </w:r>
      <w:r w:rsidR="00BD6A22">
        <w:t xml:space="preserve"> wrote ‘Holst – ‘The Planets’ in 1993. </w:t>
      </w:r>
      <w:r w:rsidR="00C833CA">
        <w:t>E</w:t>
      </w:r>
      <w:r w:rsidR="00BD6A22">
        <w:t>arlier works relating to Holst explored Indian influence in his music</w:t>
      </w:r>
      <w:r w:rsidR="00BD6A22">
        <w:rPr>
          <w:rStyle w:val="FootnoteReference"/>
        </w:rPr>
        <w:footnoteReference w:id="6"/>
      </w:r>
      <w:r w:rsidR="00BD6A22">
        <w:t>.</w:t>
      </w:r>
      <w:r w:rsidR="00250BB1">
        <w:t xml:space="preserve"> </w:t>
      </w:r>
      <w:r w:rsidR="005B61E0">
        <w:t xml:space="preserve">In </w:t>
      </w:r>
      <w:r w:rsidR="00C833CA">
        <w:t>his paper</w:t>
      </w:r>
      <w:r w:rsidR="005B61E0">
        <w:t xml:space="preserve">, Head makes the case that Holst’s belief in astrology was the basis for </w:t>
      </w:r>
      <w:r w:rsidR="005A4FB5">
        <w:t>t</w:t>
      </w:r>
      <w:r w:rsidR="005B61E0">
        <w:t xml:space="preserve">his seminal </w:t>
      </w:r>
      <w:r w:rsidR="005A4FB5">
        <w:t>work,</w:t>
      </w:r>
      <w:r w:rsidR="005B61E0">
        <w:t xml:space="preserve"> </w:t>
      </w:r>
      <w:r w:rsidR="009E4D71">
        <w:t>which</w:t>
      </w:r>
      <w:r w:rsidR="005B61E0">
        <w:t xml:space="preserve"> has not been acknowledged</w:t>
      </w:r>
      <w:r w:rsidR="00450A46">
        <w:t xml:space="preserve"> </w:t>
      </w:r>
      <w:r w:rsidR="005B61E0">
        <w:t xml:space="preserve">due to Holst’s choice to conceal this due to </w:t>
      </w:r>
      <w:r w:rsidR="005A4FB5">
        <w:t>stigma surrounding the practice</w:t>
      </w:r>
      <w:r w:rsidR="005A4FB5">
        <w:rPr>
          <w:rStyle w:val="FootnoteReference"/>
        </w:rPr>
        <w:footnoteReference w:id="7"/>
      </w:r>
      <w:r w:rsidR="005B61E0">
        <w:t>.</w:t>
      </w:r>
    </w:p>
    <w:p w14:paraId="2826285B" w14:textId="77777777" w:rsidR="00450A46" w:rsidRDefault="00450A46" w:rsidP="00D503DB"/>
    <w:p w14:paraId="79F9FCFE" w14:textId="1EA2CA29" w:rsidR="00CA61A5" w:rsidRDefault="00D03826" w:rsidP="00D503DB">
      <w:proofErr w:type="spellStart"/>
      <w:r>
        <w:t>Graubard</w:t>
      </w:r>
      <w:r w:rsidR="00C833CA">
        <w:t>’s</w:t>
      </w:r>
      <w:proofErr w:type="spellEnd"/>
      <w:r w:rsidR="00C833CA">
        <w:t xml:space="preserve"> paper</w:t>
      </w:r>
      <w:r>
        <w:t xml:space="preserve"> </w:t>
      </w:r>
      <w:r w:rsidR="00C833CA">
        <w:t>aims to</w:t>
      </w:r>
      <w:r>
        <w:t xml:space="preserve"> explor</w:t>
      </w:r>
      <w:r w:rsidR="00C833CA">
        <w:t>e</w:t>
      </w:r>
      <w:r>
        <w:t xml:space="preserve"> </w:t>
      </w:r>
      <w:r w:rsidR="00230BB4">
        <w:t xml:space="preserve">the mechanism of weakening belief patterns </w:t>
      </w:r>
      <w:r w:rsidR="00BB2A7A">
        <w:t xml:space="preserve">between 1500 and 1675 </w:t>
      </w:r>
      <w:r w:rsidR="00230BB4">
        <w:t>le</w:t>
      </w:r>
      <w:r w:rsidR="00C833CA">
        <w:t>a</w:t>
      </w:r>
      <w:r w:rsidR="00230BB4">
        <w:t>d</w:t>
      </w:r>
      <w:r w:rsidR="00C833CA">
        <w:t>ing</w:t>
      </w:r>
      <w:r w:rsidR="00230BB4">
        <w:t xml:space="preserve"> to, what he calls, the demise of astrology. In </w:t>
      </w:r>
      <w:r w:rsidR="00CC2069">
        <w:t>his</w:t>
      </w:r>
      <w:r w:rsidR="00230BB4">
        <w:t xml:space="preserve"> introduction, </w:t>
      </w:r>
      <w:r w:rsidR="00CC2069">
        <w:t>he</w:t>
      </w:r>
      <w:r w:rsidR="00230BB4">
        <w:t xml:space="preserve"> questions</w:t>
      </w:r>
      <w:r w:rsidR="00A22467">
        <w:t xml:space="preserve"> how </w:t>
      </w:r>
      <w:r w:rsidR="00230BB4">
        <w:t xml:space="preserve">Newtonian science </w:t>
      </w:r>
      <w:r w:rsidR="00C25153">
        <w:t>left</w:t>
      </w:r>
      <w:r w:rsidR="00230BB4">
        <w:t xml:space="preserve"> religious beliefs </w:t>
      </w:r>
      <w:r w:rsidR="00C25153">
        <w:t>unaffected</w:t>
      </w:r>
      <w:r w:rsidR="00C25153">
        <w:t xml:space="preserve">, </w:t>
      </w:r>
      <w:r w:rsidR="00230BB4">
        <w:t>while succeeding in the destruction of astrological beliefs</w:t>
      </w:r>
      <w:r w:rsidR="00BB2A7A">
        <w:t xml:space="preserve">, </w:t>
      </w:r>
      <w:r w:rsidR="00C25153">
        <w:t xml:space="preserve">queries which </w:t>
      </w:r>
      <w:r w:rsidR="00230BB4">
        <w:t>route was taken to destroy belief</w:t>
      </w:r>
      <w:r w:rsidR="00C25153">
        <w:t xml:space="preserve">s </w:t>
      </w:r>
      <w:r w:rsidR="00C25153">
        <w:t>Cicero</w:t>
      </w:r>
      <w:r w:rsidR="00C25153">
        <w:t xml:space="preserve">’s </w:t>
      </w:r>
      <w:r w:rsidR="00230BB4">
        <w:t>skepticism couldn’t in sixteen centuries</w:t>
      </w:r>
      <w:r w:rsidR="00C25153">
        <w:t xml:space="preserve"> and enquires </w:t>
      </w:r>
      <w:r w:rsidR="00230BB4">
        <w:t>about sister beliefs, such as magic and witchcraft</w:t>
      </w:r>
      <w:r w:rsidR="00C25153">
        <w:t>.</w:t>
      </w:r>
      <w:r w:rsidR="00CC2069">
        <w:t xml:space="preserve"> </w:t>
      </w:r>
      <w:proofErr w:type="spellStart"/>
      <w:r w:rsidR="00D503DB">
        <w:t>Graubard’s</w:t>
      </w:r>
      <w:proofErr w:type="spellEnd"/>
      <w:r w:rsidR="00D503DB">
        <w:t xml:space="preserve"> paper </w:t>
      </w:r>
      <w:r w:rsidR="0017696A">
        <w:t>makes</w:t>
      </w:r>
      <w:r w:rsidR="00712BD4">
        <w:t xml:space="preserve"> distinction between astronomy and astrology</w:t>
      </w:r>
      <w:r w:rsidR="0017696A">
        <w:t xml:space="preserve"> </w:t>
      </w:r>
      <w:r w:rsidR="00BB2A7A">
        <w:t>in</w:t>
      </w:r>
      <w:r w:rsidR="0017630D">
        <w:t xml:space="preserve"> his first evidence</w:t>
      </w:r>
      <w:r w:rsidR="00860902">
        <w:rPr>
          <w:rStyle w:val="FootnoteReference"/>
        </w:rPr>
        <w:footnoteReference w:id="8"/>
      </w:r>
      <w:r w:rsidR="009C655A">
        <w:t>,</w:t>
      </w:r>
      <w:r w:rsidR="0017630D">
        <w:t xml:space="preserve"> which </w:t>
      </w:r>
      <w:r w:rsidR="00860902">
        <w:t>lists</w:t>
      </w:r>
      <w:r w:rsidR="0017630D">
        <w:t xml:space="preserve"> astronomers as to whether they also work in astrology. </w:t>
      </w:r>
      <w:proofErr w:type="spellStart"/>
      <w:r w:rsidR="0017630D">
        <w:t>Graubard</w:t>
      </w:r>
      <w:proofErr w:type="spellEnd"/>
      <w:r w:rsidR="0017630D">
        <w:t xml:space="preserve"> presents data to show decline in </w:t>
      </w:r>
      <w:r w:rsidR="009C655A">
        <w:t xml:space="preserve">published </w:t>
      </w:r>
      <w:r w:rsidR="0017630D">
        <w:t xml:space="preserve">astrology </w:t>
      </w:r>
      <w:r w:rsidR="0017630D">
        <w:t xml:space="preserve">books to support his </w:t>
      </w:r>
      <w:r w:rsidR="00450A46">
        <w:t>claim</w:t>
      </w:r>
      <w:r w:rsidR="00860902">
        <w:t xml:space="preserve"> </w:t>
      </w:r>
      <w:r w:rsidR="009C655A">
        <w:t xml:space="preserve">of </w:t>
      </w:r>
      <w:r w:rsidR="00860902">
        <w:t>astrolog</w:t>
      </w:r>
      <w:r w:rsidR="009C655A">
        <w:t>ical</w:t>
      </w:r>
      <w:r w:rsidR="00860902">
        <w:t xml:space="preserve"> demise by the mid</w:t>
      </w:r>
      <w:r w:rsidR="009C655A">
        <w:t>-</w:t>
      </w:r>
      <w:r w:rsidR="00860902">
        <w:t>17</w:t>
      </w:r>
      <w:r w:rsidR="00860902" w:rsidRPr="002112A2">
        <w:rPr>
          <w:vertAlign w:val="superscript"/>
        </w:rPr>
        <w:t>th</w:t>
      </w:r>
      <w:r w:rsidR="00860902">
        <w:t xml:space="preserve"> century</w:t>
      </w:r>
      <w:r w:rsidR="0017630D">
        <w:t xml:space="preserve">, although concedes this relates </w:t>
      </w:r>
      <w:r w:rsidR="008C1713">
        <w:t xml:space="preserve">only </w:t>
      </w:r>
      <w:r w:rsidR="0017630D">
        <w:t>to works by authoritative astronomers and not held beliefs.</w:t>
      </w:r>
      <w:r w:rsidR="00860902">
        <w:t xml:space="preserve"> </w:t>
      </w:r>
      <w:proofErr w:type="spellStart"/>
      <w:r w:rsidR="00860902">
        <w:t>Graubard</w:t>
      </w:r>
      <w:proofErr w:type="spellEnd"/>
      <w:r w:rsidR="00860902">
        <w:t xml:space="preserve"> contradicts his evidence by </w:t>
      </w:r>
      <w:r w:rsidR="006175B8">
        <w:t>referring</w:t>
      </w:r>
      <w:r w:rsidR="00860902">
        <w:t xml:space="preserve"> to Thorndike’s History of Magic and Experimental Sciences</w:t>
      </w:r>
      <w:r w:rsidR="004E5624">
        <w:rPr>
          <w:rStyle w:val="FootnoteReference"/>
        </w:rPr>
        <w:footnoteReference w:id="9"/>
      </w:r>
      <w:r w:rsidR="009C655A">
        <w:t>,</w:t>
      </w:r>
      <w:r w:rsidR="00860902">
        <w:t xml:space="preserve"> which deal</w:t>
      </w:r>
      <w:r w:rsidR="00450A46">
        <w:t>s</w:t>
      </w:r>
      <w:r w:rsidR="00860902">
        <w:t xml:space="preserve"> with astrological writings </w:t>
      </w:r>
      <w:r w:rsidR="00450A46">
        <w:t>by</w:t>
      </w:r>
      <w:r w:rsidR="006175B8">
        <w:t xml:space="preserve"> teachers, physicians and humanistic writers. He </w:t>
      </w:r>
      <w:r w:rsidR="008C1713">
        <w:t>confirms</w:t>
      </w:r>
      <w:r w:rsidR="006175B8">
        <w:t xml:space="preserve"> the proliferation of astrological books published in 1650 and 1681 were not included in Sherburne’s catalogue. This conflicted paragraph does less to assert </w:t>
      </w:r>
      <w:proofErr w:type="spellStart"/>
      <w:r w:rsidR="006175B8">
        <w:t>Graubard’s</w:t>
      </w:r>
      <w:proofErr w:type="spellEnd"/>
      <w:r w:rsidR="006175B8">
        <w:t xml:space="preserve"> </w:t>
      </w:r>
      <w:r w:rsidR="00CA61A5">
        <w:t xml:space="preserve">demise and more to </w:t>
      </w:r>
      <w:r w:rsidR="008C1713">
        <w:t xml:space="preserve">indicate </w:t>
      </w:r>
      <w:r w:rsidR="00CA61A5">
        <w:t>divergence of astrology from astronomy.</w:t>
      </w:r>
      <w:r w:rsidR="004F01E7">
        <w:t xml:space="preserve"> </w:t>
      </w:r>
      <w:proofErr w:type="spellStart"/>
      <w:r w:rsidR="00CA61A5">
        <w:t>Graubard</w:t>
      </w:r>
      <w:proofErr w:type="spellEnd"/>
      <w:r w:rsidR="00CA61A5">
        <w:t xml:space="preserve"> </w:t>
      </w:r>
      <w:r w:rsidR="009C655A">
        <w:t>continues by</w:t>
      </w:r>
      <w:r w:rsidR="00CA61A5">
        <w:t xml:space="preserve"> </w:t>
      </w:r>
      <w:r w:rsidR="00CA61A5">
        <w:lastRenderedPageBreak/>
        <w:t>consider</w:t>
      </w:r>
      <w:r w:rsidR="009C655A">
        <w:t>ing</w:t>
      </w:r>
      <w:r w:rsidR="00CA61A5">
        <w:t xml:space="preserve"> thought patterns of esteemed astronomers in the face of new ideas. </w:t>
      </w:r>
      <w:proofErr w:type="spellStart"/>
      <w:r w:rsidR="00CA61A5">
        <w:t>Graubard</w:t>
      </w:r>
      <w:proofErr w:type="spellEnd"/>
      <w:r w:rsidR="00CA61A5">
        <w:t xml:space="preserve"> publishes long extracts of letters </w:t>
      </w:r>
      <w:r w:rsidR="00E317C5">
        <w:t xml:space="preserve">by </w:t>
      </w:r>
      <w:r w:rsidR="00450A46">
        <w:t>Galileo</w:t>
      </w:r>
      <w:r w:rsidR="00E317C5">
        <w:t xml:space="preserve"> </w:t>
      </w:r>
      <w:r w:rsidR="00450A46">
        <w:t xml:space="preserve">Galilei (1564-1642) </w:t>
      </w:r>
      <w:r w:rsidR="00E317C5">
        <w:t xml:space="preserve">and Johannes Kepler </w:t>
      </w:r>
      <w:r w:rsidR="00450A46">
        <w:t xml:space="preserve">(1571-1630) </w:t>
      </w:r>
      <w:r w:rsidR="00CA61A5">
        <w:t xml:space="preserve">to demonstrate such thinking. These lengthy inclusions, while giving insight into the </w:t>
      </w:r>
      <w:r w:rsidR="008C1713">
        <w:t>protagonist’s</w:t>
      </w:r>
      <w:r w:rsidR="00CA61A5">
        <w:t xml:space="preserve"> mind, affect the clarity of writing and serve </w:t>
      </w:r>
      <w:r w:rsidR="008C1713">
        <w:t xml:space="preserve">only </w:t>
      </w:r>
      <w:r w:rsidR="00CA61A5">
        <w:t xml:space="preserve">to </w:t>
      </w:r>
      <w:r w:rsidR="008C1713">
        <w:t>highlight</w:t>
      </w:r>
      <w:r w:rsidR="00CA61A5">
        <w:t xml:space="preserve"> the degree of contradiction and cultural instability taking place within that profession due to recent discoveries</w:t>
      </w:r>
      <w:r w:rsidR="004E5624">
        <w:t xml:space="preserve"> rather than provide explanation</w:t>
      </w:r>
      <w:r w:rsidR="00CA61A5">
        <w:t>.</w:t>
      </w:r>
    </w:p>
    <w:p w14:paraId="52085F02" w14:textId="704EC4CD" w:rsidR="005A4FB5" w:rsidRDefault="005A4FB5" w:rsidP="005A4FB5"/>
    <w:p w14:paraId="34C2699E" w14:textId="0F2E0B0E" w:rsidR="002A2E0B" w:rsidRPr="002A2E0B" w:rsidRDefault="009C655A" w:rsidP="002A2E0B">
      <w:pPr>
        <w:rPr>
          <w:b/>
          <w:bCs/>
        </w:rPr>
      </w:pPr>
      <w:r>
        <w:t>Head</w:t>
      </w:r>
      <w:r>
        <w:t>’s</w:t>
      </w:r>
      <w:r>
        <w:t xml:space="preserve"> </w:t>
      </w:r>
      <w:r w:rsidR="005A4FB5">
        <w:t xml:space="preserve">paper </w:t>
      </w:r>
      <w:r w:rsidR="00450A46" w:rsidRPr="00450A46">
        <w:t>proposes</w:t>
      </w:r>
      <w:r w:rsidR="00450A46">
        <w:t xml:space="preserve"> to </w:t>
      </w:r>
      <w:r w:rsidR="005A4FB5">
        <w:t>discuss Holst’s Theosophical upbringing</w:t>
      </w:r>
      <w:r w:rsidR="00F934B0">
        <w:t xml:space="preserve"> and friendships to demonstrate astrology was </w:t>
      </w:r>
      <w:r w:rsidR="00450A46">
        <w:t>the</w:t>
      </w:r>
      <w:r w:rsidR="00F934B0">
        <w:t xml:space="preserve"> fundamental basis for the creation of ‘The Planets’.</w:t>
      </w:r>
      <w:r w:rsidR="00CC2069">
        <w:t xml:space="preserve"> </w:t>
      </w:r>
      <w:r w:rsidR="005A4FB5">
        <w:t>In contrast</w:t>
      </w:r>
      <w:r w:rsidR="00F934B0">
        <w:t xml:space="preserve"> to </w:t>
      </w:r>
      <w:proofErr w:type="spellStart"/>
      <w:r w:rsidR="00F934B0">
        <w:t>Graubard</w:t>
      </w:r>
      <w:proofErr w:type="spellEnd"/>
      <w:r w:rsidR="005A4FB5">
        <w:t xml:space="preserve">, Head’s paper </w:t>
      </w:r>
      <w:r w:rsidR="00F934B0">
        <w:t xml:space="preserve">only </w:t>
      </w:r>
      <w:r w:rsidR="00450A46">
        <w:t>references</w:t>
      </w:r>
      <w:r w:rsidR="005A4FB5">
        <w:t xml:space="preserve"> astrology in its modern form </w:t>
      </w:r>
      <w:r w:rsidR="00450A46">
        <w:t>citing</w:t>
      </w:r>
      <w:r w:rsidR="00F934B0">
        <w:t xml:space="preserve"> </w:t>
      </w:r>
      <w:r w:rsidR="005A4FB5">
        <w:t>planetary archetypes, natal horoscopes and forecasting. He presents book and magazine extracts and letters to illustrate the background to his claims</w:t>
      </w:r>
      <w:r w:rsidR="00450A46">
        <w:t xml:space="preserve"> but </w:t>
      </w:r>
      <w:r w:rsidR="00F934B0">
        <w:t>prefers to give his own insight into Holst’s mindset, referring</w:t>
      </w:r>
      <w:r w:rsidR="00F934B0" w:rsidRPr="00F934B0">
        <w:t xml:space="preserve"> to letters as footnotes</w:t>
      </w:r>
      <w:r w:rsidR="00F934B0">
        <w:t xml:space="preserve"> only. </w:t>
      </w:r>
      <w:r w:rsidR="008C1713">
        <w:t>T</w:t>
      </w:r>
      <w:r w:rsidR="00F934B0">
        <w:t>his restricts the ability to hear directly from Holst on matters under discussion.</w:t>
      </w:r>
      <w:r w:rsidR="00EB448B">
        <w:t xml:space="preserve"> Holst mentions Buddhism and belief in Karma, reincarnation and Dharma as foundation</w:t>
      </w:r>
      <w:r w:rsidR="008C1713">
        <w:t>s</w:t>
      </w:r>
      <w:r w:rsidR="00EB448B">
        <w:t xml:space="preserve"> of Theosophy. </w:t>
      </w:r>
      <w:r w:rsidR="008C1713">
        <w:t>T</w:t>
      </w:r>
      <w:r w:rsidR="003E368E">
        <w:t xml:space="preserve">he author is familiar with </w:t>
      </w:r>
      <w:r w:rsidR="008C1713">
        <w:t>these topics through</w:t>
      </w:r>
      <w:r w:rsidR="003E368E">
        <w:t xml:space="preserve"> his </w:t>
      </w:r>
      <w:r w:rsidR="00BF423F">
        <w:t xml:space="preserve">own interest in Indian culture. </w:t>
      </w:r>
      <w:r w:rsidR="00821298">
        <w:t>Throughout history, astrology has influenced many aspects of Western culture, including music.</w:t>
      </w:r>
      <w:r w:rsidR="00821298">
        <w:rPr>
          <w:rStyle w:val="FootnoteReference"/>
        </w:rPr>
        <w:footnoteReference w:id="10"/>
      </w:r>
      <w:r w:rsidR="00821298">
        <w:t xml:space="preserve"> </w:t>
      </w:r>
      <w:r w:rsidR="00CC2069">
        <w:t>Although Head is a musician, and there is subject relevance, he does</w:t>
      </w:r>
      <w:r w:rsidR="008C1713">
        <w:t>n’t</w:t>
      </w:r>
      <w:r w:rsidR="00CC2069">
        <w:t xml:space="preserve"> mention classical theories around planetary music, such as the Platonic explanation of planetary movements generating sounds</w:t>
      </w:r>
      <w:r w:rsidR="00CC2069">
        <w:rPr>
          <w:rStyle w:val="FootnoteReference"/>
        </w:rPr>
        <w:footnoteReference w:id="11"/>
      </w:r>
      <w:r w:rsidR="00CC2069">
        <w:t>, Claudius Ptolemy’s attribution of specific pitches to planets, or Kepler’s model of planetary scales</w:t>
      </w:r>
      <w:r w:rsidR="00CC2069">
        <w:rPr>
          <w:rStyle w:val="FootnoteReference"/>
        </w:rPr>
        <w:footnoteReference w:id="12"/>
      </w:r>
      <w:r w:rsidR="00CC2069">
        <w:t xml:space="preserve"> as a</w:t>
      </w:r>
      <w:r w:rsidR="000347DC">
        <w:t>ny</w:t>
      </w:r>
      <w:r w:rsidR="00CC2069">
        <w:t xml:space="preserve"> precursor to Holst’s work.</w:t>
      </w:r>
    </w:p>
    <w:p w14:paraId="7AE99A5C" w14:textId="2FE9D3B0" w:rsidR="003E368E" w:rsidRPr="000347DC" w:rsidRDefault="0055782B" w:rsidP="00357E9D">
      <w:r>
        <w:t>Both authors write from respective area</w:t>
      </w:r>
      <w:r w:rsidR="009C655A">
        <w:t>s</w:t>
      </w:r>
      <w:r>
        <w:t xml:space="preserve"> of knowledge and interest</w:t>
      </w:r>
      <w:r w:rsidR="00CC2069">
        <w:t xml:space="preserve">. </w:t>
      </w:r>
      <w:proofErr w:type="spellStart"/>
      <w:r w:rsidR="00CC2069">
        <w:t>Graubard</w:t>
      </w:r>
      <w:proofErr w:type="spellEnd"/>
      <w:r w:rsidR="00CC2069">
        <w:t xml:space="preserve"> is a post-Newtonian scientist and </w:t>
      </w:r>
      <w:r w:rsidR="00CC2069">
        <w:t>Head a</w:t>
      </w:r>
      <w:r w:rsidR="008C1713">
        <w:t>n</w:t>
      </w:r>
      <w:r w:rsidR="00CC2069">
        <w:t xml:space="preserve"> </w:t>
      </w:r>
      <w:r w:rsidR="002A2E0B">
        <w:t>Indian</w:t>
      </w:r>
      <w:r w:rsidR="008C1713">
        <w:t>-</w:t>
      </w:r>
      <w:r w:rsidR="002A2E0B">
        <w:t xml:space="preserve">influenced </w:t>
      </w:r>
      <w:r w:rsidR="002A2E0B">
        <w:t>musician. W</w:t>
      </w:r>
      <w:r w:rsidR="00CC2069">
        <w:t>hile Head seems supportive</w:t>
      </w:r>
      <w:r w:rsidR="002A2E0B">
        <w:t xml:space="preserve"> of the use of astrology</w:t>
      </w:r>
      <w:r w:rsidR="00CC2069">
        <w:t xml:space="preserve">, </w:t>
      </w:r>
      <w:proofErr w:type="spellStart"/>
      <w:r w:rsidR="00CC2069">
        <w:t>Graubard</w:t>
      </w:r>
      <w:proofErr w:type="spellEnd"/>
      <w:r w:rsidR="009C655A">
        <w:t xml:space="preserve"> shows</w:t>
      </w:r>
      <w:r w:rsidR="00CC2069">
        <w:t xml:space="preserve"> an air of contempt towards it</w:t>
      </w:r>
      <w:r>
        <w:t>.</w:t>
      </w:r>
    </w:p>
    <w:p w14:paraId="49567787" w14:textId="77777777" w:rsidR="003E368E" w:rsidRDefault="003E368E" w:rsidP="00357E9D">
      <w:pPr>
        <w:rPr>
          <w:b/>
          <w:bCs/>
        </w:rPr>
      </w:pPr>
    </w:p>
    <w:p w14:paraId="03D56255" w14:textId="1AF97D06" w:rsidR="005B61E0" w:rsidRPr="005B61E0" w:rsidRDefault="000347DC" w:rsidP="000347DC">
      <w:pPr>
        <w:pStyle w:val="Heading2"/>
      </w:pPr>
      <w:r>
        <w:lastRenderedPageBreak/>
        <w:t>Culture</w:t>
      </w:r>
    </w:p>
    <w:p w14:paraId="339E1DC2" w14:textId="0580579D" w:rsidR="005B61E0" w:rsidRPr="005B61E0" w:rsidRDefault="005B61E0" w:rsidP="005B61E0">
      <w:r>
        <w:t>Culture can be loosely summarized as the complex of values, customs, beliefs and practices which constitute the way of life of a specific group.</w:t>
      </w:r>
      <w:r>
        <w:rPr>
          <w:rStyle w:val="FootnoteReference"/>
        </w:rPr>
        <w:footnoteReference w:id="13"/>
      </w:r>
      <w:r w:rsidR="0055782B">
        <w:t xml:space="preserve"> </w:t>
      </w:r>
      <w:r>
        <w:t>Culture might also be described as ‘the lived practices’ or ‘practical ideologies which enable a society, group or class to experience, define, interpret and make sense of its conditions of existence’.</w:t>
      </w:r>
      <w:r>
        <w:rPr>
          <w:rStyle w:val="FootnoteReference"/>
        </w:rPr>
        <w:footnoteReference w:id="14"/>
      </w:r>
    </w:p>
    <w:p w14:paraId="513DE49B" w14:textId="177D632B" w:rsidR="000347DC" w:rsidRDefault="0055782B" w:rsidP="00D2272D">
      <w:proofErr w:type="spellStart"/>
      <w:r>
        <w:t>Graubard’s</w:t>
      </w:r>
      <w:proofErr w:type="spellEnd"/>
      <w:r>
        <w:t xml:space="preserve"> paper</w:t>
      </w:r>
      <w:r w:rsidR="003C0724">
        <w:t xml:space="preserve"> </w:t>
      </w:r>
      <w:r>
        <w:t>describ</w:t>
      </w:r>
      <w:r w:rsidR="003C0724">
        <w:t>es</w:t>
      </w:r>
      <w:r>
        <w:t xml:space="preserve"> the culture of astronomers</w:t>
      </w:r>
      <w:r w:rsidR="002A2E0B">
        <w:t xml:space="preserve"> with </w:t>
      </w:r>
      <w:r w:rsidR="002A2E0B" w:rsidRPr="002A2E0B">
        <w:t>engrained</w:t>
      </w:r>
      <w:r w:rsidR="002A2E0B">
        <w:t xml:space="preserve"> astrological beliefs. </w:t>
      </w:r>
      <w:r>
        <w:t xml:space="preserve">In comparison, Head </w:t>
      </w:r>
      <w:r w:rsidR="008C1713" w:rsidRPr="008C1713">
        <w:t>depicts</w:t>
      </w:r>
      <w:r w:rsidR="008C1713">
        <w:t xml:space="preserve"> </w:t>
      </w:r>
      <w:r>
        <w:t xml:space="preserve">an emerging culture, which captured the </w:t>
      </w:r>
      <w:r w:rsidR="003C0724">
        <w:t>imagination</w:t>
      </w:r>
      <w:r>
        <w:t xml:space="preserve"> of </w:t>
      </w:r>
      <w:r w:rsidR="008C1713">
        <w:t>creatives</w:t>
      </w:r>
      <w:r w:rsidR="003C0724">
        <w:t>.</w:t>
      </w:r>
      <w:r w:rsidR="000347DC">
        <w:t xml:space="preserve"> </w:t>
      </w:r>
      <w:r w:rsidR="005B61E0">
        <w:t xml:space="preserve">Both </w:t>
      </w:r>
      <w:proofErr w:type="spellStart"/>
      <w:r w:rsidR="005B61E0">
        <w:t>Graubard</w:t>
      </w:r>
      <w:proofErr w:type="spellEnd"/>
      <w:r w:rsidR="005B61E0">
        <w:t xml:space="preserve"> and Head </w:t>
      </w:r>
      <w:r w:rsidR="009C655A">
        <w:t>highlight</w:t>
      </w:r>
      <w:r w:rsidR="005B61E0">
        <w:t xml:space="preserve"> cultural conflict with </w:t>
      </w:r>
      <w:r w:rsidR="00D2272D">
        <w:t>personal</w:t>
      </w:r>
      <w:r w:rsidR="005B61E0">
        <w:t xml:space="preserve"> beliefs. </w:t>
      </w:r>
    </w:p>
    <w:p w14:paraId="54BF791C" w14:textId="18523CAF" w:rsidR="004F01E7" w:rsidRPr="00D2272D" w:rsidRDefault="005B61E0" w:rsidP="00D2272D">
      <w:proofErr w:type="spellStart"/>
      <w:r>
        <w:t>Graubard</w:t>
      </w:r>
      <w:proofErr w:type="spellEnd"/>
      <w:r>
        <w:t xml:space="preserve"> queries why earlier skepticism had not </w:t>
      </w:r>
      <w:r w:rsidR="000347DC">
        <w:t>seen astrology’s</w:t>
      </w:r>
      <w:r>
        <w:t xml:space="preserve"> demise before </w:t>
      </w:r>
      <w:r w:rsidR="003C0724">
        <w:t xml:space="preserve">the </w:t>
      </w:r>
      <w:r>
        <w:t xml:space="preserve">1700’s. </w:t>
      </w:r>
      <w:r w:rsidR="00973FC1">
        <w:t xml:space="preserve">Lynn Thorndike proposed that before this time, astrology was the ‘universal law of nature’. </w:t>
      </w:r>
      <w:r w:rsidR="00D2272D">
        <w:t>Willis and Curry say,</w:t>
      </w:r>
    </w:p>
    <w:p w14:paraId="5A89B394" w14:textId="7B509EBC" w:rsidR="00973FC1" w:rsidRPr="00973FC1" w:rsidRDefault="00973FC1" w:rsidP="00973FC1">
      <w:pPr>
        <w:pStyle w:val="Quote"/>
        <w:ind w:right="1383"/>
        <w:rPr>
          <w:sz w:val="21"/>
          <w:szCs w:val="21"/>
          <w:lang w:val="en-GB"/>
        </w:rPr>
      </w:pPr>
      <w:r w:rsidRPr="005B1616">
        <w:rPr>
          <w:sz w:val="21"/>
          <w:szCs w:val="21"/>
          <w:lang w:val="en-GB"/>
        </w:rPr>
        <w:t xml:space="preserve">This fundamental shift in how the universe was viewed contradicted much of what had previously been taught as astrological fact. </w:t>
      </w:r>
      <w:r w:rsidR="00D2272D">
        <w:rPr>
          <w:sz w:val="21"/>
          <w:szCs w:val="21"/>
          <w:lang w:val="en-GB"/>
        </w:rPr>
        <w:t>It</w:t>
      </w:r>
      <w:r w:rsidRPr="005B1616">
        <w:rPr>
          <w:sz w:val="21"/>
          <w:szCs w:val="21"/>
          <w:lang w:val="en-GB"/>
        </w:rPr>
        <w:t xml:space="preserve"> was astrology’s inability to adapt to these circumstances that was the most important reason for its decline</w:t>
      </w:r>
      <w:r w:rsidRPr="00973FC1">
        <w:rPr>
          <w:rStyle w:val="FootnoteReference"/>
          <w:iCs w:val="0"/>
          <w:sz w:val="21"/>
          <w:szCs w:val="21"/>
          <w:lang w:val="en-GB"/>
        </w:rPr>
        <w:footnoteReference w:id="15"/>
      </w:r>
      <w:r w:rsidRPr="005B1616">
        <w:rPr>
          <w:sz w:val="21"/>
          <w:szCs w:val="21"/>
          <w:lang w:val="en-GB"/>
        </w:rPr>
        <w:t xml:space="preserve"> </w:t>
      </w:r>
    </w:p>
    <w:p w14:paraId="593253B8" w14:textId="4F7BA55A" w:rsidR="005B61E0" w:rsidRDefault="005B61E0" w:rsidP="005B61E0">
      <w:r>
        <w:t xml:space="preserve">Individuals live in a state of antagonism, driven by opposing interests; but these divisions can be reconciled. For this to happen, however, the state must have been at work, soothing </w:t>
      </w:r>
      <w:proofErr w:type="spellStart"/>
      <w:r>
        <w:t>rancour</w:t>
      </w:r>
      <w:proofErr w:type="spellEnd"/>
      <w:r>
        <w:t xml:space="preserve"> and refining sensibilities; and this process is what we know as culture.</w:t>
      </w:r>
      <w:r>
        <w:rPr>
          <w:rStyle w:val="FootnoteReference"/>
        </w:rPr>
        <w:footnoteReference w:id="16"/>
      </w:r>
      <w:r w:rsidR="00973FC1">
        <w:t xml:space="preserve"> If this theory is applied to the culture of astronomers in the 1700’s, it seems, in the absence of such reconciliation,</w:t>
      </w:r>
      <w:r>
        <w:t xml:space="preserve"> the </w:t>
      </w:r>
      <w:r w:rsidR="00973FC1">
        <w:t>‘</w:t>
      </w:r>
      <w:r>
        <w:t>new theoretical, technological and empirical standards dealt a final blow to astrology and caused the decline of occult sciences in general</w:t>
      </w:r>
      <w:r w:rsidR="00973FC1">
        <w:t>’</w:t>
      </w:r>
      <w:r>
        <w:t>.</w:t>
      </w:r>
      <w:r>
        <w:rPr>
          <w:rStyle w:val="FootnoteReference"/>
        </w:rPr>
        <w:footnoteReference w:id="17"/>
      </w:r>
      <w:r w:rsidR="00D2272D">
        <w:t xml:space="preserve"> </w:t>
      </w:r>
      <w:r>
        <w:t>If culture is a means of representation, astrology no longer represented the scientific truth.</w:t>
      </w:r>
    </w:p>
    <w:p w14:paraId="14C1BA71" w14:textId="52DCB6CA" w:rsidR="005B61E0" w:rsidRDefault="005B61E0" w:rsidP="005B61E0">
      <w:r>
        <w:t xml:space="preserve">Head points to emergence of Theosophy in the </w:t>
      </w:r>
      <w:r w:rsidR="008C1713">
        <w:t>late</w:t>
      </w:r>
      <w:r>
        <w:t xml:space="preserve"> 19</w:t>
      </w:r>
      <w:r w:rsidRPr="00064969">
        <w:rPr>
          <w:vertAlign w:val="superscript"/>
        </w:rPr>
        <w:t>th</w:t>
      </w:r>
      <w:r>
        <w:t xml:space="preserve"> Century, to ‘counter corrupted teachings of Christia</w:t>
      </w:r>
      <w:r w:rsidR="008C1713">
        <w:t>nity</w:t>
      </w:r>
      <w:r>
        <w:t>, and the churches’ inability to deal with Darwinism and Scientific Materialism’</w:t>
      </w:r>
      <w:r>
        <w:rPr>
          <w:rStyle w:val="FootnoteReference"/>
        </w:rPr>
        <w:footnoteReference w:id="18"/>
      </w:r>
      <w:r>
        <w:t xml:space="preserve"> and suggests these correlated with Holst’s beliefs</w:t>
      </w:r>
      <w:r w:rsidR="008C1713">
        <w:t xml:space="preserve">, </w:t>
      </w:r>
      <w:r>
        <w:t xml:space="preserve">derived initially from his </w:t>
      </w:r>
      <w:r>
        <w:lastRenderedPageBreak/>
        <w:t>stepmother.</w:t>
      </w:r>
      <w:r w:rsidR="004D70DC" w:rsidRPr="004D70DC">
        <w:t xml:space="preserve"> </w:t>
      </w:r>
      <w:r w:rsidR="004D70DC">
        <w:t xml:space="preserve">Head confirms the influence of Theosophy on other key </w:t>
      </w:r>
      <w:r w:rsidR="004D70DC" w:rsidRPr="00406469">
        <w:t>adherents</w:t>
      </w:r>
      <w:r w:rsidR="004D70DC">
        <w:t xml:space="preserve"> of the Modern Movement</w:t>
      </w:r>
      <w:r w:rsidR="00821298">
        <w:t xml:space="preserve">, </w:t>
      </w:r>
      <w:r w:rsidR="004D70DC">
        <w:t>suggest</w:t>
      </w:r>
      <w:r w:rsidR="00821298">
        <w:t>ing</w:t>
      </w:r>
      <w:r w:rsidR="004D70DC">
        <w:t xml:space="preserve"> astrological influence had migrated from </w:t>
      </w:r>
      <w:r w:rsidR="00821298">
        <w:t>the world of science</w:t>
      </w:r>
      <w:r w:rsidR="004D70DC">
        <w:t xml:space="preserve"> to the arts.</w:t>
      </w:r>
      <w:r w:rsidR="004D70DC">
        <w:t xml:space="preserve"> </w:t>
      </w:r>
      <w:r>
        <w:t xml:space="preserve">He </w:t>
      </w:r>
      <w:r w:rsidR="003C0724">
        <w:t>refers</w:t>
      </w:r>
      <w:r>
        <w:t xml:space="preserve"> to </w:t>
      </w:r>
      <w:r w:rsidR="00821298">
        <w:t>a</w:t>
      </w:r>
      <w:r>
        <w:t xml:space="preserve"> resurgence of astrology</w:t>
      </w:r>
      <w:r w:rsidR="000347DC">
        <w:t>,</w:t>
      </w:r>
      <w:r>
        <w:t xml:space="preserve"> </w:t>
      </w:r>
      <w:r w:rsidR="000347DC">
        <w:t xml:space="preserve">seen </w:t>
      </w:r>
      <w:r>
        <w:t>after centuries of neglect</w:t>
      </w:r>
      <w:r w:rsidR="000347DC">
        <w:t>,</w:t>
      </w:r>
      <w:r w:rsidR="004D70DC">
        <w:t xml:space="preserve"> </w:t>
      </w:r>
      <w:r w:rsidR="00AB769D">
        <w:t>which</w:t>
      </w:r>
      <w:r w:rsidR="004D70DC">
        <w:t xml:space="preserve"> somewhat supports </w:t>
      </w:r>
      <w:proofErr w:type="spellStart"/>
      <w:r w:rsidR="004D70DC">
        <w:t>Graubard’s</w:t>
      </w:r>
      <w:proofErr w:type="spellEnd"/>
      <w:r w:rsidR="004D70DC">
        <w:t xml:space="preserve"> assertion of a cultural decline if not demise</w:t>
      </w:r>
      <w:r w:rsidR="003C0724">
        <w:t xml:space="preserve"> and suggests astrology required a new movement to revive its </w:t>
      </w:r>
      <w:r w:rsidR="00AB769D">
        <w:t>significance</w:t>
      </w:r>
      <w:r w:rsidR="003C0724">
        <w:t>.</w:t>
      </w:r>
    </w:p>
    <w:p w14:paraId="3BF37BCE" w14:textId="77777777" w:rsidR="000347DC" w:rsidRDefault="000347DC" w:rsidP="00064969"/>
    <w:p w14:paraId="637BB429" w14:textId="29F876D4" w:rsidR="00064969" w:rsidRDefault="00064969" w:rsidP="00064969">
      <w:r>
        <w:t xml:space="preserve">The divergence of astronomy and astrology in the 1700’s appears to have replayed the divorce of Plato and Aristotle, </w:t>
      </w:r>
      <w:r w:rsidR="00D2272D">
        <w:t xml:space="preserve">and </w:t>
      </w:r>
      <w:r>
        <w:t>for similar reasons</w:t>
      </w:r>
      <w:r w:rsidR="00D2272D">
        <w:t>.</w:t>
      </w:r>
    </w:p>
    <w:p w14:paraId="6D812B4F" w14:textId="5225B9CA" w:rsidR="00D94132" w:rsidRDefault="00AB769D" w:rsidP="00357E9D">
      <w:r>
        <w:t>Newtonian science</w:t>
      </w:r>
      <w:r w:rsidR="00D94132">
        <w:t xml:space="preserve"> begun a paradigm shift challeng</w:t>
      </w:r>
      <w:r w:rsidR="000347DC">
        <w:t>ing</w:t>
      </w:r>
      <w:r w:rsidR="00D94132">
        <w:t xml:space="preserve"> longstanding </w:t>
      </w:r>
      <w:r>
        <w:t xml:space="preserve">cosmological </w:t>
      </w:r>
      <w:r w:rsidR="00D94132">
        <w:t xml:space="preserve">beliefs </w:t>
      </w:r>
      <w:r w:rsidR="000347DC">
        <w:t xml:space="preserve">and </w:t>
      </w:r>
      <w:r w:rsidR="00D94132">
        <w:t xml:space="preserve">casting doubt on the credibility of astrology, </w:t>
      </w:r>
      <w:r w:rsidR="00957C9A">
        <w:t>but Theosophy reignited</w:t>
      </w:r>
      <w:r w:rsidR="0062460F">
        <w:t xml:space="preserve"> its allure and saw it used as </w:t>
      </w:r>
      <w:r w:rsidR="00821298">
        <w:t>a</w:t>
      </w:r>
      <w:r w:rsidR="0062460F">
        <w:t xml:space="preserve"> foundation for assessing </w:t>
      </w:r>
      <w:r w:rsidR="00821298">
        <w:t>oneself</w:t>
      </w:r>
      <w:r w:rsidR="0062460F">
        <w:t>.</w:t>
      </w:r>
    </w:p>
    <w:p w14:paraId="0D002A42" w14:textId="77777777" w:rsidR="00AD588F" w:rsidRDefault="00AD588F" w:rsidP="00AD588F">
      <w:pPr>
        <w:rPr>
          <w:b/>
          <w:bCs/>
        </w:rPr>
      </w:pPr>
    </w:p>
    <w:p w14:paraId="10A88F7D" w14:textId="2AE6000D" w:rsidR="005B61E0" w:rsidRPr="005B61E0" w:rsidRDefault="0062460F" w:rsidP="0062460F">
      <w:pPr>
        <w:pStyle w:val="Heading2"/>
      </w:pPr>
      <w:r>
        <w:t>Philosophies</w:t>
      </w:r>
    </w:p>
    <w:p w14:paraId="5D21E095" w14:textId="2205FC7E" w:rsidR="003F4B39" w:rsidRDefault="00EC05A7" w:rsidP="003F4B39">
      <w:proofErr w:type="spellStart"/>
      <w:r w:rsidRPr="00F669F7">
        <w:t>Graubard</w:t>
      </w:r>
      <w:proofErr w:type="spellEnd"/>
      <w:r w:rsidRPr="00F669F7">
        <w:t xml:space="preserve"> </w:t>
      </w:r>
      <w:r w:rsidR="00957C9A">
        <w:t>cites</w:t>
      </w:r>
      <w:r w:rsidRPr="00F669F7">
        <w:t xml:space="preserve"> Kepler </w:t>
      </w:r>
      <w:r>
        <w:t>to illustrate conflict prominent astronomers were experiencing regarding astrological beliefs</w:t>
      </w:r>
      <w:r w:rsidR="00024164">
        <w:t xml:space="preserve"> in the face of Newtonian discoveries</w:t>
      </w:r>
      <w:r>
        <w:t>.</w:t>
      </w:r>
      <w:r w:rsidR="00957C9A">
        <w:t xml:space="preserve"> He</w:t>
      </w:r>
      <w:r w:rsidR="003F4B39">
        <w:t xml:space="preserve"> cites a letter from Kepler to </w:t>
      </w:r>
      <w:proofErr w:type="spellStart"/>
      <w:r w:rsidR="003F4B39">
        <w:t>Fabricius</w:t>
      </w:r>
      <w:proofErr w:type="spellEnd"/>
      <w:r w:rsidR="003F4B39">
        <w:t xml:space="preserve">, confirming </w:t>
      </w:r>
      <w:r w:rsidR="00821298">
        <w:t xml:space="preserve">his </w:t>
      </w:r>
      <w:r w:rsidR="003F4B39">
        <w:t xml:space="preserve">Platonic beliefs, </w:t>
      </w:r>
      <w:r w:rsidR="00AB769D">
        <w:t>writing,</w:t>
      </w:r>
      <w:r w:rsidR="003F4B39">
        <w:t xml:space="preserve"> </w:t>
      </w:r>
    </w:p>
    <w:p w14:paraId="77B19FD6" w14:textId="77777777" w:rsidR="003F4B39" w:rsidRDefault="003F4B39" w:rsidP="003F4B39">
      <w:pPr>
        <w:pStyle w:val="Quote"/>
      </w:pPr>
      <w:r>
        <w:t>… the whole world is endowed with one common soul that strives to the good and the beautiful and knows what to do with all its superfluous material.</w:t>
      </w:r>
    </w:p>
    <w:p w14:paraId="7E3A1411" w14:textId="7E763774" w:rsidR="005B61E0" w:rsidRDefault="00024164" w:rsidP="005B61E0">
      <w:proofErr w:type="spellStart"/>
      <w:r>
        <w:t>Graubard</w:t>
      </w:r>
      <w:proofErr w:type="spellEnd"/>
      <w:r>
        <w:t xml:space="preserve"> suggests </w:t>
      </w:r>
      <w:r w:rsidR="00821298">
        <w:t>Kepler</w:t>
      </w:r>
      <w:r>
        <w:t xml:space="preserve"> </w:t>
      </w:r>
      <w:r w:rsidR="00821298">
        <w:t xml:space="preserve">is </w:t>
      </w:r>
      <w:r w:rsidR="00821298" w:rsidRPr="00821298">
        <w:t>duplicitous</w:t>
      </w:r>
      <w:r w:rsidR="00821298">
        <w:t xml:space="preserve"> in</w:t>
      </w:r>
      <w:r>
        <w:t xml:space="preserve"> maintaining spiritual beliefs while acknowledging scientific </w:t>
      </w:r>
      <w:r w:rsidR="0028000C">
        <w:t>opposition.</w:t>
      </w:r>
      <w:r w:rsidR="00957C9A">
        <w:t xml:space="preserve"> </w:t>
      </w:r>
      <w:proofErr w:type="spellStart"/>
      <w:r w:rsidR="0028000C">
        <w:t>Graubard</w:t>
      </w:r>
      <w:proofErr w:type="spellEnd"/>
      <w:r w:rsidR="0028000C">
        <w:t xml:space="preserve"> </w:t>
      </w:r>
      <w:r w:rsidR="00130340">
        <w:t>further</w:t>
      </w:r>
      <w:r w:rsidR="00130340">
        <w:t>s</w:t>
      </w:r>
      <w:r w:rsidR="00130340">
        <w:t xml:space="preserve"> </w:t>
      </w:r>
      <w:r w:rsidR="0028000C">
        <w:t xml:space="preserve">this citing </w:t>
      </w:r>
      <w:r w:rsidR="003F4B39">
        <w:t xml:space="preserve">Kepler’s </w:t>
      </w:r>
      <w:r w:rsidR="0028000C">
        <w:t xml:space="preserve">letters </w:t>
      </w:r>
      <w:r w:rsidR="0028000C">
        <w:t xml:space="preserve">discussing </w:t>
      </w:r>
      <w:r w:rsidR="003F4B39">
        <w:t>his wife’s horoscope</w:t>
      </w:r>
      <w:r w:rsidR="0028000C">
        <w:t xml:space="preserve"> and character </w:t>
      </w:r>
      <w:r w:rsidR="003F4B39">
        <w:t xml:space="preserve">and </w:t>
      </w:r>
      <w:r w:rsidR="00821298">
        <w:t xml:space="preserve">referring to </w:t>
      </w:r>
      <w:r w:rsidR="0028000C">
        <w:t>astrological</w:t>
      </w:r>
      <w:r w:rsidR="003F4B39">
        <w:t xml:space="preserve"> transit</w:t>
      </w:r>
      <w:r w:rsidR="00821298">
        <w:t xml:space="preserve">s </w:t>
      </w:r>
      <w:r w:rsidR="0028000C">
        <w:t xml:space="preserve">as a </w:t>
      </w:r>
      <w:r w:rsidR="00821298">
        <w:t>correspondence</w:t>
      </w:r>
      <w:r w:rsidR="0028000C">
        <w:t xml:space="preserve"> of</w:t>
      </w:r>
      <w:r w:rsidR="00821298">
        <w:t xml:space="preserve"> </w:t>
      </w:r>
      <w:r w:rsidR="0028000C">
        <w:t>conflict with the Brahe family</w:t>
      </w:r>
      <w:r w:rsidR="00821298">
        <w:t xml:space="preserve"> to </w:t>
      </w:r>
      <w:r w:rsidR="0028000C">
        <w:t>confirm Kepler’s intrinsic astrological leanings</w:t>
      </w:r>
      <w:r w:rsidR="00D56EE1">
        <w:t>. Perhaps fearing spread of skepticism beyond astronomers,</w:t>
      </w:r>
      <w:r w:rsidR="00130340">
        <w:t xml:space="preserve"> </w:t>
      </w:r>
      <w:r w:rsidR="00AB769D">
        <w:t>Kepler</w:t>
      </w:r>
      <w:r w:rsidR="00D56EE1">
        <w:t xml:space="preserve"> issues a warning to theologians, medics and philosophers</w:t>
      </w:r>
      <w:r w:rsidR="00821298">
        <w:rPr>
          <w:rStyle w:val="FootnoteReference"/>
        </w:rPr>
        <w:footnoteReference w:id="19"/>
      </w:r>
      <w:r w:rsidR="00D56EE1">
        <w:t xml:space="preserve"> to not unwittingly disserve their professions by</w:t>
      </w:r>
      <w:r w:rsidR="003F4B39">
        <w:t xml:space="preserve"> </w:t>
      </w:r>
      <w:r w:rsidR="00D56EE1">
        <w:t>rejecting all astrological tenets in rejection of superstition.</w:t>
      </w:r>
      <w:r w:rsidR="00957C9A">
        <w:t xml:space="preserve"> </w:t>
      </w:r>
      <w:r w:rsidR="00445D02">
        <w:t xml:space="preserve">Although unable to provide answers himself, </w:t>
      </w:r>
      <w:r w:rsidR="00445D02">
        <w:lastRenderedPageBreak/>
        <w:t xml:space="preserve">Kepler maintains </w:t>
      </w:r>
      <w:r w:rsidR="00821298">
        <w:t>his</w:t>
      </w:r>
      <w:r w:rsidR="003F4B39">
        <w:t xml:space="preserve"> conviction that </w:t>
      </w:r>
      <w:r w:rsidR="00445D02">
        <w:t>‘</w:t>
      </w:r>
      <w:r w:rsidR="003F4B39">
        <w:t>God has created the world according to an intelligible plan.</w:t>
      </w:r>
      <w:r w:rsidR="003F4B39">
        <w:rPr>
          <w:rStyle w:val="FootnoteReference"/>
        </w:rPr>
        <w:footnoteReference w:id="20"/>
      </w:r>
    </w:p>
    <w:p w14:paraId="3A7F482B" w14:textId="77777777" w:rsidR="00130340" w:rsidRDefault="00130340" w:rsidP="003F4B39">
      <w:pPr>
        <w:rPr>
          <w:b/>
          <w:bCs/>
        </w:rPr>
      </w:pPr>
    </w:p>
    <w:p w14:paraId="7B9716A7" w14:textId="77FA1F2B" w:rsidR="003F4B39" w:rsidRDefault="003F4B39" w:rsidP="005B61E0">
      <w:r>
        <w:t xml:space="preserve">Head asserts Holst adhered to </w:t>
      </w:r>
      <w:r w:rsidR="00AB769D">
        <w:t>Theosoph</w:t>
      </w:r>
      <w:r w:rsidR="00AB769D">
        <w:t>ical</w:t>
      </w:r>
      <w:r w:rsidR="00AB769D">
        <w:t xml:space="preserve"> </w:t>
      </w:r>
      <w:r>
        <w:t>tenets all his life</w:t>
      </w:r>
      <w:r w:rsidR="00821298">
        <w:t xml:space="preserve"> including </w:t>
      </w:r>
      <w:r>
        <w:t xml:space="preserve">belief in karma, reincarnation and dharma, topics related to Plato’s Republic, Book of Er. </w:t>
      </w:r>
      <w:r w:rsidR="00821298">
        <w:t>T</w:t>
      </w:r>
      <w:r>
        <w:t>hese principles ‘determined his choices and encouraged his teaching life’.</w:t>
      </w:r>
      <w:r w:rsidR="00957C9A">
        <w:t xml:space="preserve"> </w:t>
      </w:r>
      <w:r>
        <w:t xml:space="preserve">Head suggests Holst suffered from ‘self-doubt and an inner desire to explore leaving him floundering and questioning the basis of his life’. He </w:t>
      </w:r>
      <w:r w:rsidR="00636641">
        <w:t>cites</w:t>
      </w:r>
      <w:r>
        <w:t xml:space="preserve"> Holst’s visit to a phrenologist as an example of such soul-searching and exchange</w:t>
      </w:r>
      <w:r w:rsidR="00130340">
        <w:t>s</w:t>
      </w:r>
      <w:r>
        <w:t xml:space="preserve"> with a friend where he mentioned looking forward to ‘devachan’ – </w:t>
      </w:r>
      <w:r w:rsidR="00AB769D">
        <w:t xml:space="preserve">a </w:t>
      </w:r>
      <w:r w:rsidR="00636641">
        <w:t>Buddhist</w:t>
      </w:r>
      <w:r>
        <w:t xml:space="preserve"> descri</w:t>
      </w:r>
      <w:r w:rsidR="00AB769D">
        <w:t>ption of</w:t>
      </w:r>
      <w:r>
        <w:t xml:space="preserve"> a blissful state after death. This reinforces Holst’s belief of an immortal soul.</w:t>
      </w:r>
      <w:r w:rsidR="00957C9A">
        <w:t xml:space="preserve"> </w:t>
      </w:r>
      <w:r>
        <w:t>Head answers his own question regarding why Holst turn</w:t>
      </w:r>
      <w:r w:rsidR="00636641">
        <w:t>ed</w:t>
      </w:r>
      <w:r>
        <w:t xml:space="preserve"> to astrology saying he ‘must have been curious about his future </w:t>
      </w:r>
      <w:proofErr w:type="gramStart"/>
      <w:r>
        <w:t>in light of</w:t>
      </w:r>
      <w:proofErr w:type="gramEnd"/>
      <w:r>
        <w:t xml:space="preserve"> his apparent failures’. Holst, </w:t>
      </w:r>
      <w:r w:rsidR="00130340">
        <w:t>believing</w:t>
      </w:r>
      <w:r>
        <w:t xml:space="preserve"> his astrological chart was a map of his psyche, believed study of this would </w:t>
      </w:r>
      <w:r w:rsidR="00636641">
        <w:t>give</w:t>
      </w:r>
      <w:r>
        <w:t xml:space="preserve"> him answers.</w:t>
      </w:r>
      <w:r w:rsidR="00957C9A">
        <w:t xml:space="preserve"> </w:t>
      </w:r>
      <w:r>
        <w:t>Holst’s membership of ‘The Quest’</w:t>
      </w:r>
      <w:r w:rsidR="00130340">
        <w:rPr>
          <w:rStyle w:val="FootnoteReference"/>
        </w:rPr>
        <w:footnoteReference w:id="21"/>
      </w:r>
      <w:r w:rsidR="00130340">
        <w:t xml:space="preserve"> enabled</w:t>
      </w:r>
      <w:r w:rsidR="00486127">
        <w:t xml:space="preserve"> him to explore this further.</w:t>
      </w:r>
      <w:r w:rsidR="00BB2A7A">
        <w:t xml:space="preserve"> </w:t>
      </w:r>
      <w:r w:rsidR="00D234B7">
        <w:t xml:space="preserve">In </w:t>
      </w:r>
      <w:r>
        <w:t>Holst’s lecture to the society</w:t>
      </w:r>
      <w:r w:rsidR="00130340">
        <w:t xml:space="preserve">, </w:t>
      </w:r>
      <w:r w:rsidR="00D234B7">
        <w:t>he describes significant forms, the importance of not imitating and of art construing ‘the word made flesh’</w:t>
      </w:r>
      <w:r w:rsidR="00D234B7">
        <w:rPr>
          <w:rStyle w:val="FootnoteReference"/>
        </w:rPr>
        <w:footnoteReference w:id="22"/>
      </w:r>
      <w:r w:rsidR="00D234B7">
        <w:t xml:space="preserve">. This narrative is </w:t>
      </w:r>
      <w:r w:rsidR="00EC05A7">
        <w:t>reminiscent</w:t>
      </w:r>
      <w:r w:rsidR="00D234B7">
        <w:t xml:space="preserve"> of </w:t>
      </w:r>
      <w:r w:rsidR="00F669F7">
        <w:t xml:space="preserve">the dialogue between </w:t>
      </w:r>
      <w:r w:rsidR="00E41A36">
        <w:t xml:space="preserve">Socrates and Glaucon </w:t>
      </w:r>
      <w:r w:rsidR="00BB2A7A">
        <w:t>regarding ideas and forms</w:t>
      </w:r>
      <w:r w:rsidR="00BB2A7A">
        <w:rPr>
          <w:rStyle w:val="FootnoteReference"/>
        </w:rPr>
        <w:footnoteReference w:id="23"/>
      </w:r>
      <w:r w:rsidR="00BB2A7A">
        <w:t xml:space="preserve">. </w:t>
      </w:r>
      <w:r w:rsidRPr="00DD7A94">
        <w:t>Head confirms Alan Leo’s book</w:t>
      </w:r>
      <w:r w:rsidR="00636641">
        <w:rPr>
          <w:rStyle w:val="FootnoteReference"/>
        </w:rPr>
        <w:footnoteReference w:id="24"/>
      </w:r>
      <w:r w:rsidRPr="00DD7A94">
        <w:t xml:space="preserve"> </w:t>
      </w:r>
      <w:r>
        <w:t>inspir</w:t>
      </w:r>
      <w:r w:rsidR="00130340">
        <w:t>ed</w:t>
      </w:r>
      <w:r>
        <w:t xml:space="preserve"> ‘The Planets, </w:t>
      </w:r>
      <w:r w:rsidR="00636641">
        <w:t>showing</w:t>
      </w:r>
      <w:r>
        <w:t xml:space="preserve"> correlation between trac</w:t>
      </w:r>
      <w:r w:rsidR="00636641">
        <w:t>k t</w:t>
      </w:r>
      <w:r>
        <w:t>itle’s such as ‘Mars – the Bringer of War’ and ‘Mercury – the Winged Messenger’ conforming to archetypes as Leo describes them</w:t>
      </w:r>
      <w:r w:rsidR="00636641">
        <w:t>.</w:t>
      </w:r>
    </w:p>
    <w:p w14:paraId="38DAA520" w14:textId="77777777" w:rsidR="00945768" w:rsidRDefault="00945768" w:rsidP="00357E9D">
      <w:pPr>
        <w:rPr>
          <w:i/>
          <w:iCs/>
        </w:rPr>
      </w:pPr>
    </w:p>
    <w:p w14:paraId="50CDB802" w14:textId="68120FF7" w:rsidR="00172FA3" w:rsidRPr="00486127" w:rsidRDefault="00937CA8" w:rsidP="00486127">
      <w:pPr>
        <w:pStyle w:val="Heading2"/>
      </w:pPr>
      <w:r>
        <w:t>Conclusion</w:t>
      </w:r>
    </w:p>
    <w:p w14:paraId="777E1711" w14:textId="03B11A53" w:rsidR="009E4D71" w:rsidRDefault="006F00DC" w:rsidP="005B61E0">
      <w:r>
        <w:t xml:space="preserve">One author </w:t>
      </w:r>
      <w:r w:rsidR="000D3563">
        <w:t>discusses</w:t>
      </w:r>
      <w:r>
        <w:t xml:space="preserve"> astrology</w:t>
      </w:r>
      <w:r w:rsidR="000D3563">
        <w:t xml:space="preserve"> during cultural decline</w:t>
      </w:r>
      <w:r>
        <w:t xml:space="preserve">, while the other </w:t>
      </w:r>
      <w:r w:rsidR="00EC05A7">
        <w:t xml:space="preserve">confirms </w:t>
      </w:r>
      <w:r w:rsidR="00AB769D">
        <w:t>astrolog</w:t>
      </w:r>
      <w:r w:rsidR="00AB769D">
        <w:t>ical</w:t>
      </w:r>
      <w:r w:rsidR="00AB769D">
        <w:t xml:space="preserve"> </w:t>
      </w:r>
      <w:r w:rsidR="00EC05A7">
        <w:t xml:space="preserve">influence </w:t>
      </w:r>
      <w:r w:rsidR="00636641">
        <w:t xml:space="preserve">during </w:t>
      </w:r>
      <w:r w:rsidR="00EC05A7">
        <w:t xml:space="preserve">cultural </w:t>
      </w:r>
      <w:r w:rsidR="00AD588F">
        <w:t xml:space="preserve">growth. Both draw attention to </w:t>
      </w:r>
      <w:r w:rsidR="00EC05A7">
        <w:t>unresolved</w:t>
      </w:r>
      <w:r w:rsidR="00AD588F">
        <w:t xml:space="preserve"> conflict between </w:t>
      </w:r>
      <w:r w:rsidR="00AD588F">
        <w:lastRenderedPageBreak/>
        <w:t xml:space="preserve">personal belief and </w:t>
      </w:r>
      <w:r w:rsidR="00EC05A7">
        <w:t>public support for astrology</w:t>
      </w:r>
      <w:r w:rsidR="00AD588F">
        <w:t xml:space="preserve">. </w:t>
      </w:r>
      <w:r w:rsidR="00EC05A7">
        <w:t>However, b</w:t>
      </w:r>
      <w:r w:rsidR="00AD588F">
        <w:t xml:space="preserve">oth </w:t>
      </w:r>
      <w:r w:rsidR="00EC05A7">
        <w:t xml:space="preserve">also </w:t>
      </w:r>
      <w:r w:rsidR="00AD588F">
        <w:t>hint at intrinsic cosmological beliefs even in the face of adversity or irrationality.</w:t>
      </w:r>
      <w:r w:rsidR="00486127">
        <w:t xml:space="preserve"> </w:t>
      </w:r>
    </w:p>
    <w:p w14:paraId="2A0B669B" w14:textId="39BCD1E7" w:rsidR="00CC46E4" w:rsidRDefault="008013DA" w:rsidP="004C6804">
      <w:proofErr w:type="spellStart"/>
      <w:r>
        <w:t>Graubard’s</w:t>
      </w:r>
      <w:proofErr w:type="spellEnd"/>
      <w:r>
        <w:t xml:space="preserve"> evidence </w:t>
      </w:r>
      <w:r w:rsidR="00636641">
        <w:t>shows</w:t>
      </w:r>
      <w:r>
        <w:t xml:space="preserve"> that</w:t>
      </w:r>
      <w:r w:rsidR="009E4D71">
        <w:t>,</w:t>
      </w:r>
      <w:r>
        <w:t xml:space="preserve"> despite cultural turmoil during the Scientific revolution</w:t>
      </w:r>
      <w:r w:rsidR="009E4D71">
        <w:t>,</w:t>
      </w:r>
      <w:r>
        <w:t xml:space="preserve"> Kepler maintained inherent belief</w:t>
      </w:r>
      <w:r w:rsidR="00636641">
        <w:t>s</w:t>
      </w:r>
      <w:r>
        <w:t xml:space="preserve"> and demonstrated frustration at </w:t>
      </w:r>
      <w:r w:rsidR="00C833CA">
        <w:t>the</w:t>
      </w:r>
      <w:r>
        <w:t xml:space="preserve"> lack of </w:t>
      </w:r>
      <w:r w:rsidR="00636641">
        <w:t>astrolog</w:t>
      </w:r>
      <w:r w:rsidR="00636641">
        <w:t xml:space="preserve">ical </w:t>
      </w:r>
      <w:r>
        <w:t>regard.</w:t>
      </w:r>
      <w:r w:rsidR="00486127">
        <w:t xml:space="preserve"> </w:t>
      </w:r>
      <w:r>
        <w:t xml:space="preserve">Kepler </w:t>
      </w:r>
      <w:r w:rsidR="00636641">
        <w:t xml:space="preserve">evidently </w:t>
      </w:r>
      <w:r>
        <w:t xml:space="preserve">wished another would </w:t>
      </w:r>
      <w:r w:rsidR="00636641">
        <w:t xml:space="preserve">reestablish </w:t>
      </w:r>
      <w:r>
        <w:t>credib</w:t>
      </w:r>
      <w:r w:rsidR="009E4D71">
        <w:t xml:space="preserve">ility </w:t>
      </w:r>
      <w:r>
        <w:t xml:space="preserve">for astrology as </w:t>
      </w:r>
      <w:r w:rsidR="00636641">
        <w:t xml:space="preserve">a </w:t>
      </w:r>
      <w:r w:rsidR="00636641">
        <w:t xml:space="preserve">practice </w:t>
      </w:r>
      <w:r>
        <w:t xml:space="preserve">of worldly significance, which he felt (if could </w:t>
      </w:r>
      <w:r w:rsidR="00EC05A7">
        <w:t xml:space="preserve">not </w:t>
      </w:r>
      <w:r w:rsidR="009E4D71">
        <w:t>corroborate</w:t>
      </w:r>
      <w:r>
        <w:t>) was implicit.</w:t>
      </w:r>
      <w:r w:rsidR="00486127">
        <w:t xml:space="preserve"> </w:t>
      </w:r>
      <w:r w:rsidR="00CC46E4">
        <w:t>The paper</w:t>
      </w:r>
      <w:r w:rsidR="00C833CA">
        <w:t xml:space="preserve"> </w:t>
      </w:r>
      <w:r w:rsidR="005B61E0">
        <w:t>fail</w:t>
      </w:r>
      <w:r w:rsidR="00C833CA">
        <w:t>s</w:t>
      </w:r>
      <w:r w:rsidR="005B61E0">
        <w:t xml:space="preserve"> to answer any of the three questions.</w:t>
      </w:r>
      <w:r w:rsidR="003F4B39">
        <w:t xml:space="preserve"> </w:t>
      </w:r>
    </w:p>
    <w:p w14:paraId="573C166F" w14:textId="7EC2A558" w:rsidR="00CC46E4" w:rsidRDefault="008013DA" w:rsidP="004C6804">
      <w:r>
        <w:t xml:space="preserve">Head’s evidence </w:t>
      </w:r>
      <w:r w:rsidR="00C833CA">
        <w:t>describes</w:t>
      </w:r>
      <w:r>
        <w:t xml:space="preserve"> astrological influence on Holst’s work through correlating the archetypal resonance of </w:t>
      </w:r>
      <w:r w:rsidR="009E4D71">
        <w:t>‘The</w:t>
      </w:r>
      <w:r>
        <w:t xml:space="preserve"> Planet</w:t>
      </w:r>
      <w:r w:rsidR="009E4D71">
        <w:t>s’</w:t>
      </w:r>
      <w:r>
        <w:t xml:space="preserve"> with Alan Leo’s book. </w:t>
      </w:r>
      <w:r w:rsidR="00CC46E4">
        <w:t>Head</w:t>
      </w:r>
      <w:r w:rsidR="00BB2A7A">
        <w:t>’s</w:t>
      </w:r>
      <w:r w:rsidR="00CC46E4">
        <w:t xml:space="preserve"> evidence </w:t>
      </w:r>
      <w:r w:rsidR="00BB2A7A">
        <w:t>demonstrates</w:t>
      </w:r>
      <w:r w:rsidR="00CC46E4">
        <w:t xml:space="preserve"> Holst’s peers were influential in providing a </w:t>
      </w:r>
      <w:r w:rsidR="009E4D71">
        <w:t>supportive</w:t>
      </w:r>
      <w:r w:rsidR="009E4D71">
        <w:t xml:space="preserve"> </w:t>
      </w:r>
      <w:r w:rsidR="009E4D71">
        <w:t xml:space="preserve">and creative </w:t>
      </w:r>
      <w:r w:rsidR="00CC46E4">
        <w:t>environment within which he could explore his composition, despite his reluctance to acknowledge this publicly.</w:t>
      </w:r>
    </w:p>
    <w:p w14:paraId="75E22CDE" w14:textId="6828991F" w:rsidR="00CC46E4" w:rsidRDefault="00486127" w:rsidP="000663DB">
      <w:r>
        <w:t>The authors have shown</w:t>
      </w:r>
      <w:r w:rsidR="00CC46E4">
        <w:t xml:space="preserve"> that while cultural acceptance and overt influence of astrology waxes and wanes depending on prevailing attitudes, personal cosmological beliefs are maintained, albeit privately, as such beliefs are an integral part of the psyche and not rational or subject to change in the face of </w:t>
      </w:r>
      <w:r>
        <w:t>counterculture</w:t>
      </w:r>
      <w:r w:rsidR="009E4D71">
        <w:t>.</w:t>
      </w:r>
      <w:r w:rsidR="00CC46E4">
        <w:t xml:space="preserve"> </w:t>
      </w:r>
    </w:p>
    <w:p w14:paraId="2D6F6827" w14:textId="780031D1" w:rsidR="003F4B39" w:rsidRDefault="003F4B39" w:rsidP="000663DB">
      <w:r>
        <w:t xml:space="preserve">Belief is not necessarily </w:t>
      </w:r>
      <w:r w:rsidR="00486127">
        <w:t>rational,</w:t>
      </w:r>
      <w:r>
        <w:t xml:space="preserve"> but neither is culture.</w:t>
      </w:r>
      <w:r w:rsidR="00D86C27">
        <w:t xml:space="preserve"> Even Cicero, the famous skeptic, only refuted the practice of astrology, not the natural phenomena</w:t>
      </w:r>
      <w:r w:rsidR="00D86C27">
        <w:rPr>
          <w:rStyle w:val="FootnoteReference"/>
        </w:rPr>
        <w:footnoteReference w:id="25"/>
      </w:r>
      <w:r w:rsidR="00D86C27">
        <w:t>.</w:t>
      </w:r>
    </w:p>
    <w:p w14:paraId="3C6A0DC5" w14:textId="75CAD885" w:rsidR="003F4B39" w:rsidRPr="00D94132" w:rsidRDefault="003F4B39" w:rsidP="000663DB"/>
    <w:sectPr w:rsidR="003F4B39" w:rsidRPr="00D94132">
      <w:footerReference w:type="default" r:id="rId8"/>
      <w:pgSz w:w="11907" w:h="16839" w:code="9"/>
      <w:pgMar w:top="1440" w:right="1080" w:bottom="1829" w:left="1080" w:header="720" w:footer="792"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FD31C" w14:textId="77777777" w:rsidR="002A2DB1" w:rsidRDefault="002A2DB1" w:rsidP="000663DB">
      <w:r>
        <w:separator/>
      </w:r>
    </w:p>
  </w:endnote>
  <w:endnote w:type="continuationSeparator" w:id="0">
    <w:p w14:paraId="49A9004F" w14:textId="77777777" w:rsidR="002A2DB1" w:rsidRDefault="002A2DB1" w:rsidP="00066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893270"/>
      <w:docPartObj>
        <w:docPartGallery w:val="Page Numbers (Top of Page)"/>
        <w:docPartUnique/>
      </w:docPartObj>
    </w:sdtPr>
    <w:sdtContent>
      <w:p w14:paraId="20E3D913" w14:textId="77777777" w:rsidR="00524387" w:rsidRDefault="00CB7D2E" w:rsidP="000663DB">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A0C8B" w14:textId="77777777" w:rsidR="002A2DB1" w:rsidRDefault="002A2DB1" w:rsidP="000663DB">
      <w:r>
        <w:separator/>
      </w:r>
    </w:p>
  </w:footnote>
  <w:footnote w:type="continuationSeparator" w:id="0">
    <w:p w14:paraId="551CDEAC" w14:textId="77777777" w:rsidR="002A2DB1" w:rsidRDefault="002A2DB1" w:rsidP="000663DB">
      <w:r>
        <w:continuationSeparator/>
      </w:r>
    </w:p>
  </w:footnote>
  <w:footnote w:id="1">
    <w:p w14:paraId="7334E886" w14:textId="371E2D85" w:rsidR="004250E3" w:rsidRPr="004250E3" w:rsidRDefault="004250E3">
      <w:pPr>
        <w:pStyle w:val="FootnoteText"/>
        <w:rPr>
          <w:lang w:val="en-GB"/>
        </w:rPr>
      </w:pPr>
      <w:r>
        <w:rPr>
          <w:rStyle w:val="FootnoteReference"/>
        </w:rPr>
        <w:footnoteRef/>
      </w:r>
      <w:r>
        <w:t xml:space="preserve"> </w:t>
      </w:r>
      <w:r w:rsidRPr="004250E3">
        <w:rPr>
          <w:lang w:val="en-GB"/>
        </w:rPr>
        <w:t xml:space="preserve">Article about Mark </w:t>
      </w:r>
      <w:proofErr w:type="spellStart"/>
      <w:r w:rsidRPr="004250E3">
        <w:rPr>
          <w:lang w:val="en-GB"/>
        </w:rPr>
        <w:t>Graubard</w:t>
      </w:r>
      <w:proofErr w:type="spellEnd"/>
      <w:r w:rsidRPr="004250E3">
        <w:rPr>
          <w:lang w:val="en-GB"/>
        </w:rPr>
        <w:t xml:space="preserve"> death, Star Tribune, Minnesota, 3</w:t>
      </w:r>
      <w:r>
        <w:rPr>
          <w:lang w:val="en-GB"/>
        </w:rPr>
        <w:t xml:space="preserve"> </w:t>
      </w:r>
      <w:r w:rsidRPr="004250E3">
        <w:rPr>
          <w:lang w:val="en-GB"/>
        </w:rPr>
        <w:t>Nov 1992</w:t>
      </w:r>
      <w:r>
        <w:rPr>
          <w:lang w:val="en-GB"/>
        </w:rPr>
        <w:t xml:space="preserve">, </w:t>
      </w:r>
      <w:r w:rsidRPr="004250E3">
        <w:rPr>
          <w:lang w:val="en-GB"/>
        </w:rPr>
        <w:t>https://www.newspapers.com/clip/9923222/article-about-mark-graubard-death/</w:t>
      </w:r>
    </w:p>
  </w:footnote>
  <w:footnote w:id="2">
    <w:p w14:paraId="6602E1E4" w14:textId="0FB8400C" w:rsidR="00250BB1" w:rsidRPr="00250BB1" w:rsidRDefault="00250BB1">
      <w:pPr>
        <w:pStyle w:val="FootnoteText"/>
        <w:rPr>
          <w:lang w:val="en-GB"/>
        </w:rPr>
      </w:pPr>
      <w:r>
        <w:rPr>
          <w:rStyle w:val="FootnoteReference"/>
        </w:rPr>
        <w:footnoteRef/>
      </w:r>
      <w:r>
        <w:t xml:space="preserve"> </w:t>
      </w:r>
      <w:r>
        <w:rPr>
          <w:lang w:val="en-GB"/>
        </w:rPr>
        <w:t xml:space="preserve">Library Search for Mark </w:t>
      </w:r>
      <w:proofErr w:type="spellStart"/>
      <w:r>
        <w:rPr>
          <w:lang w:val="en-GB"/>
        </w:rPr>
        <w:t>Graubard</w:t>
      </w:r>
      <w:proofErr w:type="spellEnd"/>
      <w:r>
        <w:rPr>
          <w:lang w:val="en-GB"/>
        </w:rPr>
        <w:t xml:space="preserve">, </w:t>
      </w:r>
      <w:r w:rsidRPr="00250BB1">
        <w:rPr>
          <w:lang w:val="en-GB"/>
        </w:rPr>
        <w:t>https://librarysearch.uwtsd.ac.uk/</w:t>
      </w:r>
    </w:p>
  </w:footnote>
  <w:footnote w:id="3">
    <w:p w14:paraId="33525C24" w14:textId="132A78E2" w:rsidR="00250BB1" w:rsidRPr="00250BB1" w:rsidRDefault="00250BB1">
      <w:pPr>
        <w:pStyle w:val="FootnoteText"/>
        <w:rPr>
          <w:lang w:val="en-GB"/>
        </w:rPr>
      </w:pPr>
      <w:r>
        <w:rPr>
          <w:rStyle w:val="FootnoteReference"/>
        </w:rPr>
        <w:footnoteRef/>
      </w:r>
      <w:r>
        <w:t xml:space="preserve"> </w:t>
      </w:r>
      <w:r>
        <w:rPr>
          <w:lang w:val="en-GB"/>
        </w:rPr>
        <w:t>Ibid</w:t>
      </w:r>
    </w:p>
  </w:footnote>
  <w:footnote w:id="4">
    <w:p w14:paraId="76656F5B" w14:textId="77777777" w:rsidR="00D86C27" w:rsidRPr="004D0C9B" w:rsidRDefault="00D86C27" w:rsidP="00D86C27">
      <w:pPr>
        <w:pStyle w:val="FootnoteText"/>
        <w:rPr>
          <w:lang w:val="en-GB"/>
        </w:rPr>
      </w:pPr>
      <w:r>
        <w:rPr>
          <w:rStyle w:val="FootnoteReference"/>
        </w:rPr>
        <w:footnoteRef/>
      </w:r>
      <w:r>
        <w:t xml:space="preserve"> </w:t>
      </w:r>
      <w:r>
        <w:rPr>
          <w:lang w:val="en-GB"/>
        </w:rPr>
        <w:t>Lynn Thorndike, The True Place of Astrology in the History of Science</w:t>
      </w:r>
    </w:p>
  </w:footnote>
  <w:footnote w:id="5">
    <w:p w14:paraId="2935FB01" w14:textId="1730ACD7" w:rsidR="00BD6A22" w:rsidRPr="00BD6A22" w:rsidRDefault="00BD6A22">
      <w:pPr>
        <w:pStyle w:val="FootnoteText"/>
        <w:rPr>
          <w:lang w:val="en-GB"/>
        </w:rPr>
      </w:pPr>
      <w:r>
        <w:rPr>
          <w:rStyle w:val="FootnoteReference"/>
        </w:rPr>
        <w:footnoteRef/>
      </w:r>
      <w:r>
        <w:t xml:space="preserve"> Website: </w:t>
      </w:r>
      <w:r w:rsidRPr="00BD6A22">
        <w:rPr>
          <w:lang w:val="en-GB"/>
        </w:rPr>
        <w:t>https://raymondhead.com/biography</w:t>
      </w:r>
    </w:p>
  </w:footnote>
  <w:footnote w:id="6">
    <w:p w14:paraId="4B483641" w14:textId="78038A01" w:rsidR="00BD6A22" w:rsidRPr="00BD6A22" w:rsidRDefault="00BD6A22">
      <w:pPr>
        <w:pStyle w:val="FootnoteText"/>
        <w:rPr>
          <w:lang w:val="en-GB"/>
        </w:rPr>
      </w:pPr>
      <w:r>
        <w:rPr>
          <w:rStyle w:val="FootnoteReference"/>
        </w:rPr>
        <w:footnoteRef/>
      </w:r>
      <w:r>
        <w:t xml:space="preserve"> Website: </w:t>
      </w:r>
      <w:r w:rsidRPr="00BD6A22">
        <w:t>https://raymondhead.com/bibliography</w:t>
      </w:r>
    </w:p>
  </w:footnote>
  <w:footnote w:id="7">
    <w:p w14:paraId="1B955080" w14:textId="50D631E3" w:rsidR="005A4FB5" w:rsidRPr="005A4FB5" w:rsidRDefault="005A4FB5">
      <w:pPr>
        <w:pStyle w:val="FootnoteText"/>
        <w:rPr>
          <w:lang w:val="en-GB"/>
        </w:rPr>
      </w:pPr>
      <w:r>
        <w:rPr>
          <w:rStyle w:val="FootnoteReference"/>
        </w:rPr>
        <w:footnoteRef/>
      </w:r>
      <w:r>
        <w:t xml:space="preserve"> </w:t>
      </w:r>
      <w:r>
        <w:rPr>
          <w:lang w:val="en-GB"/>
        </w:rPr>
        <w:t>Raymond Head, Holst – Astrology and Modernism in ‘The Planets’, 1993, pp.21</w:t>
      </w:r>
    </w:p>
  </w:footnote>
  <w:footnote w:id="8">
    <w:p w14:paraId="46B3BCC5" w14:textId="321F3758" w:rsidR="00860902" w:rsidRPr="00860902" w:rsidRDefault="00860902">
      <w:pPr>
        <w:pStyle w:val="FootnoteText"/>
        <w:rPr>
          <w:lang w:val="en-GB"/>
        </w:rPr>
      </w:pPr>
      <w:r>
        <w:rPr>
          <w:rStyle w:val="FootnoteReference"/>
        </w:rPr>
        <w:footnoteRef/>
      </w:r>
      <w:r>
        <w:t xml:space="preserve"> </w:t>
      </w:r>
      <w:r>
        <w:rPr>
          <w:lang w:val="en-GB"/>
        </w:rPr>
        <w:t xml:space="preserve">Edward Sherburne, The Sphere of Marcus </w:t>
      </w:r>
      <w:proofErr w:type="spellStart"/>
      <w:r>
        <w:rPr>
          <w:lang w:val="en-GB"/>
        </w:rPr>
        <w:t>Manilius</w:t>
      </w:r>
      <w:proofErr w:type="spellEnd"/>
      <w:r>
        <w:rPr>
          <w:lang w:val="en-GB"/>
        </w:rPr>
        <w:t xml:space="preserve">, </w:t>
      </w:r>
      <w:r w:rsidR="009C655A">
        <w:t>‘</w:t>
      </w:r>
      <w:r w:rsidR="009C655A">
        <w:t>A</w:t>
      </w:r>
      <w:r w:rsidR="009C655A">
        <w:t xml:space="preserve"> Catalogue of the Most Eminent Astronomers, Ancient and Modern</w:t>
      </w:r>
      <w:r w:rsidR="009C655A">
        <w:t>’</w:t>
      </w:r>
      <w:r w:rsidR="009C655A">
        <w:rPr>
          <w:lang w:val="en-GB"/>
        </w:rPr>
        <w:t xml:space="preserve"> </w:t>
      </w:r>
      <w:r>
        <w:rPr>
          <w:lang w:val="en-GB"/>
        </w:rPr>
        <w:t>1675</w:t>
      </w:r>
    </w:p>
  </w:footnote>
  <w:footnote w:id="9">
    <w:p w14:paraId="6D704DEF" w14:textId="7360026B" w:rsidR="004E5624" w:rsidRPr="004E5624" w:rsidRDefault="004E5624">
      <w:pPr>
        <w:pStyle w:val="FootnoteText"/>
        <w:rPr>
          <w:lang w:val="en-GB"/>
        </w:rPr>
      </w:pPr>
      <w:r>
        <w:rPr>
          <w:rStyle w:val="FootnoteReference"/>
        </w:rPr>
        <w:footnoteRef/>
      </w:r>
      <w:r>
        <w:t xml:space="preserve"> V</w:t>
      </w:r>
      <w:r>
        <w:t xml:space="preserve">olumes VII and VIII </w:t>
      </w:r>
    </w:p>
  </w:footnote>
  <w:footnote w:id="10">
    <w:p w14:paraId="746AC3D7" w14:textId="77777777" w:rsidR="00821298" w:rsidRPr="00172FA3" w:rsidRDefault="00821298" w:rsidP="00821298">
      <w:pPr>
        <w:pStyle w:val="FootnoteText"/>
        <w:rPr>
          <w:lang w:val="en-GB"/>
        </w:rPr>
      </w:pPr>
      <w:r>
        <w:rPr>
          <w:rStyle w:val="FootnoteReference"/>
        </w:rPr>
        <w:footnoteRef/>
      </w:r>
      <w:r>
        <w:t xml:space="preserve"> </w:t>
      </w:r>
      <w:r>
        <w:rPr>
          <w:lang w:val="en-GB"/>
        </w:rPr>
        <w:t>Nicholas Campion, Astrology in Time and Place: Cross-Cultural Questions in the History of Astrology, 2016, pp. 131</w:t>
      </w:r>
    </w:p>
  </w:footnote>
  <w:footnote w:id="11">
    <w:p w14:paraId="7F4FB0A4" w14:textId="77777777" w:rsidR="00CC2069" w:rsidRPr="00DE1215" w:rsidRDefault="00CC2069" w:rsidP="00CC2069">
      <w:pPr>
        <w:pStyle w:val="FootnoteText"/>
        <w:rPr>
          <w:lang w:val="en-GB"/>
        </w:rPr>
      </w:pPr>
      <w:r>
        <w:rPr>
          <w:rStyle w:val="FootnoteReference"/>
        </w:rPr>
        <w:footnoteRef/>
      </w:r>
      <w:r>
        <w:t xml:space="preserve"> </w:t>
      </w:r>
      <w:r>
        <w:rPr>
          <w:lang w:val="en-GB"/>
        </w:rPr>
        <w:t>Plato, Republic, Book X, The myth or Er</w:t>
      </w:r>
    </w:p>
  </w:footnote>
  <w:footnote w:id="12">
    <w:p w14:paraId="2F387A57" w14:textId="77777777" w:rsidR="00CC2069" w:rsidRPr="0055782B" w:rsidRDefault="00CC2069" w:rsidP="00CC2069">
      <w:pPr>
        <w:pStyle w:val="FootnoteText"/>
        <w:rPr>
          <w:lang w:val="en-GB"/>
        </w:rPr>
      </w:pPr>
      <w:r>
        <w:rPr>
          <w:rStyle w:val="FootnoteReference"/>
        </w:rPr>
        <w:footnoteRef/>
      </w:r>
      <w:r>
        <w:t xml:space="preserve"> </w:t>
      </w:r>
      <w:r>
        <w:rPr>
          <w:lang w:val="en-GB"/>
        </w:rPr>
        <w:t>Nicholas Campion &amp; Dorian Greenbaum, Astrology in Time and Place, Ch.6</w:t>
      </w:r>
    </w:p>
  </w:footnote>
  <w:footnote w:id="13">
    <w:p w14:paraId="010330D5" w14:textId="77777777" w:rsidR="005B61E0" w:rsidRPr="00000A26" w:rsidRDefault="005B61E0" w:rsidP="005B61E0">
      <w:pPr>
        <w:pStyle w:val="FootnoteText"/>
        <w:rPr>
          <w:lang w:val="en-GB"/>
        </w:rPr>
      </w:pPr>
      <w:r>
        <w:rPr>
          <w:rStyle w:val="FootnoteReference"/>
        </w:rPr>
        <w:footnoteRef/>
      </w:r>
      <w:r>
        <w:t xml:space="preserve"> </w:t>
      </w:r>
      <w:r>
        <w:rPr>
          <w:lang w:val="en-GB"/>
        </w:rPr>
        <w:t>Terry Eagleton, The Idea of Culture, Culture in Crisis, Blackwell, 2000, p. 34</w:t>
      </w:r>
    </w:p>
  </w:footnote>
  <w:footnote w:id="14">
    <w:p w14:paraId="727506E9" w14:textId="77777777" w:rsidR="005B61E0" w:rsidRPr="00000A26" w:rsidRDefault="005B61E0" w:rsidP="005B61E0">
      <w:pPr>
        <w:pStyle w:val="FootnoteText"/>
        <w:rPr>
          <w:lang w:val="en-GB"/>
        </w:rPr>
      </w:pPr>
      <w:r>
        <w:rPr>
          <w:rStyle w:val="FootnoteReference"/>
        </w:rPr>
        <w:footnoteRef/>
      </w:r>
      <w:r>
        <w:t xml:space="preserve"> </w:t>
      </w:r>
      <w:r>
        <w:rPr>
          <w:lang w:val="en-GB"/>
        </w:rPr>
        <w:t>Stuart Hall, Culture and the State, in Terry Eagleton, The Idea of Culture, Blackwell, 2000, p.34</w:t>
      </w:r>
    </w:p>
  </w:footnote>
  <w:footnote w:id="15">
    <w:p w14:paraId="771D971D" w14:textId="77777777" w:rsidR="00973FC1" w:rsidRPr="00CE12D2" w:rsidRDefault="00973FC1" w:rsidP="00973FC1">
      <w:pPr>
        <w:pStyle w:val="FootnoteText"/>
        <w:rPr>
          <w:lang w:val="en-GB"/>
        </w:rPr>
      </w:pPr>
      <w:r>
        <w:rPr>
          <w:rStyle w:val="FootnoteReference"/>
        </w:rPr>
        <w:footnoteRef/>
      </w:r>
      <w:r>
        <w:t xml:space="preserve"> </w:t>
      </w:r>
      <w:r w:rsidRPr="00CE12D2">
        <w:rPr>
          <w:lang w:val="en-GB"/>
        </w:rPr>
        <w:t xml:space="preserve">Roy Willis and Patrick Curry, </w:t>
      </w:r>
      <w:r w:rsidRPr="00CE12D2">
        <w:rPr>
          <w:i/>
          <w:iCs/>
          <w:lang w:val="en-GB"/>
        </w:rPr>
        <w:t>Astrology, science, and culture: pulling down the moon</w:t>
      </w:r>
      <w:r w:rsidRPr="00CE12D2">
        <w:rPr>
          <w:lang w:val="en-GB"/>
        </w:rPr>
        <w:t>, (Oxford 2004)</w:t>
      </w:r>
    </w:p>
  </w:footnote>
  <w:footnote w:id="16">
    <w:p w14:paraId="335840A9" w14:textId="77777777" w:rsidR="005B61E0" w:rsidRPr="009364A9" w:rsidRDefault="005B61E0" w:rsidP="005B61E0">
      <w:pPr>
        <w:pStyle w:val="FootnoteText"/>
        <w:rPr>
          <w:lang w:val="en-GB"/>
        </w:rPr>
      </w:pPr>
      <w:r>
        <w:rPr>
          <w:rStyle w:val="FootnoteReference"/>
        </w:rPr>
        <w:footnoteRef/>
      </w:r>
      <w:r>
        <w:t xml:space="preserve"> </w:t>
      </w:r>
      <w:r>
        <w:rPr>
          <w:lang w:val="en-GB"/>
        </w:rPr>
        <w:t>Terry Eagleton, The Idea of Culture, Wiley-Blackwell, 2000, pp. 6-7</w:t>
      </w:r>
    </w:p>
  </w:footnote>
  <w:footnote w:id="17">
    <w:p w14:paraId="2275E8F1" w14:textId="77777777" w:rsidR="005B61E0" w:rsidRPr="00D406C5" w:rsidRDefault="005B61E0" w:rsidP="005B61E0">
      <w:pPr>
        <w:pStyle w:val="FootnoteText"/>
        <w:rPr>
          <w:lang w:val="en-GB"/>
        </w:rPr>
      </w:pPr>
      <w:r>
        <w:rPr>
          <w:rStyle w:val="FootnoteReference"/>
        </w:rPr>
        <w:footnoteRef/>
      </w:r>
      <w:r>
        <w:t xml:space="preserve"> </w:t>
      </w:r>
      <w:r>
        <w:rPr>
          <w:lang w:val="en-GB"/>
        </w:rPr>
        <w:t>Keith Thomas, Religion and the Decline of Magic, Studies in popular beliefs in sixteenth and seventeenth-century England, London, 1971</w:t>
      </w:r>
    </w:p>
  </w:footnote>
  <w:footnote w:id="18">
    <w:p w14:paraId="5CA6649B" w14:textId="77777777" w:rsidR="005B61E0" w:rsidRPr="00406469" w:rsidRDefault="005B61E0" w:rsidP="005B61E0">
      <w:pPr>
        <w:pStyle w:val="FootnoteText"/>
        <w:rPr>
          <w:lang w:val="en-GB"/>
        </w:rPr>
      </w:pPr>
      <w:r>
        <w:rPr>
          <w:rStyle w:val="FootnoteReference"/>
        </w:rPr>
        <w:footnoteRef/>
      </w:r>
      <w:r>
        <w:t xml:space="preserve"> </w:t>
      </w:r>
      <w:r>
        <w:rPr>
          <w:lang w:val="en-GB"/>
        </w:rPr>
        <w:t xml:space="preserve">Raymond Head, Holst – Astrology &amp; Modernism in The Planets, </w:t>
      </w:r>
    </w:p>
  </w:footnote>
  <w:footnote w:id="19">
    <w:p w14:paraId="38ED94D5" w14:textId="4D199999" w:rsidR="00821298" w:rsidRPr="00821298" w:rsidRDefault="00821298">
      <w:pPr>
        <w:pStyle w:val="FootnoteText"/>
        <w:rPr>
          <w:lang w:val="en-GB"/>
        </w:rPr>
      </w:pPr>
      <w:r>
        <w:rPr>
          <w:rStyle w:val="FootnoteReference"/>
        </w:rPr>
        <w:footnoteRef/>
      </w:r>
      <w:r>
        <w:t xml:space="preserve"> Johannes Kepler, </w:t>
      </w:r>
      <w:r>
        <w:t>‘Tertius Interveniens’</w:t>
      </w:r>
    </w:p>
  </w:footnote>
  <w:footnote w:id="20">
    <w:p w14:paraId="75295A76" w14:textId="77777777" w:rsidR="003F4B39" w:rsidRPr="0017628E" w:rsidRDefault="003F4B39" w:rsidP="003F4B39">
      <w:pPr>
        <w:pStyle w:val="FootnoteText"/>
        <w:rPr>
          <w:lang w:val="en-GB"/>
        </w:rPr>
      </w:pPr>
      <w:r>
        <w:rPr>
          <w:rStyle w:val="FootnoteReference"/>
        </w:rPr>
        <w:footnoteRef/>
      </w:r>
      <w:r>
        <w:t xml:space="preserve"> </w:t>
      </w:r>
      <w:r>
        <w:rPr>
          <w:rFonts w:ascii="Arial" w:hAnsi="Arial" w:cs="Arial"/>
          <w:color w:val="222222"/>
          <w:shd w:val="clear" w:color="auto" w:fill="FFFFFF"/>
        </w:rPr>
        <w:t>Barker and Goldstein. "Theological Foundations of Kepler's Astronomy", pp. 112–13.</w:t>
      </w:r>
    </w:p>
  </w:footnote>
  <w:footnote w:id="21">
    <w:p w14:paraId="071D6B46" w14:textId="12095E12" w:rsidR="00130340" w:rsidRPr="00130340" w:rsidRDefault="00130340">
      <w:pPr>
        <w:pStyle w:val="FootnoteText"/>
        <w:rPr>
          <w:lang w:val="en-GB"/>
        </w:rPr>
      </w:pPr>
      <w:r>
        <w:rPr>
          <w:rStyle w:val="FootnoteReference"/>
        </w:rPr>
        <w:footnoteRef/>
      </w:r>
      <w:r>
        <w:t xml:space="preserve"> ‘The Quest’ - </w:t>
      </w:r>
      <w:r>
        <w:t xml:space="preserve">a society that aimed to promote investigation into comparative religion, philosophy and science and encourage the expression of the ideal in beautiful forms with the view that ‘the highest use and purpose of art is to reveal and express the inner soul of </w:t>
      </w:r>
      <w:proofErr w:type="gramStart"/>
      <w:r w:rsidR="00BB2A7A">
        <w:t>things’</w:t>
      </w:r>
      <w:proofErr w:type="gramEnd"/>
      <w:r>
        <w:t>.</w:t>
      </w:r>
    </w:p>
  </w:footnote>
  <w:footnote w:id="22">
    <w:p w14:paraId="4E567B17" w14:textId="17D5586A" w:rsidR="00D234B7" w:rsidRPr="00D234B7" w:rsidRDefault="00D234B7">
      <w:pPr>
        <w:pStyle w:val="FootnoteText"/>
        <w:rPr>
          <w:lang w:val="en-GB"/>
        </w:rPr>
      </w:pPr>
      <w:r>
        <w:rPr>
          <w:rStyle w:val="FootnoteReference"/>
        </w:rPr>
        <w:footnoteRef/>
      </w:r>
      <w:r>
        <w:t xml:space="preserve"> </w:t>
      </w:r>
      <w:r>
        <w:rPr>
          <w:lang w:val="en-GB"/>
        </w:rPr>
        <w:t>Gustav Holst, Lecture: The Mystic, the Artist and the Philistine, Extract, Britten Pears Arts Archive, 1919</w:t>
      </w:r>
    </w:p>
  </w:footnote>
  <w:footnote w:id="23">
    <w:p w14:paraId="2ECDA4F9" w14:textId="06F41213" w:rsidR="00BB2A7A" w:rsidRPr="00BB2A7A" w:rsidRDefault="00BB2A7A">
      <w:pPr>
        <w:pStyle w:val="FootnoteText"/>
        <w:rPr>
          <w:lang w:val="en-GB"/>
        </w:rPr>
      </w:pPr>
      <w:r>
        <w:rPr>
          <w:rStyle w:val="FootnoteReference"/>
        </w:rPr>
        <w:footnoteRef/>
      </w:r>
      <w:r>
        <w:t xml:space="preserve"> </w:t>
      </w:r>
      <w:r>
        <w:rPr>
          <w:lang w:val="en-GB"/>
        </w:rPr>
        <w:t>Plato, The Republic, Book X, 360 B.C.</w:t>
      </w:r>
    </w:p>
  </w:footnote>
  <w:footnote w:id="24">
    <w:p w14:paraId="4466DCD3" w14:textId="09AFA893" w:rsidR="00636641" w:rsidRPr="00636641" w:rsidRDefault="00636641">
      <w:pPr>
        <w:pStyle w:val="FootnoteText"/>
        <w:rPr>
          <w:lang w:val="en-GB"/>
        </w:rPr>
      </w:pPr>
      <w:r>
        <w:rPr>
          <w:rStyle w:val="FootnoteReference"/>
        </w:rPr>
        <w:footnoteRef/>
      </w:r>
      <w:r>
        <w:t xml:space="preserve"> </w:t>
      </w:r>
      <w:r>
        <w:rPr>
          <w:lang w:val="en-GB"/>
        </w:rPr>
        <w:t xml:space="preserve">Alan Leo, ‘The Art of Synthesis’, </w:t>
      </w:r>
    </w:p>
  </w:footnote>
  <w:footnote w:id="25">
    <w:p w14:paraId="617EB91F" w14:textId="5DC1BEDE" w:rsidR="00D86C27" w:rsidRPr="00D86C27" w:rsidRDefault="00D86C27">
      <w:pPr>
        <w:pStyle w:val="FootnoteText"/>
        <w:rPr>
          <w:lang w:val="en-GB"/>
        </w:rPr>
      </w:pPr>
      <w:r>
        <w:rPr>
          <w:rStyle w:val="FootnoteReference"/>
        </w:rPr>
        <w:footnoteRef/>
      </w:r>
      <w:r>
        <w:t xml:space="preserve"> </w:t>
      </w:r>
      <w:r>
        <w:rPr>
          <w:lang w:val="en-GB"/>
        </w:rPr>
        <w:t xml:space="preserve">Mark </w:t>
      </w:r>
      <w:proofErr w:type="spellStart"/>
      <w:r>
        <w:rPr>
          <w:lang w:val="en-GB"/>
        </w:rPr>
        <w:t>Graubard</w:t>
      </w:r>
      <w:proofErr w:type="spellEnd"/>
      <w:r>
        <w:rPr>
          <w:lang w:val="en-GB"/>
        </w:rPr>
        <w:t>, Astrology’s Demise, pp.255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87A455A"/>
    <w:lvl w:ilvl="0">
      <w:start w:val="1"/>
      <w:numFmt w:val="decimal"/>
      <w:lvlText w:val="%1."/>
      <w:lvlJc w:val="left"/>
      <w:pPr>
        <w:tabs>
          <w:tab w:val="num" w:pos="389"/>
        </w:tabs>
        <w:ind w:left="389" w:hanging="389"/>
      </w:pPr>
      <w:rPr>
        <w:rFonts w:hint="default"/>
      </w:rPr>
    </w:lvl>
  </w:abstractNum>
  <w:abstractNum w:abstractNumId="1" w15:restartNumberingAfterBreak="0">
    <w:nsid w:val="FFFFFF89"/>
    <w:multiLevelType w:val="singleLevel"/>
    <w:tmpl w:val="7BAE3498"/>
    <w:lvl w:ilvl="0">
      <w:start w:val="1"/>
      <w:numFmt w:val="bullet"/>
      <w:lvlText w:val=""/>
      <w:lvlJc w:val="left"/>
      <w:pPr>
        <w:tabs>
          <w:tab w:val="num" w:pos="432"/>
        </w:tabs>
        <w:ind w:left="432" w:hanging="432"/>
      </w:pPr>
      <w:rPr>
        <w:rFonts w:ascii="Symbol" w:hAnsi="Symbol" w:hint="default"/>
      </w:rPr>
    </w:lvl>
  </w:abstractNum>
  <w:abstractNum w:abstractNumId="2" w15:restartNumberingAfterBreak="0">
    <w:nsid w:val="06C7362E"/>
    <w:multiLevelType w:val="hybridMultilevel"/>
    <w:tmpl w:val="078A913A"/>
    <w:lvl w:ilvl="0" w:tplc="F108703C">
      <w:start w:val="1"/>
      <w:numFmt w:val="bullet"/>
      <w:pStyle w:val="List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1496B"/>
    <w:multiLevelType w:val="hybridMultilevel"/>
    <w:tmpl w:val="8B86F606"/>
    <w:lvl w:ilvl="0" w:tplc="61AEB7E4">
      <w:start w:val="1"/>
      <w:numFmt w:val="bullet"/>
      <w:lvlText w:val=""/>
      <w:lvlJc w:val="left"/>
      <w:pPr>
        <w:tabs>
          <w:tab w:val="num" w:pos="389"/>
        </w:tabs>
        <w:ind w:left="389" w:hanging="38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0B32DD"/>
    <w:multiLevelType w:val="hybridMultilevel"/>
    <w:tmpl w:val="0770D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AE59A3"/>
    <w:multiLevelType w:val="multilevel"/>
    <w:tmpl w:val="FABE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BA3289"/>
    <w:multiLevelType w:val="multilevel"/>
    <w:tmpl w:val="E4E4A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8110EC"/>
    <w:multiLevelType w:val="hybridMultilevel"/>
    <w:tmpl w:val="A330FC92"/>
    <w:lvl w:ilvl="0" w:tplc="0B66C61A">
      <w:start w:val="1"/>
      <w:numFmt w:val="decimal"/>
      <w:pStyle w:val="ListNumber"/>
      <w:lvlText w:val="%1."/>
      <w:lvlJc w:val="left"/>
      <w:pPr>
        <w:tabs>
          <w:tab w:val="num" w:pos="389"/>
        </w:tabs>
        <w:ind w:left="389" w:hanging="389"/>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963E4"/>
    <w:multiLevelType w:val="hybridMultilevel"/>
    <w:tmpl w:val="0B725B38"/>
    <w:lvl w:ilvl="0" w:tplc="FB8A73C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9904453">
    <w:abstractNumId w:val="1"/>
  </w:num>
  <w:num w:numId="2" w16cid:durableId="268437909">
    <w:abstractNumId w:val="1"/>
    <w:lvlOverride w:ilvl="0">
      <w:startOverride w:val="1"/>
    </w:lvlOverride>
  </w:num>
  <w:num w:numId="3" w16cid:durableId="2048944438">
    <w:abstractNumId w:val="3"/>
  </w:num>
  <w:num w:numId="4" w16cid:durableId="1524319820">
    <w:abstractNumId w:val="0"/>
  </w:num>
  <w:num w:numId="5" w16cid:durableId="527720728">
    <w:abstractNumId w:val="8"/>
  </w:num>
  <w:num w:numId="6" w16cid:durableId="2106071512">
    <w:abstractNumId w:val="7"/>
  </w:num>
  <w:num w:numId="7" w16cid:durableId="872770561">
    <w:abstractNumId w:val="2"/>
  </w:num>
  <w:num w:numId="8" w16cid:durableId="51272308">
    <w:abstractNumId w:val="5"/>
  </w:num>
  <w:num w:numId="9" w16cid:durableId="1253976026">
    <w:abstractNumId w:val="6"/>
  </w:num>
  <w:num w:numId="10" w16cid:durableId="1943758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F73"/>
    <w:rsid w:val="00000A26"/>
    <w:rsid w:val="00024164"/>
    <w:rsid w:val="000347DC"/>
    <w:rsid w:val="00046203"/>
    <w:rsid w:val="00064969"/>
    <w:rsid w:val="000663DB"/>
    <w:rsid w:val="000B0A4B"/>
    <w:rsid w:val="000B262B"/>
    <w:rsid w:val="000C17CA"/>
    <w:rsid w:val="000C7C1D"/>
    <w:rsid w:val="000D18CE"/>
    <w:rsid w:val="000D3563"/>
    <w:rsid w:val="00115FD8"/>
    <w:rsid w:val="00130340"/>
    <w:rsid w:val="00172FA3"/>
    <w:rsid w:val="0017628E"/>
    <w:rsid w:val="0017630D"/>
    <w:rsid w:val="0017696A"/>
    <w:rsid w:val="0019569D"/>
    <w:rsid w:val="002112A2"/>
    <w:rsid w:val="00230BB4"/>
    <w:rsid w:val="00250BB1"/>
    <w:rsid w:val="00270403"/>
    <w:rsid w:val="0028000C"/>
    <w:rsid w:val="002A2DB1"/>
    <w:rsid w:val="002A2E0B"/>
    <w:rsid w:val="00357E9D"/>
    <w:rsid w:val="00364608"/>
    <w:rsid w:val="003C0724"/>
    <w:rsid w:val="003E368E"/>
    <w:rsid w:val="003F1172"/>
    <w:rsid w:val="003F4B39"/>
    <w:rsid w:val="00406469"/>
    <w:rsid w:val="004250E3"/>
    <w:rsid w:val="00445D02"/>
    <w:rsid w:val="00450A46"/>
    <w:rsid w:val="004532A8"/>
    <w:rsid w:val="00486127"/>
    <w:rsid w:val="00492AB6"/>
    <w:rsid w:val="004C191C"/>
    <w:rsid w:val="004C6804"/>
    <w:rsid w:val="004D0C9B"/>
    <w:rsid w:val="004D70DC"/>
    <w:rsid w:val="004E5624"/>
    <w:rsid w:val="004F01E7"/>
    <w:rsid w:val="00524387"/>
    <w:rsid w:val="0055782B"/>
    <w:rsid w:val="00574FB9"/>
    <w:rsid w:val="005A4FB5"/>
    <w:rsid w:val="005B1616"/>
    <w:rsid w:val="005B61E0"/>
    <w:rsid w:val="006175B8"/>
    <w:rsid w:val="0062460F"/>
    <w:rsid w:val="00636641"/>
    <w:rsid w:val="006B12A7"/>
    <w:rsid w:val="006F00DC"/>
    <w:rsid w:val="00712BD4"/>
    <w:rsid w:val="00777992"/>
    <w:rsid w:val="007A185E"/>
    <w:rsid w:val="007A35F1"/>
    <w:rsid w:val="007D0C02"/>
    <w:rsid w:val="008013DA"/>
    <w:rsid w:val="00821298"/>
    <w:rsid w:val="00860902"/>
    <w:rsid w:val="008B2E77"/>
    <w:rsid w:val="008C1713"/>
    <w:rsid w:val="009364A9"/>
    <w:rsid w:val="00937CA8"/>
    <w:rsid w:val="00945684"/>
    <w:rsid w:val="00945768"/>
    <w:rsid w:val="00957C9A"/>
    <w:rsid w:val="00973FC1"/>
    <w:rsid w:val="009B7F12"/>
    <w:rsid w:val="009C655A"/>
    <w:rsid w:val="009E4D71"/>
    <w:rsid w:val="009F3F73"/>
    <w:rsid w:val="00A22467"/>
    <w:rsid w:val="00A24B3C"/>
    <w:rsid w:val="00A50BE0"/>
    <w:rsid w:val="00A71EA5"/>
    <w:rsid w:val="00AB769D"/>
    <w:rsid w:val="00AD588F"/>
    <w:rsid w:val="00AE2B57"/>
    <w:rsid w:val="00BA2ACB"/>
    <w:rsid w:val="00BB2A7A"/>
    <w:rsid w:val="00BD6A22"/>
    <w:rsid w:val="00BE6470"/>
    <w:rsid w:val="00BF423F"/>
    <w:rsid w:val="00C014F8"/>
    <w:rsid w:val="00C25153"/>
    <w:rsid w:val="00C70AD9"/>
    <w:rsid w:val="00C833CA"/>
    <w:rsid w:val="00CA61A5"/>
    <w:rsid w:val="00CB7D2E"/>
    <w:rsid w:val="00CC2069"/>
    <w:rsid w:val="00CC46E4"/>
    <w:rsid w:val="00CE12D2"/>
    <w:rsid w:val="00CF3841"/>
    <w:rsid w:val="00D03826"/>
    <w:rsid w:val="00D2272D"/>
    <w:rsid w:val="00D234B7"/>
    <w:rsid w:val="00D406C5"/>
    <w:rsid w:val="00D503DB"/>
    <w:rsid w:val="00D56EE1"/>
    <w:rsid w:val="00D86C27"/>
    <w:rsid w:val="00D94132"/>
    <w:rsid w:val="00DD7A94"/>
    <w:rsid w:val="00DE1215"/>
    <w:rsid w:val="00E317C5"/>
    <w:rsid w:val="00E41A36"/>
    <w:rsid w:val="00E669F1"/>
    <w:rsid w:val="00EB448B"/>
    <w:rsid w:val="00EC05A7"/>
    <w:rsid w:val="00EF3675"/>
    <w:rsid w:val="00F62F40"/>
    <w:rsid w:val="00F669F7"/>
    <w:rsid w:val="00F912D3"/>
    <w:rsid w:val="00F934B0"/>
    <w:rsid w:val="00F979D2"/>
    <w:rsid w:val="00FA0900"/>
    <w:rsid w:val="00FE0D8B"/>
    <w:rsid w:val="00FE0E4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C3A3D"/>
  <w15:chartTrackingRefBased/>
  <w15:docId w15:val="{5484E22A-78F0-BF4F-9FE5-E7D9A7AB8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2A2A2A" w:themeColor="text2"/>
        <w:sz w:val="22"/>
        <w:szCs w:val="22"/>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3DB"/>
    <w:rPr>
      <w:sz w:val="24"/>
    </w:rPr>
  </w:style>
  <w:style w:type="paragraph" w:styleId="Heading1">
    <w:name w:val="heading 1"/>
    <w:basedOn w:val="Normal"/>
    <w:next w:val="Normal"/>
    <w:link w:val="Heading1Char"/>
    <w:uiPriority w:val="9"/>
    <w:qFormat/>
    <w:pPr>
      <w:pageBreakBefore/>
      <w:spacing w:after="3600" w:line="240" w:lineRule="auto"/>
      <w:contextualSpacing/>
      <w:outlineLvl w:val="0"/>
    </w:pPr>
    <w:rPr>
      <w:rFonts w:asciiTheme="majorHAnsi" w:eastAsiaTheme="majorEastAsia" w:hAnsiTheme="majorHAnsi" w:cstheme="majorBidi"/>
      <w:b/>
      <w:sz w:val="110"/>
      <w:szCs w:val="32"/>
    </w:rPr>
  </w:style>
  <w:style w:type="paragraph" w:styleId="Heading2">
    <w:name w:val="heading 2"/>
    <w:basedOn w:val="Normal"/>
    <w:next w:val="Normal"/>
    <w:link w:val="Heading2Char"/>
    <w:uiPriority w:val="9"/>
    <w:unhideWhenUsed/>
    <w:qFormat/>
    <w:pPr>
      <w:keepNext/>
      <w:keepLines/>
      <w:pBdr>
        <w:top w:val="single" w:sz="24" w:space="18" w:color="2A2A2A" w:themeColor="text2"/>
      </w:pBdr>
      <w:spacing w:after="320" w:line="240" w:lineRule="auto"/>
      <w:contextualSpacing/>
      <w:outlineLvl w:val="1"/>
    </w:pPr>
    <w:rPr>
      <w:rFonts w:asciiTheme="majorHAnsi" w:eastAsiaTheme="majorEastAsia" w:hAnsiTheme="majorHAnsi" w:cstheme="majorBidi"/>
      <w:b/>
      <w:color w:val="E09B3B" w:themeColor="accent1"/>
      <w:sz w:val="38"/>
      <w:szCs w:val="26"/>
    </w:rPr>
  </w:style>
  <w:style w:type="paragraph" w:styleId="Heading3">
    <w:name w:val="heading 3"/>
    <w:basedOn w:val="Normal"/>
    <w:next w:val="Normal"/>
    <w:link w:val="Heading3Char"/>
    <w:uiPriority w:val="9"/>
    <w:unhideWhenUsed/>
    <w:qFormat/>
    <w:pPr>
      <w:keepNext/>
      <w:keepLines/>
      <w:spacing w:after="320" w:line="240" w:lineRule="auto"/>
      <w:contextualSpacing/>
      <w:outlineLvl w:val="2"/>
    </w:pPr>
    <w:rPr>
      <w:rFonts w:asciiTheme="majorHAnsi" w:eastAsiaTheme="majorEastAsia" w:hAnsiTheme="majorHAnsi" w:cstheme="majorBidi"/>
      <w:b/>
      <w:sz w:val="36"/>
      <w:szCs w:val="24"/>
    </w:rPr>
  </w:style>
  <w:style w:type="paragraph" w:styleId="Heading4">
    <w:name w:val="heading 4"/>
    <w:basedOn w:val="Normal"/>
    <w:next w:val="Normal"/>
    <w:link w:val="Heading4Char"/>
    <w:uiPriority w:val="9"/>
    <w:semiHidden/>
    <w:unhideWhenUsed/>
    <w:qFormat/>
    <w:pPr>
      <w:keepNext/>
      <w:keepLines/>
      <w:spacing w:after="320" w:line="240" w:lineRule="auto"/>
      <w:contextualSpacing/>
      <w:outlineLvl w:val="3"/>
    </w:pPr>
    <w:rPr>
      <w:rFonts w:asciiTheme="majorHAnsi" w:eastAsiaTheme="majorEastAsia" w:hAnsiTheme="majorHAnsi" w:cstheme="majorBidi"/>
      <w:b/>
      <w:i/>
      <w:iCs/>
      <w:sz w:val="36"/>
    </w:rPr>
  </w:style>
  <w:style w:type="paragraph" w:styleId="Heading5">
    <w:name w:val="heading 5"/>
    <w:basedOn w:val="Normal"/>
    <w:next w:val="Normal"/>
    <w:link w:val="Heading5Char"/>
    <w:uiPriority w:val="9"/>
    <w:semiHidden/>
    <w:unhideWhenUsed/>
    <w:qFormat/>
    <w:pPr>
      <w:keepNext/>
      <w:keepLines/>
      <w:spacing w:after="320" w:line="240" w:lineRule="auto"/>
      <w:contextualSpacing/>
      <w:outlineLvl w:val="4"/>
    </w:pPr>
    <w:rPr>
      <w:rFonts w:asciiTheme="majorHAnsi" w:eastAsiaTheme="majorEastAsia" w:hAnsiTheme="majorHAnsi" w:cstheme="majorBidi"/>
      <w:b/>
      <w:color w:val="949494" w:themeColor="text2" w:themeTint="80"/>
      <w:sz w:val="36"/>
    </w:rPr>
  </w:style>
  <w:style w:type="paragraph" w:styleId="Heading6">
    <w:name w:val="heading 6"/>
    <w:basedOn w:val="Normal"/>
    <w:next w:val="Normal"/>
    <w:link w:val="Heading6Char"/>
    <w:uiPriority w:val="9"/>
    <w:semiHidden/>
    <w:unhideWhenUsed/>
    <w:qFormat/>
    <w:pPr>
      <w:keepNext/>
      <w:keepLines/>
      <w:pBdr>
        <w:top w:val="single" w:sz="12" w:space="12" w:color="2A2A2A" w:themeColor="text2"/>
      </w:pBdr>
      <w:spacing w:after="320" w:line="240" w:lineRule="auto"/>
      <w:contextualSpacing/>
      <w:outlineLvl w:val="5"/>
    </w:pPr>
    <w:rPr>
      <w:rFonts w:asciiTheme="majorHAnsi" w:eastAsiaTheme="majorEastAsia" w:hAnsiTheme="majorHAnsi" w:cstheme="majorBidi"/>
      <w:b/>
      <w:color w:val="E09B3B" w:themeColor="accent1"/>
      <w:sz w:val="36"/>
    </w:rPr>
  </w:style>
  <w:style w:type="paragraph" w:styleId="Heading7">
    <w:name w:val="heading 7"/>
    <w:basedOn w:val="Normal"/>
    <w:next w:val="Normal"/>
    <w:link w:val="Heading7Char"/>
    <w:uiPriority w:val="9"/>
    <w:semiHidden/>
    <w:unhideWhenUsed/>
    <w:qFormat/>
    <w:pPr>
      <w:keepNext/>
      <w:keepLines/>
      <w:spacing w:after="240" w:line="240" w:lineRule="auto"/>
      <w:contextualSpacing/>
      <w:outlineLvl w:val="6"/>
    </w:pPr>
    <w:rPr>
      <w:rFonts w:asciiTheme="majorHAnsi" w:eastAsiaTheme="majorEastAsia" w:hAnsiTheme="majorHAnsi" w:cstheme="majorBidi"/>
      <w:b/>
      <w:iCs/>
      <w:sz w:val="32"/>
    </w:rPr>
  </w:style>
  <w:style w:type="paragraph" w:styleId="Heading8">
    <w:name w:val="heading 8"/>
    <w:basedOn w:val="Normal"/>
    <w:next w:val="Normal"/>
    <w:link w:val="Heading8Char"/>
    <w:uiPriority w:val="9"/>
    <w:semiHidden/>
    <w:unhideWhenUsed/>
    <w:qFormat/>
    <w:pPr>
      <w:keepNext/>
      <w:keepLines/>
      <w:spacing w:after="240" w:line="240" w:lineRule="auto"/>
      <w:contextualSpacing/>
      <w:outlineLvl w:val="7"/>
    </w:pPr>
    <w:rPr>
      <w:rFonts w:asciiTheme="majorHAnsi" w:eastAsiaTheme="majorEastAsia" w:hAnsiTheme="majorHAnsi" w:cstheme="majorBidi"/>
      <w:b/>
      <w:i/>
      <w:sz w:val="32"/>
      <w:szCs w:val="21"/>
    </w:rPr>
  </w:style>
  <w:style w:type="paragraph" w:styleId="Heading9">
    <w:name w:val="heading 9"/>
    <w:basedOn w:val="Normal"/>
    <w:next w:val="Normal"/>
    <w:link w:val="Heading9Char"/>
    <w:uiPriority w:val="9"/>
    <w:semiHidden/>
    <w:unhideWhenUsed/>
    <w:qFormat/>
    <w:pPr>
      <w:keepNext/>
      <w:keepLines/>
      <w:spacing w:after="240" w:line="240" w:lineRule="auto"/>
      <w:contextualSpacing/>
      <w:outlineLvl w:val="8"/>
    </w:pPr>
    <w:rPr>
      <w:rFonts w:asciiTheme="majorHAnsi" w:eastAsiaTheme="majorEastAsia" w:hAnsiTheme="majorHAnsi" w:cstheme="majorBidi"/>
      <w:b/>
      <w:iCs/>
      <w:color w:val="949494" w:themeColor="text2" w:themeTint="80"/>
      <w:sz w:val="3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spacing w:after="0" w:line="240" w:lineRule="auto"/>
    </w:pPr>
    <w:rPr>
      <w:b/>
      <w:sz w:val="46"/>
    </w:rPr>
  </w:style>
  <w:style w:type="character" w:customStyle="1" w:styleId="FooterChar">
    <w:name w:val="Footer Char"/>
    <w:basedOn w:val="DefaultParagraphFont"/>
    <w:link w:val="Footer"/>
    <w:uiPriority w:val="99"/>
    <w:rPr>
      <w:b/>
      <w:sz w:val="46"/>
    </w:rPr>
  </w:style>
  <w:style w:type="character" w:customStyle="1" w:styleId="Heading1Char">
    <w:name w:val="Heading 1 Char"/>
    <w:basedOn w:val="DefaultParagraphFont"/>
    <w:link w:val="Heading1"/>
    <w:uiPriority w:val="9"/>
    <w:rPr>
      <w:rFonts w:asciiTheme="majorHAnsi" w:eastAsiaTheme="majorEastAsia" w:hAnsiTheme="majorHAnsi" w:cstheme="majorBidi"/>
      <w:b/>
      <w:sz w:val="11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E09B3B" w:themeColor="accent1"/>
      <w:sz w:val="38"/>
      <w:szCs w:val="26"/>
    </w:rPr>
  </w:style>
  <w:style w:type="paragraph" w:styleId="ListBullet">
    <w:name w:val="List Bullet"/>
    <w:basedOn w:val="Normal"/>
    <w:uiPriority w:val="10"/>
    <w:qFormat/>
    <w:pPr>
      <w:numPr>
        <w:numId w:val="7"/>
      </w:numPr>
      <w:spacing w:after="120"/>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unhideWhenUsed/>
    <w:qFormat/>
    <w:pPr>
      <w:spacing w:before="400" w:after="520"/>
      <w:contextualSpacing/>
    </w:pPr>
    <w:rPr>
      <w:b/>
      <w:iCs/>
      <w:sz w:val="56"/>
    </w:rPr>
  </w:style>
  <w:style w:type="character" w:customStyle="1" w:styleId="IntenseQuoteChar">
    <w:name w:val="Intense Quote Char"/>
    <w:basedOn w:val="DefaultParagraphFont"/>
    <w:link w:val="IntenseQuote"/>
    <w:uiPriority w:val="30"/>
    <w:rPr>
      <w:b/>
      <w:iCs/>
      <w:sz w:val="56"/>
    </w:rPr>
  </w:style>
  <w:style w:type="table" w:customStyle="1" w:styleId="ModernPaper">
    <w:name w:val="Modern Paper"/>
    <w:basedOn w:val="TableNormal"/>
    <w:uiPriority w:val="99"/>
    <w:pPr>
      <w:spacing w:before="200" w:line="240" w:lineRule="auto"/>
    </w:pPr>
    <w:tblPr>
      <w:tblBorders>
        <w:insideH w:val="single" w:sz="8" w:space="0" w:color="2A2A2A" w:themeColor="text2"/>
      </w:tblBorders>
      <w:tblCellMar>
        <w:left w:w="144" w:type="dxa"/>
        <w:right w:w="144" w:type="dxa"/>
      </w:tblCellMar>
    </w:tblPr>
    <w:tcPr>
      <w:vAlign w:val="center"/>
    </w:tcPr>
    <w:tblStylePr w:type="firstRow">
      <w:pPr>
        <w:wordWrap/>
        <w:spacing w:beforeLines="0" w:before="480" w:beforeAutospacing="0" w:afterLines="0" w:after="360" w:afterAutospacing="0" w:line="216" w:lineRule="auto"/>
        <w:contextualSpacing w:val="0"/>
      </w:pPr>
      <w:rPr>
        <w:rFonts w:asciiTheme="majorHAnsi" w:hAnsiTheme="majorHAnsi"/>
        <w:b/>
        <w:i w:val="0"/>
        <w:color w:val="E09B3B" w:themeColor="accent1"/>
        <w:sz w:val="28"/>
      </w:rPr>
      <w:tblPr/>
      <w:trPr>
        <w:tblHeader/>
      </w:trPr>
      <w:tcPr>
        <w:tcBorders>
          <w:top w:val="nil"/>
          <w:left w:val="nil"/>
          <w:bottom w:val="single" w:sz="24" w:space="0" w:color="2A2A2A" w:themeColor="text2"/>
          <w:right w:val="nil"/>
          <w:insideH w:val="nil"/>
          <w:insideV w:val="nil"/>
          <w:tl2br w:val="nil"/>
          <w:tr2bl w:val="nil"/>
        </w:tcBorders>
      </w:tcPr>
    </w:tblStylePr>
    <w:tblStylePr w:type="firstCol">
      <w:pPr>
        <w:wordWrap/>
        <w:jc w:val="right"/>
      </w:pPr>
      <w:rPr>
        <w:b/>
      </w:rPr>
      <w:tblPr/>
      <w:tcPr>
        <w:tcMar>
          <w:top w:w="0" w:type="nil"/>
          <w:left w:w="0" w:type="nil"/>
          <w:bottom w:w="0" w:type="nil"/>
          <w:right w:w="432" w:type="dxa"/>
        </w:tcMar>
      </w:tcPr>
    </w:tblStylePr>
    <w:tblStylePr w:type="nwCell">
      <w:pPr>
        <w:wordWrap/>
        <w:jc w:val="left"/>
      </w:pPr>
    </w:tblStylePr>
  </w:style>
  <w:style w:type="character" w:customStyle="1" w:styleId="Heading3Char">
    <w:name w:val="Heading 3 Char"/>
    <w:basedOn w:val="DefaultParagraphFont"/>
    <w:link w:val="Heading3"/>
    <w:uiPriority w:val="9"/>
    <w:rPr>
      <w:rFonts w:asciiTheme="majorHAnsi" w:eastAsiaTheme="majorEastAsia" w:hAnsiTheme="majorHAnsi" w:cstheme="majorBidi"/>
      <w:b/>
      <w:sz w:val="36"/>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sz w:val="36"/>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949494" w:themeColor="text2" w:themeTint="80"/>
      <w:sz w:val="36"/>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E09B3B" w:themeColor="accent1"/>
      <w:sz w:val="3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sz w:val="3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sz w:val="32"/>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949494" w:themeColor="text2" w:themeTint="80"/>
      <w:sz w:val="32"/>
      <w:szCs w:val="21"/>
    </w:rPr>
  </w:style>
  <w:style w:type="character" w:styleId="Emphasis">
    <w:name w:val="Emphasis"/>
    <w:basedOn w:val="DefaultParagraphFont"/>
    <w:uiPriority w:val="20"/>
    <w:semiHidden/>
    <w:unhideWhenUsed/>
    <w:qFormat/>
    <w:rPr>
      <w:i w:val="0"/>
      <w:iCs/>
      <w:color w:val="E09B3B" w:themeColor="accent1"/>
    </w:rPr>
  </w:style>
  <w:style w:type="character" w:styleId="IntenseEmphasis">
    <w:name w:val="Intense Emphasis"/>
    <w:basedOn w:val="DefaultParagraphFont"/>
    <w:uiPriority w:val="21"/>
    <w:semiHidden/>
    <w:unhideWhenUsed/>
    <w:qFormat/>
    <w:rPr>
      <w:b/>
      <w:i/>
      <w:iCs/>
      <w:color w:val="E09B3B" w:themeColor="accent1"/>
    </w:rPr>
  </w:style>
  <w:style w:type="character" w:styleId="Strong">
    <w:name w:val="Strong"/>
    <w:basedOn w:val="DefaultParagraphFont"/>
    <w:uiPriority w:val="22"/>
    <w:semiHidden/>
    <w:unhideWhenUsed/>
    <w:qFormat/>
    <w:rPr>
      <w:b/>
      <w:bCs/>
    </w:rPr>
  </w:style>
  <w:style w:type="character" w:styleId="SubtleReference">
    <w:name w:val="Subtle Reference"/>
    <w:basedOn w:val="DefaultParagraphFont"/>
    <w:uiPriority w:val="31"/>
    <w:semiHidden/>
    <w:unhideWhenUsed/>
    <w:qFormat/>
    <w:rPr>
      <w:caps/>
      <w:smallCaps w:val="0"/>
      <w:color w:val="2A2A2A" w:themeColor="text2"/>
    </w:rPr>
  </w:style>
  <w:style w:type="character" w:styleId="IntenseReference">
    <w:name w:val="Intense Reference"/>
    <w:basedOn w:val="DefaultParagraphFont"/>
    <w:uiPriority w:val="32"/>
    <w:semiHidden/>
    <w:unhideWhenUsed/>
    <w:qFormat/>
    <w:rPr>
      <w:b/>
      <w:bCs/>
      <w:caps/>
      <w:smallCaps w:val="0"/>
      <w:color w:val="2A2A2A" w:themeColor="text2"/>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pPr>
      <w:contextualSpacing/>
    </w:pPr>
    <w:rPr>
      <w:i/>
      <w:iCs/>
      <w:szCs w:val="18"/>
    </w:rPr>
  </w:style>
  <w:style w:type="paragraph" w:styleId="TOCHeading">
    <w:name w:val="TOC Heading"/>
    <w:basedOn w:val="Heading1"/>
    <w:next w:val="Normal"/>
    <w:uiPriority w:val="39"/>
    <w:semiHidden/>
    <w:unhideWhenUsed/>
    <w:qFormat/>
    <w:pPr>
      <w:keepNext/>
      <w:keepLines/>
      <w:pageBreakBefore w:val="0"/>
      <w:outlineLvl w:val="9"/>
    </w:pPr>
  </w:style>
  <w:style w:type="paragraph" w:styleId="Title">
    <w:name w:val="Title"/>
    <w:basedOn w:val="Normal"/>
    <w:next w:val="Normal"/>
    <w:link w:val="TitleChar"/>
    <w:uiPriority w:val="10"/>
    <w:semiHidden/>
    <w:unhideWhenUsed/>
    <w:qFormat/>
    <w:pPr>
      <w:spacing w:after="480" w:line="240" w:lineRule="auto"/>
      <w:contextualSpacing/>
    </w:pPr>
    <w:rPr>
      <w:rFonts w:asciiTheme="majorHAnsi" w:eastAsiaTheme="majorEastAsia" w:hAnsiTheme="majorHAnsi" w:cstheme="majorBidi"/>
      <w:b/>
      <w:kern w:val="28"/>
      <w:sz w:val="140"/>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b/>
      <w:kern w:val="28"/>
      <w:sz w:val="140"/>
      <w:szCs w:val="56"/>
    </w:rPr>
  </w:style>
  <w:style w:type="paragraph" w:styleId="Subtitle">
    <w:name w:val="Subtitle"/>
    <w:basedOn w:val="Normal"/>
    <w:next w:val="Normal"/>
    <w:link w:val="SubtitleChar"/>
    <w:uiPriority w:val="11"/>
    <w:semiHidden/>
    <w:unhideWhenUsed/>
    <w:qFormat/>
    <w:pPr>
      <w:numPr>
        <w:ilvl w:val="1"/>
      </w:numPr>
      <w:spacing w:after="1200" w:line="240" w:lineRule="auto"/>
      <w:contextualSpacing/>
    </w:pPr>
    <w:rPr>
      <w:rFonts w:eastAsiaTheme="minorEastAsia"/>
      <w:b/>
      <w:color w:val="E09B3B" w:themeColor="accent1"/>
      <w:sz w:val="56"/>
    </w:rPr>
  </w:style>
  <w:style w:type="character" w:customStyle="1" w:styleId="SubtitleChar">
    <w:name w:val="Subtitle Char"/>
    <w:basedOn w:val="DefaultParagraphFont"/>
    <w:link w:val="Subtitle"/>
    <w:uiPriority w:val="11"/>
    <w:semiHidden/>
    <w:rPr>
      <w:rFonts w:eastAsiaTheme="minorEastAsia"/>
      <w:b/>
      <w:color w:val="E09B3B" w:themeColor="accent1"/>
      <w:sz w:val="56"/>
      <w:szCs w:val="22"/>
    </w:rPr>
  </w:style>
  <w:style w:type="character" w:styleId="PlaceholderText">
    <w:name w:val="Placeholder Text"/>
    <w:basedOn w:val="DefaultParagraphFont"/>
    <w:uiPriority w:val="99"/>
    <w:semiHidden/>
    <w:rPr>
      <w:color w:val="808080"/>
    </w:rPr>
  </w:style>
  <w:style w:type="character" w:styleId="SubtleEmphasis">
    <w:name w:val="Subtle Emphasis"/>
    <w:basedOn w:val="DefaultParagraphFont"/>
    <w:uiPriority w:val="19"/>
    <w:semiHidden/>
    <w:unhideWhenUsed/>
    <w:qFormat/>
    <w:rPr>
      <w:i/>
      <w:iCs/>
      <w:color w:val="2A2A2A" w:themeColor="text2"/>
    </w:rPr>
  </w:style>
  <w:style w:type="paragraph" w:styleId="Quote">
    <w:name w:val="Quote"/>
    <w:basedOn w:val="Normal"/>
    <w:next w:val="Normal"/>
    <w:link w:val="QuoteChar"/>
    <w:uiPriority w:val="29"/>
    <w:unhideWhenUsed/>
    <w:qFormat/>
    <w:rsid w:val="005B1616"/>
    <w:pPr>
      <w:spacing w:before="360" w:after="360"/>
      <w:ind w:left="720"/>
      <w:contextualSpacing/>
    </w:pPr>
    <w:rPr>
      <w:iCs/>
      <w:sz w:val="22"/>
    </w:rPr>
  </w:style>
  <w:style w:type="character" w:customStyle="1" w:styleId="QuoteChar">
    <w:name w:val="Quote Char"/>
    <w:basedOn w:val="DefaultParagraphFont"/>
    <w:link w:val="Quote"/>
    <w:uiPriority w:val="29"/>
    <w:rsid w:val="005B1616"/>
    <w:rPr>
      <w:iCs/>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1"/>
    <w:qFormat/>
    <w:pPr>
      <w:numPr>
        <w:numId w:val="6"/>
      </w:numPr>
      <w:spacing w:after="120"/>
    </w:pPr>
  </w:style>
  <w:style w:type="paragraph" w:styleId="BlockText">
    <w:name w:val="Block Text"/>
    <w:basedOn w:val="Normal"/>
    <w:uiPriority w:val="31"/>
    <w:unhideWhenUsed/>
    <w:pPr>
      <w:spacing w:before="360" w:after="360"/>
    </w:pPr>
    <w:rPr>
      <w:rFonts w:eastAsiaTheme="minorEastAsia"/>
      <w:iCs/>
      <w:color w:val="3E3E3E" w:themeColor="text2" w:themeTint="E6"/>
      <w:sz w:val="28"/>
    </w:rPr>
  </w:style>
  <w:style w:type="paragraph" w:styleId="FootnoteText">
    <w:name w:val="footnote text"/>
    <w:basedOn w:val="Normal"/>
    <w:link w:val="FootnoteTextChar"/>
    <w:uiPriority w:val="99"/>
    <w:semiHidden/>
    <w:unhideWhenUsed/>
    <w:rsid w:val="00172F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FA3"/>
    <w:rPr>
      <w:sz w:val="20"/>
      <w:szCs w:val="20"/>
    </w:rPr>
  </w:style>
  <w:style w:type="character" w:styleId="FootnoteReference">
    <w:name w:val="footnote reference"/>
    <w:basedOn w:val="DefaultParagraphFont"/>
    <w:uiPriority w:val="99"/>
    <w:semiHidden/>
    <w:unhideWhenUsed/>
    <w:rsid w:val="00172FA3"/>
    <w:rPr>
      <w:vertAlign w:val="superscript"/>
    </w:rPr>
  </w:style>
  <w:style w:type="paragraph" w:styleId="NormalWeb">
    <w:name w:val="Normal (Web)"/>
    <w:basedOn w:val="Normal"/>
    <w:uiPriority w:val="99"/>
    <w:unhideWhenUsed/>
    <w:rsid w:val="00CE12D2"/>
    <w:rPr>
      <w:rFonts w:ascii="Times New Roman" w:hAnsi="Times New Roman" w:cs="Times New Roman"/>
      <w:szCs w:val="24"/>
    </w:rPr>
  </w:style>
  <w:style w:type="paragraph" w:styleId="ListParagraph">
    <w:name w:val="List Paragraph"/>
    <w:basedOn w:val="Normal"/>
    <w:uiPriority w:val="34"/>
    <w:unhideWhenUsed/>
    <w:qFormat/>
    <w:rsid w:val="00AE2B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50023">
      <w:bodyDiv w:val="1"/>
      <w:marLeft w:val="0"/>
      <w:marRight w:val="0"/>
      <w:marTop w:val="0"/>
      <w:marBottom w:val="0"/>
      <w:divBdr>
        <w:top w:val="none" w:sz="0" w:space="0" w:color="auto"/>
        <w:left w:val="none" w:sz="0" w:space="0" w:color="auto"/>
        <w:bottom w:val="none" w:sz="0" w:space="0" w:color="auto"/>
        <w:right w:val="none" w:sz="0" w:space="0" w:color="auto"/>
      </w:divBdr>
      <w:divsChild>
        <w:div w:id="717433302">
          <w:marLeft w:val="0"/>
          <w:marRight w:val="0"/>
          <w:marTop w:val="0"/>
          <w:marBottom w:val="0"/>
          <w:divBdr>
            <w:top w:val="none" w:sz="0" w:space="0" w:color="auto"/>
            <w:left w:val="none" w:sz="0" w:space="0" w:color="auto"/>
            <w:bottom w:val="none" w:sz="0" w:space="0" w:color="auto"/>
            <w:right w:val="none" w:sz="0" w:space="0" w:color="auto"/>
          </w:divBdr>
          <w:divsChild>
            <w:div w:id="95248749">
              <w:marLeft w:val="0"/>
              <w:marRight w:val="0"/>
              <w:marTop w:val="0"/>
              <w:marBottom w:val="0"/>
              <w:divBdr>
                <w:top w:val="none" w:sz="0" w:space="0" w:color="auto"/>
                <w:left w:val="none" w:sz="0" w:space="0" w:color="auto"/>
                <w:bottom w:val="none" w:sz="0" w:space="0" w:color="auto"/>
                <w:right w:val="none" w:sz="0" w:space="0" w:color="auto"/>
              </w:divBdr>
              <w:divsChild>
                <w:div w:id="175284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942381">
      <w:bodyDiv w:val="1"/>
      <w:marLeft w:val="0"/>
      <w:marRight w:val="0"/>
      <w:marTop w:val="0"/>
      <w:marBottom w:val="0"/>
      <w:divBdr>
        <w:top w:val="none" w:sz="0" w:space="0" w:color="auto"/>
        <w:left w:val="none" w:sz="0" w:space="0" w:color="auto"/>
        <w:bottom w:val="none" w:sz="0" w:space="0" w:color="auto"/>
        <w:right w:val="none" w:sz="0" w:space="0" w:color="auto"/>
      </w:divBdr>
      <w:divsChild>
        <w:div w:id="1305895113">
          <w:marLeft w:val="0"/>
          <w:marRight w:val="0"/>
          <w:marTop w:val="0"/>
          <w:marBottom w:val="0"/>
          <w:divBdr>
            <w:top w:val="none" w:sz="0" w:space="0" w:color="auto"/>
            <w:left w:val="none" w:sz="0" w:space="0" w:color="auto"/>
            <w:bottom w:val="none" w:sz="0" w:space="0" w:color="auto"/>
            <w:right w:val="none" w:sz="0" w:space="0" w:color="auto"/>
          </w:divBdr>
          <w:divsChild>
            <w:div w:id="2146045278">
              <w:marLeft w:val="0"/>
              <w:marRight w:val="0"/>
              <w:marTop w:val="0"/>
              <w:marBottom w:val="0"/>
              <w:divBdr>
                <w:top w:val="none" w:sz="0" w:space="0" w:color="auto"/>
                <w:left w:val="none" w:sz="0" w:space="0" w:color="auto"/>
                <w:bottom w:val="none" w:sz="0" w:space="0" w:color="auto"/>
                <w:right w:val="none" w:sz="0" w:space="0" w:color="auto"/>
              </w:divBdr>
              <w:divsChild>
                <w:div w:id="81414626">
                  <w:marLeft w:val="0"/>
                  <w:marRight w:val="0"/>
                  <w:marTop w:val="0"/>
                  <w:marBottom w:val="0"/>
                  <w:divBdr>
                    <w:top w:val="none" w:sz="0" w:space="0" w:color="auto"/>
                    <w:left w:val="none" w:sz="0" w:space="0" w:color="auto"/>
                    <w:bottom w:val="none" w:sz="0" w:space="0" w:color="auto"/>
                    <w:right w:val="none" w:sz="0" w:space="0" w:color="auto"/>
                  </w:divBdr>
                  <w:divsChild>
                    <w:div w:id="201309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223447">
      <w:bodyDiv w:val="1"/>
      <w:marLeft w:val="0"/>
      <w:marRight w:val="0"/>
      <w:marTop w:val="0"/>
      <w:marBottom w:val="0"/>
      <w:divBdr>
        <w:top w:val="none" w:sz="0" w:space="0" w:color="auto"/>
        <w:left w:val="none" w:sz="0" w:space="0" w:color="auto"/>
        <w:bottom w:val="none" w:sz="0" w:space="0" w:color="auto"/>
        <w:right w:val="none" w:sz="0" w:space="0" w:color="auto"/>
      </w:divBdr>
      <w:divsChild>
        <w:div w:id="490830323">
          <w:marLeft w:val="0"/>
          <w:marRight w:val="0"/>
          <w:marTop w:val="0"/>
          <w:marBottom w:val="0"/>
          <w:divBdr>
            <w:top w:val="none" w:sz="0" w:space="0" w:color="auto"/>
            <w:left w:val="none" w:sz="0" w:space="0" w:color="auto"/>
            <w:bottom w:val="none" w:sz="0" w:space="0" w:color="auto"/>
            <w:right w:val="none" w:sz="0" w:space="0" w:color="auto"/>
          </w:divBdr>
          <w:divsChild>
            <w:div w:id="1996300634">
              <w:marLeft w:val="0"/>
              <w:marRight w:val="0"/>
              <w:marTop w:val="0"/>
              <w:marBottom w:val="0"/>
              <w:divBdr>
                <w:top w:val="none" w:sz="0" w:space="0" w:color="auto"/>
                <w:left w:val="none" w:sz="0" w:space="0" w:color="auto"/>
                <w:bottom w:val="none" w:sz="0" w:space="0" w:color="auto"/>
                <w:right w:val="none" w:sz="0" w:space="0" w:color="auto"/>
              </w:divBdr>
              <w:divsChild>
                <w:div w:id="18575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33930">
      <w:bodyDiv w:val="1"/>
      <w:marLeft w:val="0"/>
      <w:marRight w:val="0"/>
      <w:marTop w:val="0"/>
      <w:marBottom w:val="0"/>
      <w:divBdr>
        <w:top w:val="none" w:sz="0" w:space="0" w:color="auto"/>
        <w:left w:val="none" w:sz="0" w:space="0" w:color="auto"/>
        <w:bottom w:val="none" w:sz="0" w:space="0" w:color="auto"/>
        <w:right w:val="none" w:sz="0" w:space="0" w:color="auto"/>
      </w:divBdr>
      <w:divsChild>
        <w:div w:id="1021975404">
          <w:marLeft w:val="0"/>
          <w:marRight w:val="0"/>
          <w:marTop w:val="0"/>
          <w:marBottom w:val="0"/>
          <w:divBdr>
            <w:top w:val="none" w:sz="0" w:space="0" w:color="auto"/>
            <w:left w:val="none" w:sz="0" w:space="0" w:color="auto"/>
            <w:bottom w:val="none" w:sz="0" w:space="0" w:color="auto"/>
            <w:right w:val="none" w:sz="0" w:space="0" w:color="auto"/>
          </w:divBdr>
          <w:divsChild>
            <w:div w:id="1369718757">
              <w:marLeft w:val="0"/>
              <w:marRight w:val="0"/>
              <w:marTop w:val="0"/>
              <w:marBottom w:val="0"/>
              <w:divBdr>
                <w:top w:val="none" w:sz="0" w:space="0" w:color="auto"/>
                <w:left w:val="none" w:sz="0" w:space="0" w:color="auto"/>
                <w:bottom w:val="none" w:sz="0" w:space="0" w:color="auto"/>
                <w:right w:val="none" w:sz="0" w:space="0" w:color="auto"/>
              </w:divBdr>
              <w:divsChild>
                <w:div w:id="1857301886">
                  <w:marLeft w:val="0"/>
                  <w:marRight w:val="0"/>
                  <w:marTop w:val="0"/>
                  <w:marBottom w:val="0"/>
                  <w:divBdr>
                    <w:top w:val="none" w:sz="0" w:space="0" w:color="auto"/>
                    <w:left w:val="none" w:sz="0" w:space="0" w:color="auto"/>
                    <w:bottom w:val="none" w:sz="0" w:space="0" w:color="auto"/>
                    <w:right w:val="none" w:sz="0" w:space="0" w:color="auto"/>
                  </w:divBdr>
                  <w:divsChild>
                    <w:div w:id="211802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789100">
      <w:bodyDiv w:val="1"/>
      <w:marLeft w:val="0"/>
      <w:marRight w:val="0"/>
      <w:marTop w:val="0"/>
      <w:marBottom w:val="0"/>
      <w:divBdr>
        <w:top w:val="none" w:sz="0" w:space="0" w:color="auto"/>
        <w:left w:val="none" w:sz="0" w:space="0" w:color="auto"/>
        <w:bottom w:val="none" w:sz="0" w:space="0" w:color="auto"/>
        <w:right w:val="none" w:sz="0" w:space="0" w:color="auto"/>
      </w:divBdr>
      <w:divsChild>
        <w:div w:id="1096749181">
          <w:marLeft w:val="0"/>
          <w:marRight w:val="0"/>
          <w:marTop w:val="0"/>
          <w:marBottom w:val="0"/>
          <w:divBdr>
            <w:top w:val="none" w:sz="0" w:space="0" w:color="auto"/>
            <w:left w:val="none" w:sz="0" w:space="0" w:color="auto"/>
            <w:bottom w:val="none" w:sz="0" w:space="0" w:color="auto"/>
            <w:right w:val="none" w:sz="0" w:space="0" w:color="auto"/>
          </w:divBdr>
          <w:divsChild>
            <w:div w:id="821775580">
              <w:marLeft w:val="0"/>
              <w:marRight w:val="0"/>
              <w:marTop w:val="0"/>
              <w:marBottom w:val="0"/>
              <w:divBdr>
                <w:top w:val="none" w:sz="0" w:space="0" w:color="auto"/>
                <w:left w:val="none" w:sz="0" w:space="0" w:color="auto"/>
                <w:bottom w:val="none" w:sz="0" w:space="0" w:color="auto"/>
                <w:right w:val="none" w:sz="0" w:space="0" w:color="auto"/>
              </w:divBdr>
              <w:divsChild>
                <w:div w:id="413360553">
                  <w:marLeft w:val="0"/>
                  <w:marRight w:val="0"/>
                  <w:marTop w:val="0"/>
                  <w:marBottom w:val="0"/>
                  <w:divBdr>
                    <w:top w:val="none" w:sz="0" w:space="0" w:color="auto"/>
                    <w:left w:val="none" w:sz="0" w:space="0" w:color="auto"/>
                    <w:bottom w:val="none" w:sz="0" w:space="0" w:color="auto"/>
                    <w:right w:val="none" w:sz="0" w:space="0" w:color="auto"/>
                  </w:divBdr>
                  <w:divsChild>
                    <w:div w:id="177381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816179">
      <w:bodyDiv w:val="1"/>
      <w:marLeft w:val="0"/>
      <w:marRight w:val="0"/>
      <w:marTop w:val="0"/>
      <w:marBottom w:val="0"/>
      <w:divBdr>
        <w:top w:val="none" w:sz="0" w:space="0" w:color="auto"/>
        <w:left w:val="none" w:sz="0" w:space="0" w:color="auto"/>
        <w:bottom w:val="none" w:sz="0" w:space="0" w:color="auto"/>
        <w:right w:val="none" w:sz="0" w:space="0" w:color="auto"/>
      </w:divBdr>
      <w:divsChild>
        <w:div w:id="624190599">
          <w:marLeft w:val="0"/>
          <w:marRight w:val="0"/>
          <w:marTop w:val="0"/>
          <w:marBottom w:val="0"/>
          <w:divBdr>
            <w:top w:val="none" w:sz="0" w:space="0" w:color="auto"/>
            <w:left w:val="none" w:sz="0" w:space="0" w:color="auto"/>
            <w:bottom w:val="none" w:sz="0" w:space="0" w:color="auto"/>
            <w:right w:val="none" w:sz="0" w:space="0" w:color="auto"/>
          </w:divBdr>
          <w:divsChild>
            <w:div w:id="1172720656">
              <w:marLeft w:val="0"/>
              <w:marRight w:val="0"/>
              <w:marTop w:val="0"/>
              <w:marBottom w:val="0"/>
              <w:divBdr>
                <w:top w:val="none" w:sz="0" w:space="0" w:color="auto"/>
                <w:left w:val="none" w:sz="0" w:space="0" w:color="auto"/>
                <w:bottom w:val="none" w:sz="0" w:space="0" w:color="auto"/>
                <w:right w:val="none" w:sz="0" w:space="0" w:color="auto"/>
              </w:divBdr>
              <w:divsChild>
                <w:div w:id="49403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904504">
      <w:bodyDiv w:val="1"/>
      <w:marLeft w:val="0"/>
      <w:marRight w:val="0"/>
      <w:marTop w:val="0"/>
      <w:marBottom w:val="0"/>
      <w:divBdr>
        <w:top w:val="none" w:sz="0" w:space="0" w:color="auto"/>
        <w:left w:val="none" w:sz="0" w:space="0" w:color="auto"/>
        <w:bottom w:val="none" w:sz="0" w:space="0" w:color="auto"/>
        <w:right w:val="none" w:sz="0" w:space="0" w:color="auto"/>
      </w:divBdr>
      <w:divsChild>
        <w:div w:id="962928383">
          <w:marLeft w:val="0"/>
          <w:marRight w:val="0"/>
          <w:marTop w:val="0"/>
          <w:marBottom w:val="0"/>
          <w:divBdr>
            <w:top w:val="none" w:sz="0" w:space="0" w:color="auto"/>
            <w:left w:val="none" w:sz="0" w:space="0" w:color="auto"/>
            <w:bottom w:val="none" w:sz="0" w:space="0" w:color="auto"/>
            <w:right w:val="none" w:sz="0" w:space="0" w:color="auto"/>
          </w:divBdr>
          <w:divsChild>
            <w:div w:id="385377856">
              <w:marLeft w:val="0"/>
              <w:marRight w:val="0"/>
              <w:marTop w:val="0"/>
              <w:marBottom w:val="0"/>
              <w:divBdr>
                <w:top w:val="none" w:sz="0" w:space="0" w:color="auto"/>
                <w:left w:val="none" w:sz="0" w:space="0" w:color="auto"/>
                <w:bottom w:val="none" w:sz="0" w:space="0" w:color="auto"/>
                <w:right w:val="none" w:sz="0" w:space="0" w:color="auto"/>
              </w:divBdr>
              <w:divsChild>
                <w:div w:id="1285306532">
                  <w:marLeft w:val="0"/>
                  <w:marRight w:val="0"/>
                  <w:marTop w:val="0"/>
                  <w:marBottom w:val="0"/>
                  <w:divBdr>
                    <w:top w:val="none" w:sz="0" w:space="0" w:color="auto"/>
                    <w:left w:val="none" w:sz="0" w:space="0" w:color="auto"/>
                    <w:bottom w:val="none" w:sz="0" w:space="0" w:color="auto"/>
                    <w:right w:val="none" w:sz="0" w:space="0" w:color="auto"/>
                  </w:divBdr>
                  <w:divsChild>
                    <w:div w:id="64999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768030">
      <w:bodyDiv w:val="1"/>
      <w:marLeft w:val="0"/>
      <w:marRight w:val="0"/>
      <w:marTop w:val="0"/>
      <w:marBottom w:val="0"/>
      <w:divBdr>
        <w:top w:val="none" w:sz="0" w:space="0" w:color="auto"/>
        <w:left w:val="none" w:sz="0" w:space="0" w:color="auto"/>
        <w:bottom w:val="none" w:sz="0" w:space="0" w:color="auto"/>
        <w:right w:val="none" w:sz="0" w:space="0" w:color="auto"/>
      </w:divBdr>
      <w:divsChild>
        <w:div w:id="1627201796">
          <w:marLeft w:val="0"/>
          <w:marRight w:val="0"/>
          <w:marTop w:val="0"/>
          <w:marBottom w:val="0"/>
          <w:divBdr>
            <w:top w:val="none" w:sz="0" w:space="0" w:color="auto"/>
            <w:left w:val="none" w:sz="0" w:space="0" w:color="auto"/>
            <w:bottom w:val="none" w:sz="0" w:space="0" w:color="auto"/>
            <w:right w:val="none" w:sz="0" w:space="0" w:color="auto"/>
          </w:divBdr>
          <w:divsChild>
            <w:div w:id="557519629">
              <w:marLeft w:val="0"/>
              <w:marRight w:val="0"/>
              <w:marTop w:val="0"/>
              <w:marBottom w:val="0"/>
              <w:divBdr>
                <w:top w:val="none" w:sz="0" w:space="0" w:color="auto"/>
                <w:left w:val="none" w:sz="0" w:space="0" w:color="auto"/>
                <w:bottom w:val="none" w:sz="0" w:space="0" w:color="auto"/>
                <w:right w:val="none" w:sz="0" w:space="0" w:color="auto"/>
              </w:divBdr>
              <w:divsChild>
                <w:div w:id="933051504">
                  <w:marLeft w:val="0"/>
                  <w:marRight w:val="0"/>
                  <w:marTop w:val="0"/>
                  <w:marBottom w:val="0"/>
                  <w:divBdr>
                    <w:top w:val="none" w:sz="0" w:space="0" w:color="auto"/>
                    <w:left w:val="none" w:sz="0" w:space="0" w:color="auto"/>
                    <w:bottom w:val="none" w:sz="0" w:space="0" w:color="auto"/>
                    <w:right w:val="none" w:sz="0" w:space="0" w:color="auto"/>
                  </w:divBdr>
                  <w:divsChild>
                    <w:div w:id="95875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30657">
      <w:bodyDiv w:val="1"/>
      <w:marLeft w:val="0"/>
      <w:marRight w:val="0"/>
      <w:marTop w:val="0"/>
      <w:marBottom w:val="0"/>
      <w:divBdr>
        <w:top w:val="none" w:sz="0" w:space="0" w:color="auto"/>
        <w:left w:val="none" w:sz="0" w:space="0" w:color="auto"/>
        <w:bottom w:val="none" w:sz="0" w:space="0" w:color="auto"/>
        <w:right w:val="none" w:sz="0" w:space="0" w:color="auto"/>
      </w:divBdr>
      <w:divsChild>
        <w:div w:id="1607346280">
          <w:marLeft w:val="0"/>
          <w:marRight w:val="0"/>
          <w:marTop w:val="0"/>
          <w:marBottom w:val="0"/>
          <w:divBdr>
            <w:top w:val="none" w:sz="0" w:space="0" w:color="auto"/>
            <w:left w:val="none" w:sz="0" w:space="0" w:color="auto"/>
            <w:bottom w:val="none" w:sz="0" w:space="0" w:color="auto"/>
            <w:right w:val="none" w:sz="0" w:space="0" w:color="auto"/>
          </w:divBdr>
          <w:divsChild>
            <w:div w:id="9991816">
              <w:marLeft w:val="0"/>
              <w:marRight w:val="0"/>
              <w:marTop w:val="0"/>
              <w:marBottom w:val="0"/>
              <w:divBdr>
                <w:top w:val="none" w:sz="0" w:space="0" w:color="auto"/>
                <w:left w:val="none" w:sz="0" w:space="0" w:color="auto"/>
                <w:bottom w:val="none" w:sz="0" w:space="0" w:color="auto"/>
                <w:right w:val="none" w:sz="0" w:space="0" w:color="auto"/>
              </w:divBdr>
              <w:divsChild>
                <w:div w:id="1479566219">
                  <w:marLeft w:val="0"/>
                  <w:marRight w:val="0"/>
                  <w:marTop w:val="0"/>
                  <w:marBottom w:val="0"/>
                  <w:divBdr>
                    <w:top w:val="none" w:sz="0" w:space="0" w:color="auto"/>
                    <w:left w:val="none" w:sz="0" w:space="0" w:color="auto"/>
                    <w:bottom w:val="none" w:sz="0" w:space="0" w:color="auto"/>
                    <w:right w:val="none" w:sz="0" w:space="0" w:color="auto"/>
                  </w:divBdr>
                  <w:divsChild>
                    <w:div w:id="194310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042837">
      <w:bodyDiv w:val="1"/>
      <w:marLeft w:val="0"/>
      <w:marRight w:val="0"/>
      <w:marTop w:val="0"/>
      <w:marBottom w:val="0"/>
      <w:divBdr>
        <w:top w:val="none" w:sz="0" w:space="0" w:color="auto"/>
        <w:left w:val="none" w:sz="0" w:space="0" w:color="auto"/>
        <w:bottom w:val="none" w:sz="0" w:space="0" w:color="auto"/>
        <w:right w:val="none" w:sz="0" w:space="0" w:color="auto"/>
      </w:divBdr>
      <w:divsChild>
        <w:div w:id="308484696">
          <w:marLeft w:val="0"/>
          <w:marRight w:val="0"/>
          <w:marTop w:val="0"/>
          <w:marBottom w:val="0"/>
          <w:divBdr>
            <w:top w:val="none" w:sz="0" w:space="0" w:color="auto"/>
            <w:left w:val="none" w:sz="0" w:space="0" w:color="auto"/>
            <w:bottom w:val="none" w:sz="0" w:space="0" w:color="auto"/>
            <w:right w:val="none" w:sz="0" w:space="0" w:color="auto"/>
          </w:divBdr>
          <w:divsChild>
            <w:div w:id="5837198">
              <w:marLeft w:val="0"/>
              <w:marRight w:val="0"/>
              <w:marTop w:val="0"/>
              <w:marBottom w:val="0"/>
              <w:divBdr>
                <w:top w:val="none" w:sz="0" w:space="0" w:color="auto"/>
                <w:left w:val="none" w:sz="0" w:space="0" w:color="auto"/>
                <w:bottom w:val="none" w:sz="0" w:space="0" w:color="auto"/>
                <w:right w:val="none" w:sz="0" w:space="0" w:color="auto"/>
              </w:divBdr>
              <w:divsChild>
                <w:div w:id="1048459955">
                  <w:marLeft w:val="0"/>
                  <w:marRight w:val="0"/>
                  <w:marTop w:val="0"/>
                  <w:marBottom w:val="0"/>
                  <w:divBdr>
                    <w:top w:val="none" w:sz="0" w:space="0" w:color="auto"/>
                    <w:left w:val="none" w:sz="0" w:space="0" w:color="auto"/>
                    <w:bottom w:val="none" w:sz="0" w:space="0" w:color="auto"/>
                    <w:right w:val="none" w:sz="0" w:space="0" w:color="auto"/>
                  </w:divBdr>
                  <w:divsChild>
                    <w:div w:id="191177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07222">
      <w:bodyDiv w:val="1"/>
      <w:marLeft w:val="0"/>
      <w:marRight w:val="0"/>
      <w:marTop w:val="0"/>
      <w:marBottom w:val="0"/>
      <w:divBdr>
        <w:top w:val="none" w:sz="0" w:space="0" w:color="auto"/>
        <w:left w:val="none" w:sz="0" w:space="0" w:color="auto"/>
        <w:bottom w:val="none" w:sz="0" w:space="0" w:color="auto"/>
        <w:right w:val="none" w:sz="0" w:space="0" w:color="auto"/>
      </w:divBdr>
      <w:divsChild>
        <w:div w:id="469129701">
          <w:marLeft w:val="0"/>
          <w:marRight w:val="0"/>
          <w:marTop w:val="0"/>
          <w:marBottom w:val="0"/>
          <w:divBdr>
            <w:top w:val="none" w:sz="0" w:space="0" w:color="auto"/>
            <w:left w:val="none" w:sz="0" w:space="0" w:color="auto"/>
            <w:bottom w:val="none" w:sz="0" w:space="0" w:color="auto"/>
            <w:right w:val="none" w:sz="0" w:space="0" w:color="auto"/>
          </w:divBdr>
          <w:divsChild>
            <w:div w:id="1144001838">
              <w:marLeft w:val="0"/>
              <w:marRight w:val="0"/>
              <w:marTop w:val="0"/>
              <w:marBottom w:val="0"/>
              <w:divBdr>
                <w:top w:val="none" w:sz="0" w:space="0" w:color="auto"/>
                <w:left w:val="none" w:sz="0" w:space="0" w:color="auto"/>
                <w:bottom w:val="none" w:sz="0" w:space="0" w:color="auto"/>
                <w:right w:val="none" w:sz="0" w:space="0" w:color="auto"/>
              </w:divBdr>
              <w:divsChild>
                <w:div w:id="1229682508">
                  <w:marLeft w:val="0"/>
                  <w:marRight w:val="0"/>
                  <w:marTop w:val="0"/>
                  <w:marBottom w:val="0"/>
                  <w:divBdr>
                    <w:top w:val="none" w:sz="0" w:space="0" w:color="auto"/>
                    <w:left w:val="none" w:sz="0" w:space="0" w:color="auto"/>
                    <w:bottom w:val="none" w:sz="0" w:space="0" w:color="auto"/>
                    <w:right w:val="none" w:sz="0" w:space="0" w:color="auto"/>
                  </w:divBdr>
                  <w:divsChild>
                    <w:div w:id="76711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579250">
      <w:bodyDiv w:val="1"/>
      <w:marLeft w:val="0"/>
      <w:marRight w:val="0"/>
      <w:marTop w:val="0"/>
      <w:marBottom w:val="0"/>
      <w:divBdr>
        <w:top w:val="none" w:sz="0" w:space="0" w:color="auto"/>
        <w:left w:val="none" w:sz="0" w:space="0" w:color="auto"/>
        <w:bottom w:val="none" w:sz="0" w:space="0" w:color="auto"/>
        <w:right w:val="none" w:sz="0" w:space="0" w:color="auto"/>
      </w:divBdr>
      <w:divsChild>
        <w:div w:id="744255034">
          <w:marLeft w:val="0"/>
          <w:marRight w:val="0"/>
          <w:marTop w:val="0"/>
          <w:marBottom w:val="0"/>
          <w:divBdr>
            <w:top w:val="none" w:sz="0" w:space="0" w:color="auto"/>
            <w:left w:val="none" w:sz="0" w:space="0" w:color="auto"/>
            <w:bottom w:val="none" w:sz="0" w:space="0" w:color="auto"/>
            <w:right w:val="none" w:sz="0" w:space="0" w:color="auto"/>
          </w:divBdr>
          <w:divsChild>
            <w:div w:id="621961798">
              <w:marLeft w:val="0"/>
              <w:marRight w:val="0"/>
              <w:marTop w:val="0"/>
              <w:marBottom w:val="0"/>
              <w:divBdr>
                <w:top w:val="none" w:sz="0" w:space="0" w:color="auto"/>
                <w:left w:val="none" w:sz="0" w:space="0" w:color="auto"/>
                <w:bottom w:val="none" w:sz="0" w:space="0" w:color="auto"/>
                <w:right w:val="none" w:sz="0" w:space="0" w:color="auto"/>
              </w:divBdr>
              <w:divsChild>
                <w:div w:id="78519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144406">
      <w:bodyDiv w:val="1"/>
      <w:marLeft w:val="0"/>
      <w:marRight w:val="0"/>
      <w:marTop w:val="0"/>
      <w:marBottom w:val="0"/>
      <w:divBdr>
        <w:top w:val="none" w:sz="0" w:space="0" w:color="auto"/>
        <w:left w:val="none" w:sz="0" w:space="0" w:color="auto"/>
        <w:bottom w:val="none" w:sz="0" w:space="0" w:color="auto"/>
        <w:right w:val="none" w:sz="0" w:space="0" w:color="auto"/>
      </w:divBdr>
      <w:divsChild>
        <w:div w:id="1546285880">
          <w:marLeft w:val="0"/>
          <w:marRight w:val="0"/>
          <w:marTop w:val="0"/>
          <w:marBottom w:val="0"/>
          <w:divBdr>
            <w:top w:val="none" w:sz="0" w:space="0" w:color="auto"/>
            <w:left w:val="none" w:sz="0" w:space="0" w:color="auto"/>
            <w:bottom w:val="none" w:sz="0" w:space="0" w:color="auto"/>
            <w:right w:val="none" w:sz="0" w:space="0" w:color="auto"/>
          </w:divBdr>
          <w:divsChild>
            <w:div w:id="1686320738">
              <w:marLeft w:val="0"/>
              <w:marRight w:val="0"/>
              <w:marTop w:val="0"/>
              <w:marBottom w:val="0"/>
              <w:divBdr>
                <w:top w:val="none" w:sz="0" w:space="0" w:color="auto"/>
                <w:left w:val="none" w:sz="0" w:space="0" w:color="auto"/>
                <w:bottom w:val="none" w:sz="0" w:space="0" w:color="auto"/>
                <w:right w:val="none" w:sz="0" w:space="0" w:color="auto"/>
              </w:divBdr>
              <w:divsChild>
                <w:div w:id="8855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631664">
      <w:bodyDiv w:val="1"/>
      <w:marLeft w:val="0"/>
      <w:marRight w:val="0"/>
      <w:marTop w:val="0"/>
      <w:marBottom w:val="0"/>
      <w:divBdr>
        <w:top w:val="none" w:sz="0" w:space="0" w:color="auto"/>
        <w:left w:val="none" w:sz="0" w:space="0" w:color="auto"/>
        <w:bottom w:val="none" w:sz="0" w:space="0" w:color="auto"/>
        <w:right w:val="none" w:sz="0" w:space="0" w:color="auto"/>
      </w:divBdr>
      <w:divsChild>
        <w:div w:id="1774009153">
          <w:marLeft w:val="0"/>
          <w:marRight w:val="0"/>
          <w:marTop w:val="0"/>
          <w:marBottom w:val="0"/>
          <w:divBdr>
            <w:top w:val="none" w:sz="0" w:space="0" w:color="auto"/>
            <w:left w:val="none" w:sz="0" w:space="0" w:color="auto"/>
            <w:bottom w:val="none" w:sz="0" w:space="0" w:color="auto"/>
            <w:right w:val="none" w:sz="0" w:space="0" w:color="auto"/>
          </w:divBdr>
          <w:divsChild>
            <w:div w:id="370688131">
              <w:marLeft w:val="0"/>
              <w:marRight w:val="0"/>
              <w:marTop w:val="0"/>
              <w:marBottom w:val="0"/>
              <w:divBdr>
                <w:top w:val="none" w:sz="0" w:space="0" w:color="auto"/>
                <w:left w:val="none" w:sz="0" w:space="0" w:color="auto"/>
                <w:bottom w:val="none" w:sz="0" w:space="0" w:color="auto"/>
                <w:right w:val="none" w:sz="0" w:space="0" w:color="auto"/>
              </w:divBdr>
              <w:divsChild>
                <w:div w:id="66264503">
                  <w:marLeft w:val="0"/>
                  <w:marRight w:val="0"/>
                  <w:marTop w:val="0"/>
                  <w:marBottom w:val="0"/>
                  <w:divBdr>
                    <w:top w:val="none" w:sz="0" w:space="0" w:color="auto"/>
                    <w:left w:val="none" w:sz="0" w:space="0" w:color="auto"/>
                    <w:bottom w:val="none" w:sz="0" w:space="0" w:color="auto"/>
                    <w:right w:val="none" w:sz="0" w:space="0" w:color="auto"/>
                  </w:divBdr>
                  <w:divsChild>
                    <w:div w:id="49337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509141">
      <w:bodyDiv w:val="1"/>
      <w:marLeft w:val="0"/>
      <w:marRight w:val="0"/>
      <w:marTop w:val="0"/>
      <w:marBottom w:val="0"/>
      <w:divBdr>
        <w:top w:val="none" w:sz="0" w:space="0" w:color="auto"/>
        <w:left w:val="none" w:sz="0" w:space="0" w:color="auto"/>
        <w:bottom w:val="none" w:sz="0" w:space="0" w:color="auto"/>
        <w:right w:val="none" w:sz="0" w:space="0" w:color="auto"/>
      </w:divBdr>
      <w:divsChild>
        <w:div w:id="1603948682">
          <w:marLeft w:val="0"/>
          <w:marRight w:val="0"/>
          <w:marTop w:val="0"/>
          <w:marBottom w:val="0"/>
          <w:divBdr>
            <w:top w:val="none" w:sz="0" w:space="0" w:color="auto"/>
            <w:left w:val="none" w:sz="0" w:space="0" w:color="auto"/>
            <w:bottom w:val="none" w:sz="0" w:space="0" w:color="auto"/>
            <w:right w:val="none" w:sz="0" w:space="0" w:color="auto"/>
          </w:divBdr>
          <w:divsChild>
            <w:div w:id="1635330040">
              <w:marLeft w:val="0"/>
              <w:marRight w:val="0"/>
              <w:marTop w:val="0"/>
              <w:marBottom w:val="0"/>
              <w:divBdr>
                <w:top w:val="none" w:sz="0" w:space="0" w:color="auto"/>
                <w:left w:val="none" w:sz="0" w:space="0" w:color="auto"/>
                <w:bottom w:val="none" w:sz="0" w:space="0" w:color="auto"/>
                <w:right w:val="none" w:sz="0" w:space="0" w:color="auto"/>
              </w:divBdr>
              <w:divsChild>
                <w:div w:id="133452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058208">
      <w:bodyDiv w:val="1"/>
      <w:marLeft w:val="0"/>
      <w:marRight w:val="0"/>
      <w:marTop w:val="0"/>
      <w:marBottom w:val="0"/>
      <w:divBdr>
        <w:top w:val="none" w:sz="0" w:space="0" w:color="auto"/>
        <w:left w:val="none" w:sz="0" w:space="0" w:color="auto"/>
        <w:bottom w:val="none" w:sz="0" w:space="0" w:color="auto"/>
        <w:right w:val="none" w:sz="0" w:space="0" w:color="auto"/>
      </w:divBdr>
      <w:divsChild>
        <w:div w:id="376899844">
          <w:marLeft w:val="0"/>
          <w:marRight w:val="0"/>
          <w:marTop w:val="0"/>
          <w:marBottom w:val="0"/>
          <w:divBdr>
            <w:top w:val="none" w:sz="0" w:space="0" w:color="auto"/>
            <w:left w:val="none" w:sz="0" w:space="0" w:color="auto"/>
            <w:bottom w:val="none" w:sz="0" w:space="0" w:color="auto"/>
            <w:right w:val="none" w:sz="0" w:space="0" w:color="auto"/>
          </w:divBdr>
          <w:divsChild>
            <w:div w:id="1162310344">
              <w:marLeft w:val="0"/>
              <w:marRight w:val="0"/>
              <w:marTop w:val="0"/>
              <w:marBottom w:val="0"/>
              <w:divBdr>
                <w:top w:val="none" w:sz="0" w:space="0" w:color="auto"/>
                <w:left w:val="none" w:sz="0" w:space="0" w:color="auto"/>
                <w:bottom w:val="none" w:sz="0" w:space="0" w:color="auto"/>
                <w:right w:val="none" w:sz="0" w:space="0" w:color="auto"/>
              </w:divBdr>
              <w:divsChild>
                <w:div w:id="136001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305965">
      <w:bodyDiv w:val="1"/>
      <w:marLeft w:val="0"/>
      <w:marRight w:val="0"/>
      <w:marTop w:val="0"/>
      <w:marBottom w:val="0"/>
      <w:divBdr>
        <w:top w:val="none" w:sz="0" w:space="0" w:color="auto"/>
        <w:left w:val="none" w:sz="0" w:space="0" w:color="auto"/>
        <w:bottom w:val="none" w:sz="0" w:space="0" w:color="auto"/>
        <w:right w:val="none" w:sz="0" w:space="0" w:color="auto"/>
      </w:divBdr>
      <w:divsChild>
        <w:div w:id="1137836688">
          <w:marLeft w:val="0"/>
          <w:marRight w:val="0"/>
          <w:marTop w:val="0"/>
          <w:marBottom w:val="0"/>
          <w:divBdr>
            <w:top w:val="none" w:sz="0" w:space="0" w:color="auto"/>
            <w:left w:val="none" w:sz="0" w:space="0" w:color="auto"/>
            <w:bottom w:val="none" w:sz="0" w:space="0" w:color="auto"/>
            <w:right w:val="none" w:sz="0" w:space="0" w:color="auto"/>
          </w:divBdr>
          <w:divsChild>
            <w:div w:id="1725837260">
              <w:marLeft w:val="0"/>
              <w:marRight w:val="0"/>
              <w:marTop w:val="0"/>
              <w:marBottom w:val="0"/>
              <w:divBdr>
                <w:top w:val="none" w:sz="0" w:space="0" w:color="auto"/>
                <w:left w:val="none" w:sz="0" w:space="0" w:color="auto"/>
                <w:bottom w:val="none" w:sz="0" w:space="0" w:color="auto"/>
                <w:right w:val="none" w:sz="0" w:space="0" w:color="auto"/>
              </w:divBdr>
              <w:divsChild>
                <w:div w:id="775947420">
                  <w:marLeft w:val="0"/>
                  <w:marRight w:val="0"/>
                  <w:marTop w:val="0"/>
                  <w:marBottom w:val="0"/>
                  <w:divBdr>
                    <w:top w:val="none" w:sz="0" w:space="0" w:color="auto"/>
                    <w:left w:val="none" w:sz="0" w:space="0" w:color="auto"/>
                    <w:bottom w:val="none" w:sz="0" w:space="0" w:color="auto"/>
                    <w:right w:val="none" w:sz="0" w:space="0" w:color="auto"/>
                  </w:divBdr>
                  <w:divsChild>
                    <w:div w:id="18844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928941">
      <w:bodyDiv w:val="1"/>
      <w:marLeft w:val="0"/>
      <w:marRight w:val="0"/>
      <w:marTop w:val="0"/>
      <w:marBottom w:val="0"/>
      <w:divBdr>
        <w:top w:val="none" w:sz="0" w:space="0" w:color="auto"/>
        <w:left w:val="none" w:sz="0" w:space="0" w:color="auto"/>
        <w:bottom w:val="none" w:sz="0" w:space="0" w:color="auto"/>
        <w:right w:val="none" w:sz="0" w:space="0" w:color="auto"/>
      </w:divBdr>
      <w:divsChild>
        <w:div w:id="295794158">
          <w:marLeft w:val="0"/>
          <w:marRight w:val="0"/>
          <w:marTop w:val="0"/>
          <w:marBottom w:val="0"/>
          <w:divBdr>
            <w:top w:val="none" w:sz="0" w:space="0" w:color="auto"/>
            <w:left w:val="none" w:sz="0" w:space="0" w:color="auto"/>
            <w:bottom w:val="none" w:sz="0" w:space="0" w:color="auto"/>
            <w:right w:val="none" w:sz="0" w:space="0" w:color="auto"/>
          </w:divBdr>
          <w:divsChild>
            <w:div w:id="1252277343">
              <w:marLeft w:val="0"/>
              <w:marRight w:val="0"/>
              <w:marTop w:val="0"/>
              <w:marBottom w:val="0"/>
              <w:divBdr>
                <w:top w:val="none" w:sz="0" w:space="0" w:color="auto"/>
                <w:left w:val="none" w:sz="0" w:space="0" w:color="auto"/>
                <w:bottom w:val="none" w:sz="0" w:space="0" w:color="auto"/>
                <w:right w:val="none" w:sz="0" w:space="0" w:color="auto"/>
              </w:divBdr>
              <w:divsChild>
                <w:div w:id="198149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57416">
      <w:bodyDiv w:val="1"/>
      <w:marLeft w:val="0"/>
      <w:marRight w:val="0"/>
      <w:marTop w:val="0"/>
      <w:marBottom w:val="0"/>
      <w:divBdr>
        <w:top w:val="none" w:sz="0" w:space="0" w:color="auto"/>
        <w:left w:val="none" w:sz="0" w:space="0" w:color="auto"/>
        <w:bottom w:val="none" w:sz="0" w:space="0" w:color="auto"/>
        <w:right w:val="none" w:sz="0" w:space="0" w:color="auto"/>
      </w:divBdr>
      <w:divsChild>
        <w:div w:id="1037704804">
          <w:marLeft w:val="0"/>
          <w:marRight w:val="0"/>
          <w:marTop w:val="0"/>
          <w:marBottom w:val="0"/>
          <w:divBdr>
            <w:top w:val="none" w:sz="0" w:space="0" w:color="auto"/>
            <w:left w:val="none" w:sz="0" w:space="0" w:color="auto"/>
            <w:bottom w:val="none" w:sz="0" w:space="0" w:color="auto"/>
            <w:right w:val="none" w:sz="0" w:space="0" w:color="auto"/>
          </w:divBdr>
          <w:divsChild>
            <w:div w:id="528449136">
              <w:marLeft w:val="0"/>
              <w:marRight w:val="0"/>
              <w:marTop w:val="0"/>
              <w:marBottom w:val="0"/>
              <w:divBdr>
                <w:top w:val="none" w:sz="0" w:space="0" w:color="auto"/>
                <w:left w:val="none" w:sz="0" w:space="0" w:color="auto"/>
                <w:bottom w:val="none" w:sz="0" w:space="0" w:color="auto"/>
                <w:right w:val="none" w:sz="0" w:space="0" w:color="auto"/>
              </w:divBdr>
              <w:divsChild>
                <w:div w:id="1651518044">
                  <w:marLeft w:val="0"/>
                  <w:marRight w:val="0"/>
                  <w:marTop w:val="0"/>
                  <w:marBottom w:val="0"/>
                  <w:divBdr>
                    <w:top w:val="none" w:sz="0" w:space="0" w:color="auto"/>
                    <w:left w:val="none" w:sz="0" w:space="0" w:color="auto"/>
                    <w:bottom w:val="none" w:sz="0" w:space="0" w:color="auto"/>
                    <w:right w:val="none" w:sz="0" w:space="0" w:color="auto"/>
                  </w:divBdr>
                  <w:divsChild>
                    <w:div w:id="134666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668881">
      <w:bodyDiv w:val="1"/>
      <w:marLeft w:val="0"/>
      <w:marRight w:val="0"/>
      <w:marTop w:val="0"/>
      <w:marBottom w:val="0"/>
      <w:divBdr>
        <w:top w:val="none" w:sz="0" w:space="0" w:color="auto"/>
        <w:left w:val="none" w:sz="0" w:space="0" w:color="auto"/>
        <w:bottom w:val="none" w:sz="0" w:space="0" w:color="auto"/>
        <w:right w:val="none" w:sz="0" w:space="0" w:color="auto"/>
      </w:divBdr>
      <w:divsChild>
        <w:div w:id="1218930087">
          <w:marLeft w:val="0"/>
          <w:marRight w:val="0"/>
          <w:marTop w:val="0"/>
          <w:marBottom w:val="0"/>
          <w:divBdr>
            <w:top w:val="none" w:sz="0" w:space="0" w:color="auto"/>
            <w:left w:val="none" w:sz="0" w:space="0" w:color="auto"/>
            <w:bottom w:val="none" w:sz="0" w:space="0" w:color="auto"/>
            <w:right w:val="none" w:sz="0" w:space="0" w:color="auto"/>
          </w:divBdr>
          <w:divsChild>
            <w:div w:id="908930106">
              <w:marLeft w:val="0"/>
              <w:marRight w:val="0"/>
              <w:marTop w:val="0"/>
              <w:marBottom w:val="0"/>
              <w:divBdr>
                <w:top w:val="none" w:sz="0" w:space="0" w:color="auto"/>
                <w:left w:val="none" w:sz="0" w:space="0" w:color="auto"/>
                <w:bottom w:val="none" w:sz="0" w:space="0" w:color="auto"/>
                <w:right w:val="none" w:sz="0" w:space="0" w:color="auto"/>
              </w:divBdr>
              <w:divsChild>
                <w:div w:id="176583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291198">
      <w:bodyDiv w:val="1"/>
      <w:marLeft w:val="0"/>
      <w:marRight w:val="0"/>
      <w:marTop w:val="0"/>
      <w:marBottom w:val="0"/>
      <w:divBdr>
        <w:top w:val="none" w:sz="0" w:space="0" w:color="auto"/>
        <w:left w:val="none" w:sz="0" w:space="0" w:color="auto"/>
        <w:bottom w:val="none" w:sz="0" w:space="0" w:color="auto"/>
        <w:right w:val="none" w:sz="0" w:space="0" w:color="auto"/>
      </w:divBdr>
      <w:divsChild>
        <w:div w:id="2124759321">
          <w:marLeft w:val="0"/>
          <w:marRight w:val="0"/>
          <w:marTop w:val="0"/>
          <w:marBottom w:val="0"/>
          <w:divBdr>
            <w:top w:val="none" w:sz="0" w:space="0" w:color="auto"/>
            <w:left w:val="none" w:sz="0" w:space="0" w:color="auto"/>
            <w:bottom w:val="none" w:sz="0" w:space="0" w:color="auto"/>
            <w:right w:val="none" w:sz="0" w:space="0" w:color="auto"/>
          </w:divBdr>
          <w:divsChild>
            <w:div w:id="386497441">
              <w:marLeft w:val="0"/>
              <w:marRight w:val="0"/>
              <w:marTop w:val="0"/>
              <w:marBottom w:val="0"/>
              <w:divBdr>
                <w:top w:val="none" w:sz="0" w:space="0" w:color="auto"/>
                <w:left w:val="none" w:sz="0" w:space="0" w:color="auto"/>
                <w:bottom w:val="none" w:sz="0" w:space="0" w:color="auto"/>
                <w:right w:val="none" w:sz="0" w:space="0" w:color="auto"/>
              </w:divBdr>
              <w:divsChild>
                <w:div w:id="174301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enniethomas/Library/Containers/com.microsoft.Word/Data/Library/Application%20Support/Microsoft/Office/16.0/DTS/en-GB%7bBCA3DB2C-BFC5-F742-B611-E805AF48ADCB%7d/%7b4B004F98-7378-EE4B-B7CE-723C3BEB3114%7dtf10002078.dotx"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2A2A2A"/>
      </a:dk2>
      <a:lt2>
        <a:srgbClr val="F9F4EE"/>
      </a:lt2>
      <a:accent1>
        <a:srgbClr val="E09B3B"/>
      </a:accent1>
      <a:accent2>
        <a:srgbClr val="487B97"/>
      </a:accent2>
      <a:accent3>
        <a:srgbClr val="847B97"/>
      </a:accent3>
      <a:accent4>
        <a:srgbClr val="D96362"/>
      </a:accent4>
      <a:accent5>
        <a:srgbClr val="2B8073"/>
      </a:accent5>
      <a:accent6>
        <a:srgbClr val="B09C7D"/>
      </a:accent6>
      <a:hlink>
        <a:srgbClr val="847B97"/>
      </a:hlink>
      <a:folHlink>
        <a:srgbClr val="487B97"/>
      </a:folHlink>
    </a:clrScheme>
    <a:fontScheme name="Custom 9">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8B4EA-EBE1-8040-8C77-0027E0647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{4B004F98-7378-EE4B-B7CE-723C3BEB3114}tf10002078.dotx</Template>
  <TotalTime>1185</TotalTime>
  <Pages>7</Pages>
  <Words>1809</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Jennie Thomas</cp:lastModifiedBy>
  <cp:revision>12</cp:revision>
  <dcterms:created xsi:type="dcterms:W3CDTF">2022-10-18T21:46:00Z</dcterms:created>
  <dcterms:modified xsi:type="dcterms:W3CDTF">2022-11-05T19:55:00Z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TF10002028</vt:lpwstr>
  </property>
</Properties>
</file>