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Types>
</file>

<file path=_rels/.rels>&#65279;<?xml version="1.0" encoding="utf-8"?><Relationships xmlns="http://schemas.openxmlformats.org/package/2006/relationships"><Relationship Id="R1" Type="http://schemas.openxmlformats.org/officeDocument/2006/relationships/officeDocument" Target="/word/document.xml" /><Relationship Id="coreR1" Type="http://schemas.openxmlformats.org/package/2006/relationships/metadata/core-properties" Target="/docProps/core.xml" /><Relationship Id="appR1" Type="http://schemas.openxmlformats.org/officeDocument/2006/relationships/extended-properties" Target="/docProps/app.xml" /><Relationship Id="customR1" Type="http://schemas.openxmlformats.org/officeDocument/2006/relationships/custom-properties" Target="/docProps/custom.xml" /></Relationships>
</file>

<file path=word/document.xml><?xml version="1.0" encoding="utf-8"?>
<w:document xmlns:w="http://schemas.openxmlformats.org/wordprocessingml/2006/main" xmlns:wps="http://schemas.microsoft.com/office/word/2010/wordprocessingShape" xmlns:mc="http://schemas.openxmlformats.org/markup-compatibility/2006" xmlns:w10="urn:schemas-microsoft-com:office:word" xmlns:v="urn:schemas-microsoft-com:vml" xmlns:wp14="http://schemas.microsoft.com/office/word/2010/wordprocessingDrawing" xmlns:wpg="http://schemas.microsoft.com/office/word/2010/wordprocessingGroup" xmlns:wpc="http://schemas.microsoft.com/office/word/2010/wordprocessingCanvas" xmlns:w14="http://schemas.microsoft.com/office/word/2010/wordml" xmlns:w15="http://schemas.microsoft.com/office/word/2012/wordml" xmlns:cx1="http://schemas.microsoft.com/office/drawing/2015/9/8/chartex" xmlns:cx2="http://schemas.microsoft.com/office/drawing/2015/10/21/chartex" mc:Ignorable="wp14 w14 w15">
  <w:body>
    <w:p>
      <w:pPr>
        <w:spacing w:lineRule="auto" w:line="360" w:beforeAutospacing="0" w:afterAutospacing="0"/>
        <w:ind w:firstLine="0" w:left="0"/>
        <w:jc w:val="both"/>
        <w:rPr>
          <w:b w:val="1"/>
          <w:bCs w:val="1"/>
          <w:sz w:val="32"/>
          <w:szCs w:val="32"/>
          <w:rtl w:val="0"/>
          <w:lang w:val="en-US" w:bidi="en-US" w:eastAsia="en-US"/>
        </w:rPr>
      </w:pPr>
      <w:r>
        <w:rPr>
          <w:b w:val="1"/>
          <w:bCs w:val="1"/>
          <w:sz w:val="32"/>
          <w:szCs w:val="32"/>
          <w:rtl w:val="0"/>
          <w:lang w:val="en-US" w:bidi="en-US" w:eastAsia="en-US"/>
        </w:rPr>
        <w:t>Name</w:t>
      </w:r>
      <w:r>
        <w:rPr>
          <w:b w:val="1"/>
          <w:bCs w:val="1"/>
          <w:sz w:val="32"/>
          <w:szCs w:val="32"/>
          <w:rtl w:val="0"/>
          <w:lang w:val="en-US" w:bidi="en-US" w:eastAsia="en-US"/>
        </w:rPr>
        <w:t xml:space="preserve">- </w:t>
      </w:r>
      <w:r>
        <w:rPr>
          <w:b w:val="0"/>
          <w:bCs w:val="0"/>
          <w:sz w:val="32"/>
          <w:szCs w:val="32"/>
          <w:rtl w:val="0"/>
          <w:lang w:val="en-US" w:bidi="en-US" w:eastAsia="en-US"/>
        </w:rPr>
        <w:t xml:space="preserve">Muhammed </w:t>
      </w:r>
      <w:r>
        <w:rPr>
          <w:b w:val="0"/>
          <w:bCs w:val="0"/>
          <w:sz w:val="32"/>
          <w:szCs w:val="32"/>
          <w:rtl w:val="0"/>
          <w:lang w:val="en-US" w:bidi="en-US" w:eastAsia="en-US"/>
        </w:rPr>
        <w:t xml:space="preserve">Atif Sajid </w:t>
      </w:r>
      <w:r>
        <w:rPr>
          <w:b w:val="0"/>
          <w:bCs w:val="0"/>
          <w:sz w:val="32"/>
          <w:szCs w:val="32"/>
          <w:rtl w:val="0"/>
          <w:lang w:val="en-US" w:bidi="en-US" w:eastAsia="en-US"/>
        </w:rPr>
        <w:t>Banglawala</w:t>
      </w:r>
      <w:r>
        <w:rPr>
          <w:b w:val="1"/>
          <w:bCs w:val="1"/>
          <w:sz w:val="32"/>
          <w:szCs w:val="32"/>
          <w:rtl w:val="0"/>
          <w:lang w:val="en-US" w:bidi="en-US" w:eastAsia="en-US"/>
        </w:rPr>
        <w:t xml:space="preserve"> </w:t>
      </w:r>
    </w:p>
    <w:p>
      <w:pPr>
        <w:spacing w:lineRule="auto" w:line="360" w:beforeAutospacing="0" w:afterAutospacing="0"/>
        <w:ind w:firstLine="0" w:left="0"/>
        <w:jc w:val="left"/>
        <w:rPr>
          <w:b w:val="0"/>
          <w:bCs w:val="0"/>
          <w:sz w:val="32"/>
          <w:szCs w:val="32"/>
          <w:rtl w:val="0"/>
          <w:lang w:val="en-US" w:bidi="en-US" w:eastAsia="en-US"/>
        </w:rPr>
      </w:pPr>
      <w:r>
        <w:rPr>
          <w:b w:val="1"/>
          <w:bCs w:val="1"/>
          <w:sz w:val="32"/>
          <w:szCs w:val="32"/>
          <w:rtl w:val="0"/>
          <w:lang w:val="en-US" w:bidi="en-US" w:eastAsia="en-US"/>
        </w:rPr>
        <w:t>Student ID N</w:t>
      </w:r>
      <w:r>
        <w:rPr>
          <w:b w:val="1"/>
          <w:bCs w:val="1"/>
          <w:sz w:val="32"/>
          <w:szCs w:val="32"/>
          <w:rtl w:val="0"/>
          <w:lang w:val="en-US" w:bidi="en-US" w:eastAsia="en-US"/>
        </w:rPr>
        <w:t>umber-</w:t>
      </w:r>
      <w:r>
        <w:rPr>
          <w:b w:val="0"/>
          <w:bCs w:val="0"/>
          <w:sz w:val="32"/>
          <w:szCs w:val="32"/>
          <w:rtl w:val="0"/>
          <w:lang w:val="en-US" w:bidi="en-US" w:eastAsia="en-US"/>
        </w:rPr>
        <w:t xml:space="preserve"> 2</w:t>
      </w:r>
      <w:r>
        <w:rPr>
          <w:b w:val="0"/>
          <w:bCs w:val="0"/>
          <w:sz w:val="32"/>
          <w:szCs w:val="32"/>
          <w:rtl w:val="0"/>
          <w:lang w:val="en-US" w:bidi="en-US" w:eastAsia="en-US"/>
        </w:rPr>
        <w:t>5</w:t>
      </w:r>
      <w:r>
        <w:rPr>
          <w:b w:val="0"/>
          <w:bCs w:val="0"/>
          <w:sz w:val="32"/>
          <w:szCs w:val="32"/>
          <w:rtl w:val="0"/>
          <w:lang w:val="en-US" w:bidi="en-US" w:eastAsia="en-US"/>
        </w:rPr>
        <w:t>14910</w:t>
      </w:r>
    </w:p>
    <w:p>
      <w:pPr>
        <w:spacing w:lineRule="auto" w:line="360" w:beforeAutospacing="0" w:afterAutospacing="0"/>
        <w:ind w:firstLine="0" w:left="0"/>
        <w:jc w:val="left"/>
        <w:rPr>
          <w:b w:val="0"/>
          <w:bCs w:val="0"/>
          <w:sz w:val="32"/>
          <w:szCs w:val="32"/>
          <w:rtl w:val="0"/>
          <w:lang w:val="en-US" w:bidi="en-US" w:eastAsia="en-US"/>
        </w:rPr>
      </w:pPr>
      <w:r>
        <w:rPr>
          <w:b w:val="1"/>
          <w:bCs w:val="1"/>
          <w:sz w:val="32"/>
          <w:szCs w:val="32"/>
          <w:rtl w:val="0"/>
          <w:lang w:val="en-US" w:bidi="en-US" w:eastAsia="en-US"/>
        </w:rPr>
        <w:t>Program</w:t>
      </w:r>
      <w:r>
        <w:rPr>
          <w:b w:val="1"/>
          <w:bCs w:val="1"/>
          <w:sz w:val="32"/>
          <w:szCs w:val="32"/>
          <w:rtl w:val="0"/>
          <w:lang w:val="en-US" w:bidi="en-US" w:eastAsia="en-US"/>
        </w:rPr>
        <w:t>-</w:t>
      </w:r>
      <w:r>
        <w:rPr>
          <w:b w:val="0"/>
          <w:bCs w:val="0"/>
          <w:sz w:val="32"/>
          <w:szCs w:val="32"/>
          <w:rtl w:val="0"/>
          <w:lang w:val="en-US" w:bidi="en-US" w:eastAsia="en-US"/>
        </w:rPr>
        <w:t xml:space="preserve"> Msc In P</w:t>
      </w:r>
      <w:r>
        <w:rPr>
          <w:b w:val="0"/>
          <w:bCs w:val="0"/>
          <w:sz w:val="32"/>
          <w:szCs w:val="32"/>
          <w:rtl w:val="0"/>
          <w:lang w:val="en-US" w:bidi="en-US" w:eastAsia="en-US"/>
        </w:rPr>
        <w:t xml:space="preserve">ublic </w:t>
      </w:r>
      <w:r>
        <w:rPr>
          <w:b w:val="0"/>
          <w:bCs w:val="0"/>
          <w:sz w:val="32"/>
          <w:szCs w:val="32"/>
          <w:rtl w:val="0"/>
          <w:lang w:val="en-US" w:bidi="en-US" w:eastAsia="en-US"/>
        </w:rPr>
        <w:t xml:space="preserve">Health And </w:t>
      </w:r>
      <w:r>
        <w:rPr>
          <w:b w:val="0"/>
          <w:bCs w:val="0"/>
          <w:sz w:val="32"/>
          <w:szCs w:val="32"/>
          <w:rtl w:val="0"/>
          <w:lang w:val="en-US" w:bidi="en-US" w:eastAsia="en-US"/>
        </w:rPr>
        <w:t xml:space="preserve">Social Care In </w:t>
      </w:r>
      <w:r>
        <w:rPr>
          <w:b w:val="0"/>
          <w:bCs w:val="0"/>
          <w:sz w:val="32"/>
          <w:szCs w:val="32"/>
          <w:rtl w:val="0"/>
          <w:lang w:val="en-US" w:bidi="en-US" w:eastAsia="en-US"/>
        </w:rPr>
        <w:t>Practic</w:t>
      </w:r>
      <w:r>
        <w:rPr>
          <w:b w:val="0"/>
          <w:bCs w:val="0"/>
          <w:sz w:val="32"/>
          <w:szCs w:val="32"/>
          <w:rtl w:val="0"/>
          <w:lang w:val="en-US" w:bidi="en-US" w:eastAsia="en-US"/>
        </w:rPr>
        <w:t>e</w:t>
      </w:r>
    </w:p>
    <w:p>
      <w:pPr>
        <w:spacing w:lineRule="auto" w:line="360" w:beforeAutospacing="0" w:afterAutospacing="0"/>
        <w:ind w:firstLine="0" w:left="0"/>
        <w:jc w:val="left"/>
        <w:rPr>
          <w:b w:val="1"/>
          <w:bCs w:val="1"/>
          <w:sz w:val="32"/>
          <w:szCs w:val="32"/>
        </w:rPr>
      </w:pPr>
      <w:r>
        <w:rPr>
          <w:b w:val="1"/>
          <w:bCs w:val="1"/>
          <w:sz w:val="32"/>
          <w:szCs w:val="32"/>
          <w:rtl w:val="0"/>
          <w:lang w:val="en-US" w:bidi="en-US" w:eastAsia="en-US"/>
        </w:rPr>
        <w:t>M</w:t>
      </w:r>
      <w:r>
        <w:rPr>
          <w:b w:val="1"/>
          <w:bCs w:val="1"/>
          <w:sz w:val="32"/>
          <w:szCs w:val="32"/>
          <w:rtl w:val="0"/>
          <w:lang w:val="en-US" w:bidi="en-US" w:eastAsia="en-US"/>
        </w:rPr>
        <w:t>odule-</w:t>
      </w:r>
      <w:r>
        <w:rPr>
          <w:b w:val="0"/>
          <w:bCs w:val="0"/>
          <w:sz w:val="32"/>
          <w:szCs w:val="32"/>
          <w:rtl w:val="0"/>
          <w:lang w:val="en-US" w:bidi="en-US" w:eastAsia="en-US"/>
        </w:rPr>
        <w:t xml:space="preserve"> LCHS700</w:t>
      </w:r>
      <w:r>
        <w:rPr>
          <w:b w:val="0"/>
          <w:bCs w:val="0"/>
          <w:sz w:val="32"/>
          <w:szCs w:val="32"/>
          <w:rtl w:val="0"/>
          <w:lang w:val="en-US" w:bidi="en-US" w:eastAsia="en-US"/>
        </w:rPr>
        <w:t>0</w:t>
      </w:r>
    </w:p>
    <w:p>
      <w:pPr>
        <w:spacing w:lineRule="auto" w:line="360" w:beforeAutospacing="0" w:afterAutospacing="0"/>
        <w:jc w:val="left"/>
        <w:rPr>
          <w:b w:val="0"/>
          <w:bCs w:val="0"/>
          <w:sz w:val="32"/>
          <w:szCs w:val="32"/>
          <w:rtl w:val="0"/>
          <w:lang w:val="en-US" w:bidi="en-US" w:eastAsia="en-US"/>
        </w:rPr>
      </w:pPr>
      <w:r>
        <w:rPr>
          <w:b w:val="1"/>
          <w:bCs w:val="1"/>
          <w:sz w:val="32"/>
          <w:szCs w:val="32"/>
          <w:rtl w:val="0"/>
          <w:lang w:val="en-US" w:bidi="en-US" w:eastAsia="en-US"/>
        </w:rPr>
        <w:t>A</w:t>
      </w:r>
      <w:r>
        <w:rPr>
          <w:b w:val="1"/>
          <w:bCs w:val="1"/>
          <w:sz w:val="32"/>
          <w:szCs w:val="32"/>
          <w:rtl w:val="0"/>
          <w:lang w:val="en-US" w:bidi="en-US" w:eastAsia="en-US"/>
        </w:rPr>
        <w:t>SSIGNMENT TITLE</w:t>
      </w:r>
      <w:r>
        <w:rPr>
          <w:b w:val="1"/>
          <w:bCs w:val="1"/>
          <w:sz w:val="32"/>
          <w:szCs w:val="32"/>
          <w:rtl w:val="0"/>
          <w:lang w:val="en-US" w:bidi="en-US" w:eastAsia="en-US"/>
        </w:rPr>
        <w:t>:-</w:t>
      </w:r>
      <w:r>
        <w:rPr>
          <w:b w:val="1"/>
          <w:bCs w:val="1"/>
          <w:sz w:val="32"/>
          <w:szCs w:val="32"/>
          <w:rtl w:val="0"/>
          <w:lang w:val="en-US" w:bidi="en-US" w:eastAsia="en-US"/>
        </w:rPr>
        <w:t>"</w:t>
      </w:r>
      <w:r>
        <w:rPr>
          <w:b w:val="0"/>
          <w:bCs w:val="0"/>
          <w:sz w:val="32"/>
          <w:szCs w:val="32"/>
        </w:rPr>
        <w:t>SOCIOECONOMIC HEALTH INEQUALITIES AND THE EPIDEMIOLOGICAL BURDEN OF OBESITY: A PUBLIC HEALTH ANALYSIS</w:t>
      </w:r>
      <w:r>
        <w:rPr>
          <w:b w:val="0"/>
          <w:bCs w:val="0"/>
          <w:sz w:val="32"/>
          <w:szCs w:val="32"/>
          <w:rtl w:val="0"/>
          <w:lang w:val="en-US" w:bidi="en-US" w:eastAsia="en-US"/>
        </w:rPr>
        <w:t>".</w:t>
      </w:r>
    </w:p>
    <w:p>
      <w:pPr>
        <w:spacing w:lineRule="auto" w:line="360" w:beforeAutospacing="0" w:afterAutospacing="0"/>
        <w:jc w:val="left"/>
      </w:pPr>
      <w:r>
        <w:rPr>
          <w:b w:val="1"/>
          <w:bCs w:val="1"/>
          <w:sz w:val="32"/>
          <w:szCs w:val="32"/>
          <w:rtl w:val="0"/>
          <w:lang w:val="en-US" w:bidi="en-US" w:eastAsia="en-US"/>
        </w:rPr>
        <w:t>Lacturer-</w:t>
      </w:r>
      <w:r>
        <w:rPr>
          <w:b w:val="0"/>
          <w:bCs w:val="0"/>
          <w:sz w:val="32"/>
          <w:szCs w:val="32"/>
          <w:rtl w:val="0"/>
          <w:lang w:val="en-US" w:bidi="en-US" w:eastAsia="en-US"/>
        </w:rPr>
        <w:t xml:space="preserve"> Dr.Hamdi H</w:t>
      </w:r>
      <w:r>
        <w:rPr>
          <w:b w:val="0"/>
          <w:bCs w:val="0"/>
          <w:sz w:val="32"/>
          <w:szCs w:val="32"/>
          <w:rtl w:val="0"/>
          <w:lang w:val="en-US" w:bidi="en-US" w:eastAsia="en-US"/>
        </w:rPr>
        <w:t>ussai</w:t>
      </w:r>
      <w:r>
        <w:rPr>
          <w:b w:val="0"/>
          <w:bCs w:val="0"/>
          <w:sz w:val="32"/>
          <w:szCs w:val="32"/>
          <w:rtl w:val="0"/>
          <w:lang w:val="en-US" w:bidi="en-US" w:eastAsia="en-US"/>
        </w:rPr>
        <w:t>n</w:t>
      </w:r>
      <w:bookmarkStart w:id="0" w:name="_dx_frag_StartFragment"/>
      <w:bookmarkEnd w:id="0"/>
      <w:bookmarkStart w:id="1" w:name="_dx_frag_EndFragment"/>
      <w:bookmarkEnd w:id="1"/>
    </w:p>
    <w:p>
      <w:pPr>
        <w:spacing w:lineRule="auto" w:line="360" w:beforeAutospacing="0" w:afterAutospacing="0"/>
        <w:jc w:val="left"/>
      </w:pPr>
    </w:p>
    <w:p>
      <w:pPr>
        <w:spacing w:lineRule="auto" w:line="360" w:beforeAutospacing="0" w:afterAutospacing="0"/>
        <w:jc w:val="left"/>
      </w:pPr>
    </w:p>
    <w:p>
      <w:pPr>
        <w:spacing w:lineRule="auto" w:line="360" w:beforeAutospacing="0" w:afterAutospacing="0"/>
        <w:jc w:val="left"/>
      </w:pPr>
    </w:p>
    <w:p>
      <w:pPr>
        <w:spacing w:lineRule="auto" w:line="360" w:beforeAutospacing="0" w:afterAutospacing="0"/>
        <w:jc w:val="left"/>
      </w:pPr>
    </w:p>
    <w:p>
      <w:pPr>
        <w:spacing w:lineRule="auto" w:line="360" w:beforeAutospacing="0" w:afterAutospacing="0"/>
        <w:jc w:val="left"/>
      </w:pPr>
    </w:p>
    <w:p>
      <w:pPr>
        <w:spacing w:lineRule="auto" w:line="360" w:beforeAutospacing="0" w:afterAutospacing="0"/>
        <w:jc w:val="left"/>
      </w:pPr>
    </w:p>
    <w:p>
      <w:pPr>
        <w:spacing w:lineRule="auto" w:line="360" w:beforeAutospacing="0" w:afterAutospacing="0"/>
        <w:jc w:val="left"/>
      </w:pPr>
    </w:p>
    <w:p>
      <w:pPr>
        <w:spacing w:lineRule="auto" w:line="360" w:beforeAutospacing="0" w:afterAutospacing="0"/>
        <w:jc w:val="left"/>
      </w:pPr>
    </w:p>
    <w:p>
      <w:pPr>
        <w:spacing w:lineRule="auto" w:line="360" w:beforeAutospacing="0" w:afterAutospacing="0"/>
        <w:jc w:val="left"/>
      </w:pPr>
    </w:p>
    <w:p>
      <w:pPr>
        <w:spacing w:lineRule="auto" w:line="360" w:beforeAutospacing="0" w:afterAutospacing="0"/>
        <w:jc w:val="left"/>
      </w:pPr>
    </w:p>
    <w:p>
      <w:pPr>
        <w:spacing w:lineRule="auto" w:line="360" w:beforeAutospacing="0" w:afterAutospacing="0"/>
        <w:jc w:val="left"/>
      </w:pPr>
    </w:p>
    <w:p>
      <w:pPr>
        <w:spacing w:lineRule="auto" w:line="360" w:beforeAutospacing="0" w:afterAutospacing="0"/>
        <w:jc w:val="left"/>
      </w:pPr>
    </w:p>
    <w:p>
      <w:pPr>
        <w:spacing w:lineRule="auto" w:line="360" w:beforeAutospacing="0" w:afterAutospacing="0"/>
        <w:jc w:val="left"/>
      </w:pPr>
    </w:p>
    <w:p>
      <w:pPr>
        <w:pStyle w:val="P15"/>
        <w:spacing w:lineRule="auto" w:line="360" w:beforeAutospacing="0" w:afterAutospacing="0"/>
        <w:jc w:val="center"/>
      </w:pPr>
    </w:p>
    <w:sdt>
      <w:sdtPr>
        <w:rPr>
          <w:rFonts w:ascii="Times New Roman" w:hAnsi="Times New Roman" w:cs="Times New Roman" w:eastAsiaTheme="minorHAnsi"/>
          <w:b w:val="1"/>
          <w:bCs w:val="1"/>
          <w:color w:val="auto"/>
          <w:sz w:val="24"/>
          <w:szCs w:val="24"/>
          <w:kern w:val="2"/>
          <w:lang w:val="en-IN"/>
        </w:rPr>
        <w:id w:val="-230701274"/>
        <w:docPartList>
          <w:docPartGallery w:val="Table of Contents"/>
          <w:docPartCategory w:val=""/>
          <w:docPartUnique/>
        </w:docPartList>
      </w:sdtPr>
      <w:sdtEndPr>
        <w:rPr>
          <w:noProof w:val="1"/>
        </w:rPr>
      </w:sdtEndPr>
      <w:sdtContent>
        <w:p>
          <w:pPr>
            <w:pStyle w:val="P15"/>
            <w:spacing w:lineRule="auto" w:line="360" w:beforeAutospacing="0" w:afterAutospacing="0"/>
            <w:jc w:val="center"/>
            <w:rPr>
              <w:rFonts w:ascii="Times New Roman" w:hAnsi="Times New Roman" w:cs="Times New Roman"/>
              <w:b w:val="1"/>
              <w:bCs w:val="1"/>
              <w:color w:val="auto"/>
              <w:sz w:val="24"/>
              <w:szCs w:val="24"/>
            </w:rPr>
          </w:pPr>
          <w:r>
            <w:rPr>
              <w:rFonts w:ascii="Times New Roman" w:hAnsi="Times New Roman" w:cs="Times New Roman"/>
              <w:b w:val="1"/>
              <w:bCs w:val="1"/>
              <w:color w:val="auto"/>
              <w:sz w:val="24"/>
              <w:szCs w:val="24"/>
            </w:rPr>
            <w:t>Table of Contents</w:t>
          </w:r>
        </w:p>
        <w:p>
          <w:pPr>
            <w:pStyle w:val="P16"/>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r>
            <w:fldChar w:fldCharType="begin"/>
          </w:r>
          <w:r>
            <w:instrText xml:space="preserve"> TOC \o "1-3" \h \z \u </w:instrText>
          </w:r>
          <w:r>
            <w:fldChar w:fldCharType="separate"/>
          </w:r>
          <w:hyperlink w:anchor="_Toc224640088">
            <w:r>
              <w:rPr>
                <w:rStyle w:val="C2"/>
                <w:noProof w:val="1"/>
              </w:rPr>
              <w:t>Task 1: Socioeconomic Status and Health Inequalities</w:t>
            </w:r>
            <w:r>
              <w:rPr>
                <w:noProof w:val="1"/>
              </w:rPr>
              <w:tab/>
            </w:r>
            <w:r>
              <w:rPr>
                <w:noProof w:val="1"/>
              </w:rPr>
              <w:fldChar w:fldCharType="begin"/>
            </w:r>
            <w:r>
              <w:rPr>
                <w:noProof w:val="1"/>
              </w:rPr>
              <w:instrText xml:space="preserve"> PAGEREF _Toc224640088 \h </w:instrText>
            </w:r>
            <w:r>
              <w:rPr>
                <w:noProof w:val="1"/>
              </w:rPr>
              <w:fldChar w:fldCharType="separate"/>
            </w:r>
            <w:r>
              <w:rPr>
                <w:noProof w:val="1"/>
              </w:rPr>
              <w:t>3</w:t>
            </w:r>
            <w:r>
              <w:rPr>
                <w:noProof w:val="1"/>
              </w:rPr>
              <w:fldChar w:fldCharType="end"/>
            </w:r>
          </w:hyperlink>
        </w:p>
        <w:p>
          <w:pPr>
            <w:pStyle w:val="P17"/>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089">
            <w:r>
              <w:rPr>
                <w:rStyle w:val="C2"/>
                <w:noProof w:val="1"/>
              </w:rPr>
              <w:t>Introduction</w:t>
            </w:r>
            <w:r>
              <w:rPr>
                <w:noProof w:val="1"/>
              </w:rPr>
              <w:tab/>
            </w:r>
            <w:r>
              <w:rPr>
                <w:noProof w:val="1"/>
              </w:rPr>
              <w:fldChar w:fldCharType="begin"/>
            </w:r>
            <w:r>
              <w:rPr>
                <w:noProof w:val="1"/>
              </w:rPr>
              <w:instrText xml:space="preserve"> PAGEREF _Toc224640089 \h </w:instrText>
            </w:r>
            <w:r>
              <w:rPr>
                <w:noProof w:val="1"/>
              </w:rPr>
              <w:fldChar w:fldCharType="separate"/>
            </w:r>
            <w:r>
              <w:rPr>
                <w:noProof w:val="1"/>
              </w:rPr>
              <w:t>3</w:t>
            </w:r>
            <w:r>
              <w:rPr>
                <w:noProof w:val="1"/>
              </w:rPr>
              <w:fldChar w:fldCharType="end"/>
            </w:r>
          </w:hyperlink>
        </w:p>
        <w:p>
          <w:pPr>
            <w:pStyle w:val="P17"/>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090">
            <w:r>
              <w:rPr>
                <w:rStyle w:val="C2"/>
                <w:noProof w:val="1"/>
              </w:rPr>
              <w:t>Higher Rates of Chronic Diseases</w:t>
            </w:r>
            <w:r>
              <w:rPr>
                <w:noProof w:val="1"/>
              </w:rPr>
              <w:tab/>
            </w:r>
            <w:r>
              <w:rPr>
                <w:noProof w:val="1"/>
              </w:rPr>
              <w:fldChar w:fldCharType="begin"/>
            </w:r>
            <w:r>
              <w:rPr>
                <w:noProof w:val="1"/>
              </w:rPr>
              <w:instrText xml:space="preserve"> PAGEREF _Toc224640090 \h </w:instrText>
            </w:r>
            <w:r>
              <w:rPr>
                <w:noProof w:val="1"/>
              </w:rPr>
              <w:fldChar w:fldCharType="separate"/>
            </w:r>
            <w:r>
              <w:rPr>
                <w:noProof w:val="1"/>
              </w:rPr>
              <w:t>3</w:t>
            </w:r>
            <w:r>
              <w:rPr>
                <w:noProof w:val="1"/>
              </w:rPr>
              <w:fldChar w:fldCharType="end"/>
            </w:r>
          </w:hyperlink>
        </w:p>
        <w:p>
          <w:pPr>
            <w:pStyle w:val="P17"/>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091">
            <w:r>
              <w:rPr>
                <w:rStyle w:val="C2"/>
                <w:noProof w:val="1"/>
              </w:rPr>
              <w:t>Mental Health and Social Inequalities</w:t>
            </w:r>
            <w:r>
              <w:rPr>
                <w:noProof w:val="1"/>
              </w:rPr>
              <w:tab/>
            </w:r>
            <w:r>
              <w:rPr>
                <w:noProof w:val="1"/>
              </w:rPr>
              <w:fldChar w:fldCharType="begin"/>
            </w:r>
            <w:r>
              <w:rPr>
                <w:noProof w:val="1"/>
              </w:rPr>
              <w:instrText xml:space="preserve"> PAGEREF _Toc224640091 \h </w:instrText>
            </w:r>
            <w:r>
              <w:rPr>
                <w:noProof w:val="1"/>
              </w:rPr>
              <w:fldChar w:fldCharType="separate"/>
            </w:r>
            <w:r>
              <w:rPr>
                <w:noProof w:val="1"/>
              </w:rPr>
              <w:t>3</w:t>
            </w:r>
            <w:r>
              <w:rPr>
                <w:noProof w:val="1"/>
              </w:rPr>
              <w:fldChar w:fldCharType="end"/>
            </w:r>
          </w:hyperlink>
        </w:p>
        <w:p>
          <w:pPr>
            <w:pStyle w:val="P17"/>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092">
            <w:r>
              <w:rPr>
                <w:rStyle w:val="C2"/>
                <w:noProof w:val="1"/>
              </w:rPr>
              <w:t>Barriers to Healthcare Access</w:t>
            </w:r>
            <w:r>
              <w:rPr>
                <w:noProof w:val="1"/>
              </w:rPr>
              <w:tab/>
            </w:r>
            <w:r>
              <w:rPr>
                <w:noProof w:val="1"/>
              </w:rPr>
              <w:fldChar w:fldCharType="begin"/>
            </w:r>
            <w:r>
              <w:rPr>
                <w:noProof w:val="1"/>
              </w:rPr>
              <w:instrText xml:space="preserve"> PAGEREF _Toc224640092 \h </w:instrText>
            </w:r>
            <w:r>
              <w:rPr>
                <w:noProof w:val="1"/>
              </w:rPr>
              <w:fldChar w:fldCharType="separate"/>
            </w:r>
            <w:r>
              <w:rPr>
                <w:noProof w:val="1"/>
              </w:rPr>
              <w:t>4</w:t>
            </w:r>
            <w:r>
              <w:rPr>
                <w:noProof w:val="1"/>
              </w:rPr>
              <w:fldChar w:fldCharType="end"/>
            </w:r>
          </w:hyperlink>
        </w:p>
        <w:p>
          <w:pPr>
            <w:pStyle w:val="P17"/>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093">
            <w:r>
              <w:rPr>
                <w:rStyle w:val="C2"/>
                <w:noProof w:val="1"/>
              </w:rPr>
              <w:t>Socioeconomic Determinants of Health</w:t>
            </w:r>
            <w:r>
              <w:rPr>
                <w:noProof w:val="1"/>
              </w:rPr>
              <w:tab/>
            </w:r>
            <w:r>
              <w:rPr>
                <w:noProof w:val="1"/>
              </w:rPr>
              <w:fldChar w:fldCharType="begin"/>
            </w:r>
            <w:r>
              <w:rPr>
                <w:noProof w:val="1"/>
              </w:rPr>
              <w:instrText xml:space="preserve"> PAGEREF _Toc224640093 \h </w:instrText>
            </w:r>
            <w:r>
              <w:rPr>
                <w:noProof w:val="1"/>
              </w:rPr>
              <w:fldChar w:fldCharType="separate"/>
            </w:r>
            <w:r>
              <w:rPr>
                <w:noProof w:val="1"/>
              </w:rPr>
              <w:t>4</w:t>
            </w:r>
            <w:r>
              <w:rPr>
                <w:noProof w:val="1"/>
              </w:rPr>
              <w:fldChar w:fldCharType="end"/>
            </w:r>
          </w:hyperlink>
        </w:p>
        <w:p>
          <w:pPr>
            <w:pStyle w:val="P17"/>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094">
            <w:r>
              <w:rPr>
                <w:rStyle w:val="C2"/>
                <w:noProof w:val="1"/>
              </w:rPr>
              <w:t>Health Outcomes and Disease Burden</w:t>
            </w:r>
            <w:r>
              <w:rPr>
                <w:noProof w:val="1"/>
              </w:rPr>
              <w:tab/>
            </w:r>
            <w:r>
              <w:rPr>
                <w:noProof w:val="1"/>
              </w:rPr>
              <w:fldChar w:fldCharType="begin"/>
            </w:r>
            <w:r>
              <w:rPr>
                <w:noProof w:val="1"/>
              </w:rPr>
              <w:instrText xml:space="preserve"> PAGEREF _Toc224640094 \h </w:instrText>
            </w:r>
            <w:r>
              <w:rPr>
                <w:noProof w:val="1"/>
              </w:rPr>
              <w:fldChar w:fldCharType="separate"/>
            </w:r>
            <w:r>
              <w:rPr>
                <w:noProof w:val="1"/>
              </w:rPr>
              <w:t>5</w:t>
            </w:r>
            <w:r>
              <w:rPr>
                <w:noProof w:val="1"/>
              </w:rPr>
              <w:fldChar w:fldCharType="end"/>
            </w:r>
          </w:hyperlink>
        </w:p>
        <w:p>
          <w:pPr>
            <w:pStyle w:val="P17"/>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095">
            <w:r>
              <w:rPr>
                <w:rStyle w:val="C2"/>
                <w:noProof w:val="1"/>
              </w:rPr>
              <w:t>Health Policy Responses in the UK</w:t>
            </w:r>
            <w:r>
              <w:rPr>
                <w:noProof w:val="1"/>
              </w:rPr>
              <w:tab/>
            </w:r>
            <w:r>
              <w:rPr>
                <w:noProof w:val="1"/>
              </w:rPr>
              <w:fldChar w:fldCharType="begin"/>
            </w:r>
            <w:r>
              <w:rPr>
                <w:noProof w:val="1"/>
              </w:rPr>
              <w:instrText xml:space="preserve"> PAGEREF _Toc224640095 \h </w:instrText>
            </w:r>
            <w:r>
              <w:rPr>
                <w:noProof w:val="1"/>
              </w:rPr>
              <w:fldChar w:fldCharType="separate"/>
            </w:r>
            <w:r>
              <w:rPr>
                <w:noProof w:val="1"/>
              </w:rPr>
              <w:t>5</w:t>
            </w:r>
            <w:r>
              <w:rPr>
                <w:noProof w:val="1"/>
              </w:rPr>
              <w:fldChar w:fldCharType="end"/>
            </w:r>
          </w:hyperlink>
        </w:p>
        <w:p>
          <w:pPr>
            <w:pStyle w:val="P17"/>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096">
            <w:r>
              <w:rPr>
                <w:rStyle w:val="C2"/>
                <w:noProof w:val="1"/>
              </w:rPr>
              <w:t>Conclusion</w:t>
            </w:r>
            <w:r>
              <w:rPr>
                <w:noProof w:val="1"/>
              </w:rPr>
              <w:tab/>
            </w:r>
            <w:r>
              <w:rPr>
                <w:noProof w:val="1"/>
              </w:rPr>
              <w:fldChar w:fldCharType="begin"/>
            </w:r>
            <w:r>
              <w:rPr>
                <w:noProof w:val="1"/>
              </w:rPr>
              <w:instrText xml:space="preserve"> PAGEREF _Toc224640096 \h </w:instrText>
            </w:r>
            <w:r>
              <w:rPr>
                <w:noProof w:val="1"/>
              </w:rPr>
              <w:fldChar w:fldCharType="separate"/>
            </w:r>
            <w:r>
              <w:rPr>
                <w:noProof w:val="1"/>
              </w:rPr>
              <w:t>6</w:t>
            </w:r>
            <w:r>
              <w:rPr>
                <w:noProof w:val="1"/>
              </w:rPr>
              <w:fldChar w:fldCharType="end"/>
            </w:r>
          </w:hyperlink>
        </w:p>
        <w:p>
          <w:pPr>
            <w:pStyle w:val="P16"/>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097">
            <w:r>
              <w:rPr>
                <w:rStyle w:val="C2"/>
                <w:noProof w:val="1"/>
              </w:rPr>
              <w:t>Task 2: Epidemiological Analysis – Obesity as a Public Health Epidemic</w:t>
            </w:r>
            <w:r>
              <w:rPr>
                <w:noProof w:val="1"/>
              </w:rPr>
              <w:tab/>
            </w:r>
            <w:r>
              <w:rPr>
                <w:noProof w:val="1"/>
              </w:rPr>
              <w:fldChar w:fldCharType="begin"/>
            </w:r>
            <w:r>
              <w:rPr>
                <w:noProof w:val="1"/>
              </w:rPr>
              <w:instrText xml:space="preserve"> PAGEREF _Toc224640097 \h </w:instrText>
            </w:r>
            <w:r>
              <w:rPr>
                <w:noProof w:val="1"/>
              </w:rPr>
              <w:fldChar w:fldCharType="separate"/>
            </w:r>
            <w:r>
              <w:rPr>
                <w:noProof w:val="1"/>
              </w:rPr>
              <w:t>6</w:t>
            </w:r>
            <w:r>
              <w:rPr>
                <w:noProof w:val="1"/>
              </w:rPr>
              <w:fldChar w:fldCharType="end"/>
            </w:r>
          </w:hyperlink>
        </w:p>
        <w:p>
          <w:pPr>
            <w:pStyle w:val="P17"/>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098">
            <w:r>
              <w:rPr>
                <w:rStyle w:val="C2"/>
                <w:noProof w:val="1"/>
              </w:rPr>
              <w:t>Introduction</w:t>
            </w:r>
            <w:r>
              <w:rPr>
                <w:noProof w:val="1"/>
              </w:rPr>
              <w:tab/>
            </w:r>
            <w:r>
              <w:rPr>
                <w:noProof w:val="1"/>
              </w:rPr>
              <w:fldChar w:fldCharType="begin"/>
            </w:r>
            <w:r>
              <w:rPr>
                <w:noProof w:val="1"/>
              </w:rPr>
              <w:instrText xml:space="preserve"> PAGEREF _Toc224640098 \h </w:instrText>
            </w:r>
            <w:r>
              <w:rPr>
                <w:noProof w:val="1"/>
              </w:rPr>
              <w:fldChar w:fldCharType="separate"/>
            </w:r>
            <w:r>
              <w:rPr>
                <w:noProof w:val="1"/>
              </w:rPr>
              <w:t>6</w:t>
            </w:r>
            <w:r>
              <w:rPr>
                <w:noProof w:val="1"/>
              </w:rPr>
              <w:fldChar w:fldCharType="end"/>
            </w:r>
          </w:hyperlink>
        </w:p>
        <w:p>
          <w:pPr>
            <w:pStyle w:val="P17"/>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099">
            <w:r>
              <w:rPr>
                <w:rStyle w:val="C2"/>
                <w:noProof w:val="1"/>
              </w:rPr>
              <w:t>Public Health Measures: Prevention, Protection and Promotion</w:t>
            </w:r>
            <w:r>
              <w:rPr>
                <w:noProof w:val="1"/>
              </w:rPr>
              <w:tab/>
            </w:r>
            <w:r>
              <w:rPr>
                <w:noProof w:val="1"/>
              </w:rPr>
              <w:fldChar w:fldCharType="begin"/>
            </w:r>
            <w:r>
              <w:rPr>
                <w:noProof w:val="1"/>
              </w:rPr>
              <w:instrText xml:space="preserve"> PAGEREF _Toc224640099 \h </w:instrText>
            </w:r>
            <w:r>
              <w:rPr>
                <w:noProof w:val="1"/>
              </w:rPr>
              <w:fldChar w:fldCharType="separate"/>
            </w:r>
            <w:r>
              <w:rPr>
                <w:noProof w:val="1"/>
              </w:rPr>
              <w:t>7</w:t>
            </w:r>
            <w:r>
              <w:rPr>
                <w:noProof w:val="1"/>
              </w:rPr>
              <w:fldChar w:fldCharType="end"/>
            </w:r>
          </w:hyperlink>
        </w:p>
        <w:p>
          <w:pPr>
            <w:pStyle w:val="P17"/>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100">
            <w:r>
              <w:rPr>
                <w:rStyle w:val="C2"/>
                <w:noProof w:val="1"/>
              </w:rPr>
              <w:t>Determinants and Risk Factors</w:t>
            </w:r>
            <w:r>
              <w:rPr>
                <w:noProof w:val="1"/>
              </w:rPr>
              <w:tab/>
            </w:r>
            <w:r>
              <w:rPr>
                <w:noProof w:val="1"/>
              </w:rPr>
              <w:fldChar w:fldCharType="begin"/>
            </w:r>
            <w:r>
              <w:rPr>
                <w:noProof w:val="1"/>
              </w:rPr>
              <w:instrText xml:space="preserve"> PAGEREF _Toc224640100 \h </w:instrText>
            </w:r>
            <w:r>
              <w:rPr>
                <w:noProof w:val="1"/>
              </w:rPr>
              <w:fldChar w:fldCharType="separate"/>
            </w:r>
            <w:r>
              <w:rPr>
                <w:noProof w:val="1"/>
              </w:rPr>
              <w:t>8</w:t>
            </w:r>
            <w:r>
              <w:rPr>
                <w:noProof w:val="1"/>
              </w:rPr>
              <w:fldChar w:fldCharType="end"/>
            </w:r>
          </w:hyperlink>
        </w:p>
        <w:p>
          <w:pPr>
            <w:pStyle w:val="P17"/>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101">
            <w:r>
              <w:rPr>
                <w:rStyle w:val="C2"/>
                <w:noProof w:val="1"/>
              </w:rPr>
              <w:t>Population at Risk</w:t>
            </w:r>
            <w:r>
              <w:rPr>
                <w:noProof w:val="1"/>
              </w:rPr>
              <w:tab/>
            </w:r>
            <w:r>
              <w:rPr>
                <w:noProof w:val="1"/>
              </w:rPr>
              <w:fldChar w:fldCharType="begin"/>
            </w:r>
            <w:r>
              <w:rPr>
                <w:noProof w:val="1"/>
              </w:rPr>
              <w:instrText xml:space="preserve"> PAGEREF _Toc224640101 \h </w:instrText>
            </w:r>
            <w:r>
              <w:rPr>
                <w:noProof w:val="1"/>
              </w:rPr>
              <w:fldChar w:fldCharType="separate"/>
            </w:r>
            <w:r>
              <w:rPr>
                <w:noProof w:val="1"/>
              </w:rPr>
              <w:t>8</w:t>
            </w:r>
            <w:r>
              <w:rPr>
                <w:noProof w:val="1"/>
              </w:rPr>
              <w:fldChar w:fldCharType="end"/>
            </w:r>
          </w:hyperlink>
        </w:p>
        <w:p>
          <w:pPr>
            <w:pStyle w:val="P17"/>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102">
            <w:r>
              <w:rPr>
                <w:rStyle w:val="C2"/>
                <w:noProof w:val="1"/>
              </w:rPr>
              <w:t>Monitoring and Surveillance Systems</w:t>
            </w:r>
            <w:r>
              <w:rPr>
                <w:noProof w:val="1"/>
              </w:rPr>
              <w:tab/>
            </w:r>
            <w:r>
              <w:rPr>
                <w:noProof w:val="1"/>
              </w:rPr>
              <w:fldChar w:fldCharType="begin"/>
            </w:r>
            <w:r>
              <w:rPr>
                <w:noProof w:val="1"/>
              </w:rPr>
              <w:instrText xml:space="preserve"> PAGEREF _Toc224640102 \h </w:instrText>
            </w:r>
            <w:r>
              <w:rPr>
                <w:noProof w:val="1"/>
              </w:rPr>
              <w:fldChar w:fldCharType="separate"/>
            </w:r>
            <w:r>
              <w:rPr>
                <w:noProof w:val="1"/>
              </w:rPr>
              <w:t>9</w:t>
            </w:r>
            <w:r>
              <w:rPr>
                <w:noProof w:val="1"/>
              </w:rPr>
              <w:fldChar w:fldCharType="end"/>
            </w:r>
          </w:hyperlink>
        </w:p>
        <w:p>
          <w:pPr>
            <w:pStyle w:val="P17"/>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103">
            <w:r>
              <w:rPr>
                <w:rStyle w:val="C2"/>
                <w:noProof w:val="1"/>
              </w:rPr>
              <w:t>Public Health Impact</w:t>
            </w:r>
            <w:r>
              <w:rPr>
                <w:noProof w:val="1"/>
              </w:rPr>
              <w:tab/>
            </w:r>
            <w:r>
              <w:rPr>
                <w:noProof w:val="1"/>
              </w:rPr>
              <w:fldChar w:fldCharType="begin"/>
            </w:r>
            <w:r>
              <w:rPr>
                <w:noProof w:val="1"/>
              </w:rPr>
              <w:instrText xml:space="preserve"> PAGEREF _Toc224640103 \h </w:instrText>
            </w:r>
            <w:r>
              <w:rPr>
                <w:noProof w:val="1"/>
              </w:rPr>
              <w:fldChar w:fldCharType="separate"/>
            </w:r>
            <w:r>
              <w:rPr>
                <w:noProof w:val="1"/>
              </w:rPr>
              <w:t>9</w:t>
            </w:r>
            <w:r>
              <w:rPr>
                <w:noProof w:val="1"/>
              </w:rPr>
              <w:fldChar w:fldCharType="end"/>
            </w:r>
          </w:hyperlink>
        </w:p>
        <w:p>
          <w:pPr>
            <w:pStyle w:val="P17"/>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104">
            <w:r>
              <w:rPr>
                <w:rStyle w:val="C2"/>
                <w:noProof w:val="1"/>
              </w:rPr>
              <w:t>Intervention Programme</w:t>
            </w:r>
            <w:r>
              <w:rPr>
                <w:noProof w:val="1"/>
              </w:rPr>
              <w:tab/>
            </w:r>
            <w:r>
              <w:rPr>
                <w:noProof w:val="1"/>
              </w:rPr>
              <w:fldChar w:fldCharType="begin"/>
            </w:r>
            <w:r>
              <w:rPr>
                <w:noProof w:val="1"/>
              </w:rPr>
              <w:instrText xml:space="preserve"> PAGEREF _Toc224640104 \h </w:instrText>
            </w:r>
            <w:r>
              <w:rPr>
                <w:noProof w:val="1"/>
              </w:rPr>
              <w:fldChar w:fldCharType="separate"/>
            </w:r>
            <w:r>
              <w:rPr>
                <w:noProof w:val="1"/>
              </w:rPr>
              <w:t>10</w:t>
            </w:r>
            <w:r>
              <w:rPr>
                <w:noProof w:val="1"/>
              </w:rPr>
              <w:fldChar w:fldCharType="end"/>
            </w:r>
          </w:hyperlink>
        </w:p>
        <w:p>
          <w:pPr>
            <w:pStyle w:val="P17"/>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105">
            <w:r>
              <w:rPr>
                <w:rStyle w:val="C2"/>
                <w:noProof w:val="1"/>
              </w:rPr>
              <w:t>Evaluation of Intervention</w:t>
            </w:r>
            <w:r>
              <w:rPr>
                <w:noProof w:val="1"/>
              </w:rPr>
              <w:tab/>
            </w:r>
            <w:r>
              <w:rPr>
                <w:noProof w:val="1"/>
              </w:rPr>
              <w:fldChar w:fldCharType="begin"/>
            </w:r>
            <w:r>
              <w:rPr>
                <w:noProof w:val="1"/>
              </w:rPr>
              <w:instrText xml:space="preserve"> PAGEREF _Toc224640105 \h </w:instrText>
            </w:r>
            <w:r>
              <w:rPr>
                <w:noProof w:val="1"/>
              </w:rPr>
              <w:fldChar w:fldCharType="separate"/>
            </w:r>
            <w:r>
              <w:rPr>
                <w:noProof w:val="1"/>
              </w:rPr>
              <w:t>10</w:t>
            </w:r>
            <w:r>
              <w:rPr>
                <w:noProof w:val="1"/>
              </w:rPr>
              <w:fldChar w:fldCharType="end"/>
            </w:r>
          </w:hyperlink>
        </w:p>
        <w:p>
          <w:pPr>
            <w:pStyle w:val="P17"/>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106">
            <w:r>
              <w:rPr>
                <w:rStyle w:val="C2"/>
                <w:noProof w:val="1"/>
              </w:rPr>
              <w:t>Strengths and Limitations of Epidemiological Approaches</w:t>
            </w:r>
            <w:r>
              <w:rPr>
                <w:noProof w:val="1"/>
              </w:rPr>
              <w:tab/>
            </w:r>
            <w:r>
              <w:rPr>
                <w:noProof w:val="1"/>
              </w:rPr>
              <w:fldChar w:fldCharType="begin"/>
            </w:r>
            <w:r>
              <w:rPr>
                <w:noProof w:val="1"/>
              </w:rPr>
              <w:instrText xml:space="preserve"> PAGEREF _Toc224640106 \h </w:instrText>
            </w:r>
            <w:r>
              <w:rPr>
                <w:noProof w:val="1"/>
              </w:rPr>
              <w:fldChar w:fldCharType="separate"/>
            </w:r>
            <w:r>
              <w:rPr>
                <w:noProof w:val="1"/>
              </w:rPr>
              <w:t>11</w:t>
            </w:r>
            <w:r>
              <w:rPr>
                <w:noProof w:val="1"/>
              </w:rPr>
              <w:fldChar w:fldCharType="end"/>
            </w:r>
          </w:hyperlink>
        </w:p>
        <w:p>
          <w:pPr>
            <w:pStyle w:val="P16"/>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107">
            <w:r>
              <w:rPr>
                <w:rStyle w:val="C2"/>
                <w:noProof w:val="1"/>
              </w:rPr>
              <w:t>References</w:t>
            </w:r>
            <w:r>
              <w:rPr>
                <w:noProof w:val="1"/>
              </w:rPr>
              <w:tab/>
            </w:r>
            <w:r>
              <w:rPr>
                <w:noProof w:val="1"/>
              </w:rPr>
              <w:fldChar w:fldCharType="begin"/>
            </w:r>
            <w:r>
              <w:rPr>
                <w:noProof w:val="1"/>
              </w:rPr>
              <w:instrText xml:space="preserve"> PAGEREF _Toc224640107 \h </w:instrText>
            </w:r>
            <w:r>
              <w:rPr>
                <w:noProof w:val="1"/>
              </w:rPr>
              <w:fldChar w:fldCharType="separate"/>
            </w:r>
            <w:r>
              <w:rPr>
                <w:noProof w:val="1"/>
              </w:rPr>
              <w:t>12</w:t>
            </w:r>
            <w:r>
              <w:rPr>
                <w:noProof w:val="1"/>
              </w:rPr>
              <w:fldChar w:fldCharType="end"/>
            </w:r>
          </w:hyperlink>
        </w:p>
        <w:p>
          <w:pPr>
            <w:pStyle w:val="P17"/>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108">
            <w:r>
              <w:rPr>
                <w:rStyle w:val="C2"/>
                <w:noProof w:val="1"/>
              </w:rPr>
              <w:t>References for Task 1</w:t>
            </w:r>
            <w:r>
              <w:rPr>
                <w:noProof w:val="1"/>
              </w:rPr>
              <w:tab/>
            </w:r>
            <w:r>
              <w:rPr>
                <w:noProof w:val="1"/>
              </w:rPr>
              <w:fldChar w:fldCharType="begin"/>
            </w:r>
            <w:r>
              <w:rPr>
                <w:noProof w:val="1"/>
              </w:rPr>
              <w:instrText xml:space="preserve"> PAGEREF _Toc224640108 \h </w:instrText>
            </w:r>
            <w:r>
              <w:rPr>
                <w:noProof w:val="1"/>
              </w:rPr>
              <w:fldChar w:fldCharType="separate"/>
            </w:r>
            <w:r>
              <w:rPr>
                <w:noProof w:val="1"/>
              </w:rPr>
              <w:t>12</w:t>
            </w:r>
            <w:r>
              <w:rPr>
                <w:noProof w:val="1"/>
              </w:rPr>
              <w:fldChar w:fldCharType="end"/>
            </w:r>
          </w:hyperlink>
        </w:p>
        <w:p>
          <w:pPr>
            <w:pStyle w:val="P17"/>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109">
            <w:r>
              <w:rPr>
                <w:rStyle w:val="C2"/>
                <w:noProof w:val="1"/>
              </w:rPr>
              <w:t>References for Task 2</w:t>
            </w:r>
            <w:r>
              <w:rPr>
                <w:noProof w:val="1"/>
              </w:rPr>
              <w:tab/>
            </w:r>
            <w:r>
              <w:rPr>
                <w:noProof w:val="1"/>
              </w:rPr>
              <w:fldChar w:fldCharType="begin"/>
            </w:r>
            <w:r>
              <w:rPr>
                <w:noProof w:val="1"/>
              </w:rPr>
              <w:instrText xml:space="preserve"> PAGEREF _Toc224640109 \h </w:instrText>
            </w:r>
            <w:r>
              <w:rPr>
                <w:noProof w:val="1"/>
              </w:rPr>
              <w:fldChar w:fldCharType="separate"/>
            </w:r>
            <w:r>
              <w:rPr>
                <w:noProof w:val="1"/>
              </w:rPr>
              <w:t>14</w:t>
            </w:r>
            <w:r>
              <w:rPr>
                <w:noProof w:val="1"/>
              </w:rPr>
              <w:fldChar w:fldCharType="end"/>
            </w:r>
          </w:hyperlink>
        </w:p>
        <w:p>
          <w:pPr>
            <w:spacing w:lineRule="auto" w:line="360" w:beforeAutospacing="0" w:afterAutospacing="0"/>
            <w:jc w:val="center"/>
          </w:pPr>
          <w:r>
            <w:rPr>
              <w:b w:val="1"/>
              <w:bCs w:val="1"/>
              <w:noProof w:val="1"/>
            </w:rPr>
            <w:fldChar w:fldCharType="end"/>
          </w:r>
        </w:p>
      </w:sdtContent>
    </w:sdt>
    <w:p>
      <w:pPr>
        <w:spacing w:lineRule="auto" w:line="360" w:beforeAutospacing="0" w:afterAutospacing="0"/>
        <w:jc w:val="center"/>
        <w:rPr>
          <w:b w:val="1"/>
          <w:bCs w:val="1"/>
        </w:rPr>
      </w:pPr>
      <w:r>
        <w:br w:type="page"/>
      </w:r>
    </w:p>
    <w:p>
      <w:pPr>
        <w:pStyle w:val="P1"/>
        <w:spacing w:lineRule="auto" w:line="360" w:beforeAutospacing="0" w:afterAutospacing="0"/>
      </w:pPr>
      <w:bookmarkStart w:id="2" w:name="_Toc224640088"/>
      <w:r>
        <w:t>Task 1: Socioeconomic Status and Health Inequalities</w:t>
      </w:r>
      <w:bookmarkEnd w:id="2"/>
    </w:p>
    <w:p>
      <w:pPr>
        <w:pStyle w:val="P2"/>
        <w:spacing w:lineRule="auto" w:line="360" w:beforeAutospacing="0" w:afterAutospacing="0"/>
      </w:pPr>
      <w:bookmarkStart w:id="3" w:name="_Toc224640089"/>
      <w:r>
        <w:t>Introduction</w:t>
      </w:r>
      <w:bookmarkEnd w:id="3"/>
    </w:p>
    <w:p>
      <w:pPr>
        <w:spacing w:lineRule="auto" w:line="360" w:beforeAutospacing="0" w:afterAutospacing="0"/>
        <w:jc w:val="both"/>
      </w:pPr>
      <w:r>
        <w:t xml:space="preserve">The term health inequalities explains the existing disparities in health and access to medical care between various population groups. Socioeconomic status is among the factors that cause these differences and entails income, education, employment and living conditions. The poor have lower socioeconomic status and experience worse health outcomes, shorter life expectancy, and reduced access to healthcare services within the UK population. In the UK, people living in the most deprived areas have a life expectancy that is up to 9–10 years lower than those in the least deprived areas (ONS, 2024). Research evidence within the UK context reveals that poverty, housing conditions and educational access are key social determinants that have a strong impact on disease risk and health behaviours (Vrtikapa </w:t>
      </w:r>
      <w:r>
        <w:rPr>
          <w:i w:val="1"/>
          <w:iCs w:val="1"/>
        </w:rPr>
        <w:t>et al</w:t>
      </w:r>
      <w:r>
        <w:t xml:space="preserve">., 2025). A vast contribution to health disparities in the UK has been pointed at socioeconomic inequality, which is prevalent across different regions and communities in the country (Abdi </w:t>
      </w:r>
      <w:r>
        <w:rPr>
          <w:i w:val="1"/>
          <w:iCs w:val="1"/>
        </w:rPr>
        <w:t>et al</w:t>
      </w:r>
      <w:r>
        <w:t>., 2025). The reduction of these disparities has thus become a critical issue to the public health systems that aim at promoting health equity and enhancing population health results.</w:t>
      </w:r>
    </w:p>
    <w:p>
      <w:pPr>
        <w:pStyle w:val="P2"/>
        <w:spacing w:lineRule="auto" w:line="360" w:beforeAutospacing="0" w:afterAutospacing="0"/>
      </w:pPr>
      <w:bookmarkStart w:id="4" w:name="_Toc224640090"/>
      <w:r>
        <w:t>Higher Rates of Chronic Diseases</w:t>
      </w:r>
      <w:bookmarkEnd w:id="4"/>
    </w:p>
    <w:p>
      <w:pPr>
        <w:spacing w:lineRule="auto" w:line="360" w:beforeAutospacing="0" w:afterAutospacing="0"/>
        <w:jc w:val="both"/>
      </w:pPr>
      <w:r>
        <w:t xml:space="preserve">Lower socioeconomic status results in an individual having higher chances of becoming infected with chronic illnesses like cardiovascular disease, diabetes, respiratory illnesses, etc. Studies show that poor living conditions, lack of access to healthy food and physical exercise are likely to expose disadvantaged people to non-communicable diseases (Hamasaki, 2025). In the UK, adults living in deprived areas are significantly more likely to develop Type 2 diabetes and cardiovascular diseases, particularly among adults aged 40–70 years (OHID, 2023). The socioeconomic disparities also affect the long-term health behaviour after the chronic illnesses have been diagnosed. Low socioeconomic status individuals might not be able to maintain healthy lifestyles because of financial constraints and poor access to help services in the disclosed healthcare (Wang </w:t>
      </w:r>
      <w:r>
        <w:rPr>
          <w:i w:val="1"/>
          <w:iCs w:val="1"/>
        </w:rPr>
        <w:t>et al</w:t>
      </w:r>
      <w:r>
        <w:t>., 2025). These are the reasons to be more prevalent and worse outcomes with chronic conditions and diseases in low-income populations. Additionally, certain ethnic groups in the UK, particularly South Asian populations, show higher susceptibility to diabetes due to both socioeconomic and genetic predisposition. Besides this, people in socioeconomically disadvantaged communities tend to be more exposed to environmental health hazards, which further exacerbates chronic disease outcomes.</w:t>
      </w:r>
    </w:p>
    <w:p>
      <w:pPr>
        <w:pStyle w:val="P2"/>
        <w:spacing w:lineRule="auto" w:line="360" w:beforeAutospacing="0" w:afterAutospacing="0"/>
      </w:pPr>
      <w:bookmarkStart w:id="5" w:name="_Toc224640091"/>
      <w:r>
        <w:t>Mental Health and Social Inequalities</w:t>
      </w:r>
      <w:bookmarkEnd w:id="5"/>
    </w:p>
    <w:p>
      <w:pPr>
        <w:spacing w:lineRule="auto" w:line="360" w:beforeAutospacing="0" w:afterAutospacing="0"/>
        <w:jc w:val="both"/>
      </w:pPr>
      <w:r>
        <w:t xml:space="preserve">Socioeconomic status is also found to be strongly linked with mental health outcomes. People living in poverty, unemployment or social inadequacy are risky to stress, anxiety and depression. Studies indicate that socioeconomic inequality causes mental strain and diminishes mental health accessibility, which adversely impacts the emotional wellbeing (Dopelt, 2025). In the UK, women and younger adults aged 18–34 years report higher levels of anxiety and depression compared to other groups, particularly in deprived communities (NHS Digital, 2023). Moreover, social inequalities may model health behaviours both in relation to physical and mental wellbeing. Research evaluating the health behaviour determinants aims to identify that socioeconomically disadvantaged people have higher likelihood of developing risk behaviours including smoking and physical inactivity because of the social and environmental factors (Hilz </w:t>
      </w:r>
      <w:r>
        <w:rPr>
          <w:i w:val="1"/>
          <w:iCs w:val="1"/>
        </w:rPr>
        <w:t>et al</w:t>
      </w:r>
      <w:r>
        <w:t>., 2025). These behavioural patterns are known to cause health inequalities and risk escalation to chronic disease.</w:t>
      </w:r>
    </w:p>
    <w:p>
      <w:pPr>
        <w:pStyle w:val="P2"/>
        <w:spacing w:lineRule="auto" w:line="360" w:beforeAutospacing="0" w:afterAutospacing="0"/>
      </w:pPr>
      <w:bookmarkStart w:id="6" w:name="_Toc224640092"/>
      <w:r>
        <w:t>Barriers to Healthcare Access</w:t>
      </w:r>
      <w:bookmarkEnd w:id="6"/>
    </w:p>
    <w:p>
      <w:pPr>
        <w:spacing w:lineRule="auto" w:line="360" w:beforeAutospacing="0" w:afterAutospacing="0"/>
        <w:jc w:val="both"/>
      </w:pPr>
      <w:r>
        <w:t xml:space="preserve">Another key parameter of socioeconomic health disparity is restricted access to healthcare services. The low-income citizens might be constrained by financial situations which limit their access to health care consultation and preventive screening and treatment facilities. Research examining healthcare amongst individuals with chronic illnesses indicates that socioeconomic disadvantage is a significant decreasing element of healthcare utilisation and delay of diagnosis (Nikkhah </w:t>
      </w:r>
      <w:r>
        <w:rPr>
          <w:i w:val="1"/>
          <w:iCs w:val="1"/>
        </w:rPr>
        <w:t>et al</w:t>
      </w:r>
      <w:r>
        <w:t xml:space="preserve">., 2026). In the UK, individuals in deprived areas are more likely to experience delays in accessing GP appointments and specialist services, contributing to late diagnosis and poorer outcomes (ONS, 2024). Secondly, formal inequalities in resource allocation might cause health systems to fail to meet the needs of disadvantaged groups of people. It is also shown in research that socioeconomic status impacts the health outcomes following medical events like major injuries or falls, and people with poor socioeconomic backgrounds have poor recovery outcomes (Speckmann </w:t>
      </w:r>
      <w:r>
        <w:rPr>
          <w:i w:val="1"/>
          <w:iCs w:val="1"/>
        </w:rPr>
        <w:t>et al</w:t>
      </w:r>
      <w:r>
        <w:t>., 2025). The access of healthcare can therefore be improved to curb socioeconomic health disparities.</w:t>
      </w:r>
    </w:p>
    <w:p>
      <w:pPr>
        <w:pStyle w:val="P2"/>
        <w:spacing w:lineRule="auto" w:line="360" w:beforeAutospacing="0" w:afterAutospacing="0"/>
      </w:pPr>
      <w:bookmarkStart w:id="7" w:name="_Toc224640093"/>
      <w:r>
        <w:t>Socioeconomic Determinants of Health</w:t>
      </w:r>
      <w:bookmarkEnd w:id="7"/>
    </w:p>
    <w:p>
      <w:pPr>
        <w:spacing w:lineRule="auto" w:line="360" w:beforeAutospacing="0" w:afterAutospacing="0"/>
        <w:jc w:val="both"/>
      </w:pPr>
      <w:r>
        <w:t>The socioeconomic factors, including education level, employment and housing statuses are vital in the determination of health among populations. Educated people tend to have healthier lives due to their health literacy and ability to get resources to live healthy lifestyles (Wallington and Feger, 2025). On the other hand, lack of employment opportunities, food security, poor housing conditions, and poor health are common among the poor population as they live in poverty, leading to poor health outcomes. In the UK, individuals with lower educational attainment are more likely to engage in unhealthy behaviours such as smoking and poor diet, contributing to long-term health inequalities (OHID, 2023). Research in the field of public health underlines the essentials of studying social determinants of health to minimize the disparity in health and create health justice (Yearby, 2022). Moreover, the digital divide can also affect the health outcomes of people since people who have low access to the internet might not be capable of receiving credible health information and healthcare support services (Cai, 2026). This issue is also evident in the UK, where digitally excluded populations, particularly older adults, face challenges in accessing online healthcare services (ONS, 2024). These digital disparities have potential to increase the existing health disparities.</w:t>
      </w:r>
    </w:p>
    <w:p>
      <w:pPr>
        <w:pStyle w:val="P2"/>
        <w:spacing w:lineRule="auto" w:line="360" w:beforeAutospacing="0" w:afterAutospacing="0"/>
      </w:pPr>
      <w:bookmarkStart w:id="8" w:name="_Toc224640094"/>
      <w:r>
        <w:t>Health Outcomes and Disease Burden</w:t>
      </w:r>
      <w:bookmarkEnd w:id="8"/>
    </w:p>
    <w:p>
      <w:pPr>
        <w:spacing w:lineRule="auto" w:line="360" w:beforeAutospacing="0" w:afterAutospacing="0"/>
        <w:jc w:val="both"/>
      </w:pPr>
      <w:r>
        <w:t xml:space="preserve">The burden of disease is greatly affected by socioeconomic inequalities in the human population. Studies comparing the trends of diseases across the world have shown that the people with the low socioeconomic status have higher death rates as well as vulnerability to serious health complications. In the UK, mortality rates from preventable diseases are significantly higher in deprived populations compared to affluent groups (ONS, 2024). Indicatively, research that has examined the outcome of stroke reveals that low socioeconomic status is linked to both increased stroke rates and adverse recovery outcomes (Pantoja-Ruiz </w:t>
      </w:r>
      <w:r>
        <w:rPr>
          <w:i w:val="1"/>
          <w:iCs w:val="1"/>
        </w:rPr>
        <w:t>et al</w:t>
      </w:r>
      <w:r>
        <w:t xml:space="preserve">., 2025). Equally, children and youths who reside in low quality socioeconomic factors might have a inferior health because they cannot access healthcare services and social assistance (Sekhon </w:t>
      </w:r>
      <w:r>
        <w:rPr>
          <w:i w:val="1"/>
          <w:iCs w:val="1"/>
        </w:rPr>
        <w:t>et al</w:t>
      </w:r>
      <w:r>
        <w:t>., 2025). Child health inequalities in the UK also show higher rates of obesity and chronic illness among children from low-income households (NHS Digital, 2023). Such results emphasize the necessity of community health programs that can eliminate the causes of economic health disparities in a population.</w:t>
      </w:r>
    </w:p>
    <w:p>
      <w:pPr>
        <w:pStyle w:val="P2"/>
        <w:spacing w:lineRule="auto" w:line="360" w:beforeAutospacing="0" w:afterAutospacing="0"/>
      </w:pPr>
      <w:bookmarkStart w:id="9" w:name="_Toc224640095"/>
      <w:r>
        <w:t>Health Policy Responses in the UK</w:t>
      </w:r>
      <w:bookmarkEnd w:id="9"/>
    </w:p>
    <w:p>
      <w:pPr>
        <w:spacing w:lineRule="auto" w:line="360" w:beforeAutospacing="0" w:afterAutospacing="0"/>
        <w:jc w:val="both"/>
      </w:pPr>
      <w:r>
        <w:t>As one of the leading health determinants, socioeconomic inequalities have been recognised by establishing policies and international alliances to support the achievement of health equity. The World Health Organization stresses that the social determinants of health play a key role in enhancing population health and eliminating inequalities among various social groups (World Health Organization, 2025). In the UK, policies led by the NHS and the Office for Health Improvement and Disparities (OHID) focus on reducing health inequalities through improved access to healthcare, education, and housing initiatives (OHID, 2023). To reduce the socioeconomic gaps, the strategies in the field of public health gravitate towards enhancing the state of education, housing and access to healthcare. Sanctioning community support systems and coming up policies that will lead to economic stability can also aid in mitigating health inequalities among people.</w:t>
      </w:r>
    </w:p>
    <w:p>
      <w:pPr>
        <w:pStyle w:val="P2"/>
        <w:spacing w:lineRule="auto" w:line="360" w:beforeAutospacing="0" w:afterAutospacing="0"/>
      </w:pPr>
      <w:bookmarkStart w:id="10" w:name="_Toc224640096"/>
      <w:r>
        <w:t>Conclusion</w:t>
      </w:r>
      <w:bookmarkEnd w:id="10"/>
    </w:p>
    <w:p>
      <w:pPr>
        <w:spacing w:lineRule="auto" w:line="360" w:beforeAutospacing="0" w:afterAutospacing="0"/>
        <w:jc w:val="both"/>
      </w:pPr>
      <w:r>
        <w:t>Socioeconomic status is still among the most significant determinants of health inequalities within the UK. The low socioeconomic factors contribute to prevalence of chronic health conditions, other mental hospitalization, and healthcare access barriers against lower socioeconomic groups. The root cause of these differences can be explained by a combination of social factors such as income, education, employment and living conditions. The antisocial economical-based health disparities need comprehensive approaches in addressing the problems of health inequality, such as enhancing healthcare affordability, poverty minimization, and enhancing social support. Policymakers can reduce health disparities by working on them to achieve fair health outcomes through populations by dealing with these structural determinants of health.</w:t>
      </w:r>
    </w:p>
    <w:p>
      <w:pPr>
        <w:pStyle w:val="P1"/>
        <w:spacing w:lineRule="auto" w:line="360" w:beforeAutospacing="0" w:afterAutospacing="0"/>
      </w:pPr>
      <w:bookmarkStart w:id="11" w:name="_Toc224640097"/>
      <w:r>
        <w:t>Task 2: Epidemiological Analysis – Obesity as a Public Health Epidemic</w:t>
      </w:r>
      <w:bookmarkEnd w:id="11"/>
    </w:p>
    <w:p>
      <w:pPr>
        <w:pStyle w:val="P2"/>
      </w:pPr>
      <w:bookmarkStart w:id="12" w:name="_Toc224640098"/>
      <w:r>
        <w:t>Introduction</w:t>
      </w:r>
      <w:bookmarkEnd w:id="12"/>
    </w:p>
    <w:p>
      <w:pPr>
        <w:spacing w:lineRule="auto" w:line="360" w:beforeAutospacing="0" w:afterAutospacing="0"/>
        <w:jc w:val="both"/>
      </w:pPr>
      <w:r>
        <w:t>Obesity is a significant public health issue in the UK identified by the overweight of the body fat that poses an additional risk of various chronic ailments. It is usually quantified by body mass index and those whose body mass index is equal to or above 30 kg/m² are defined as being obese. The rate of obesity prevalence in the UK has been growing at an alarming rate with far-reaching health and economic impacts in the past several decades. In the UK, around 28% of adults are classified as obese and a further 36% are overweight (NHS Digital, 2023). Through the current statistics, it is evident that obesity is currently afflicting millions of individuals within the UK population and it is one of the gravest predisposing factors of non-communicable diseases (Ahmed and Mohammed, 2025). Obesity has been characterized as a major public health epidemic in the UK due to its extensive spread and a high rate of rise in very young, old, and middle-aged age demographics (Boutari and Mantzoros, 2022). Epidemiological studies prove that obesity is linked to a high number of health problems such as cardiovascular disease, diabetes, high blood pressure, and some kinds of cancer (Koliaki et al., 2023). It is thus important to know the epidemiology of obesity so that effective public health interventions can be developed to minimise obesity among people and the health-related complications within the UK context.</w:t>
      </w:r>
    </w:p>
    <w:p>
      <w:pPr>
        <w:pStyle w:val="P2"/>
      </w:pPr>
      <w:bookmarkStart w:id="13" w:name="_Toc224640099"/>
      <w:r>
        <w:t>Public Health Measures: Prevention, Protection and Promotion</w:t>
      </w:r>
      <w:bookmarkEnd w:id="13"/>
    </w:p>
    <w:p>
      <w:pPr>
        <w:spacing w:lineRule="auto" w:line="360" w:beforeAutospacing="0" w:afterAutospacing="0"/>
        <w:jc w:val="both"/>
      </w:pPr>
      <w:r>
        <w:t>The responses of the public health in reaction to the obesity are usually aimed at prevention, health promotion, and protection. Prevention strategies are meant to lower the prevalence of obesity through modifying the lifestyle risk factors, which are subject to change, including poor diets and lack of physical exercise. Increased physical activity, balanced diets and minimal intake of high-energy foods are promoted by numerous health promotion initiatives in the community in a bid to realize good health. In the UK, programmes such as the Change4Life campaign and the Soft Drinks Industry Levy (sugar tax) have been implemented to encourage healthier dietary behaviours and reduce sugar consumption (OHID, 2023). Adequate preventive measures undertaken in schools, workplace and community programmes have the potential to influence the adoption of healthier lifestyles by the populations.</w:t>
      </w:r>
    </w:p>
    <w:p>
      <w:pPr>
        <w:spacing w:lineRule="auto" w:line="360" w:beforeAutospacing="0" w:afterAutospacing="0"/>
        <w:jc w:val="both"/>
      </w:pPr>
      <w:r>
        <w:t>The protection strategies aim at the early detection of persons who are either overweight or are at risk of developing obesity related complications. Regular monitoring of body weight and metabolic indicators and health screening programmes can be used to identify people who need to undergo an early intervention. Global health organisations stress the need to have surveillance systems that will determine the prevalence of obesity and also groups of people who are more susceptible to contracting obesity related diseases (World Health Organization, 2025). In the UK, the National Child Measurement Programme (NCMP) is used to monitor obesity levels among children aged 4–5 and 10–11 years (NHS Digital, 2023). Obesity can be identified at an early stage and therefore, preventing it at an initial stage will enable the medical practitioner to administer lifestyle modification to prevent the advancement of obesity into other serious health issues.</w:t>
      </w:r>
    </w:p>
    <w:p>
      <w:pPr>
        <w:spacing w:lineRule="auto" w:line="360" w:beforeAutospacing="0" w:afterAutospacing="0"/>
        <w:jc w:val="both"/>
      </w:pPr>
      <w:r>
        <w:t>Health promotion interventions include increasing the level of awareness of the population regarding the health hazards that come with obesity and promoting behavioural change that favours healthier lifestyles. Massive public health campaigns emphasizing healthy diets and physical exercise have been used to ensure that the continually increasing burden of obesity is checked. Occasionally, the focus of these programmes on certain groups of people like children, adolescents and elderly is to lower the long-term health risks of excessive weight gain. For example, UK school-based interventions promote physical activity and healthy eating habits among children to prevent early onset obesity (OHID, 2023).</w:t>
      </w:r>
    </w:p>
    <w:p>
      <w:pPr>
        <w:pStyle w:val="P2"/>
      </w:pPr>
      <w:bookmarkStart w:id="14" w:name="_Toc224640100"/>
      <w:r>
        <w:t>Determinants and Risk Factors</w:t>
      </w:r>
      <w:bookmarkEnd w:id="14"/>
    </w:p>
    <w:p>
      <w:pPr>
        <w:spacing w:lineRule="auto" w:line="360" w:beforeAutospacing="0" w:afterAutospacing="0"/>
        <w:jc w:val="both"/>
      </w:pPr>
      <w:r>
        <w:t>The overall formation of obesity is a complicated integration between biological and behavioural as well as environmental influences. Most of them are caused by the lack of balance between the energy intake and the expenditure of energy, by people consuming more calories than they are burning off because of physical activities. Lifestyles in modern society that are characterised by sedentary lifestyles and consumption of processed foods has had a major idea in the increase in the prevalence of obesity in various parts of the world (Ahmed and Mohammed, 2025).</w:t>
      </w:r>
    </w:p>
    <w:p>
      <w:pPr>
        <w:spacing w:lineRule="auto" w:line="360" w:beforeAutospacing="0" w:afterAutospacing="0"/>
        <w:jc w:val="both"/>
      </w:pPr>
      <w:r>
        <w:t>The socioeconomic factors too are significant in carving out the risk of obesity. Those people that are in an urban setting can be faced with access to fewer physical activities and be exposed to unhealthy diets. Epidemiological researches indicate that dietary shifts, a lack of physical exercises, and increased access to high-energy foods have been some of the factors that have led to the increasing obesity prevalence in the UK population (OHID, 2023). Genetic conditions can also determine the disposition of a patient to obesity. Genetic predisposition studies suggest that individuals with certain polygenic risk factors may have higher susceptibility to obesity, including within UK populations (Siswanto et al., 2025).</w:t>
      </w:r>
    </w:p>
    <w:p>
      <w:pPr>
        <w:spacing w:lineRule="auto" w:line="360" w:beforeAutospacing="0" w:afterAutospacing="0"/>
        <w:jc w:val="both"/>
      </w:pPr>
      <w:r>
        <w:t>Other predictors are age and gender factor, which determine the level of obesity. In the UK, obesity prevalence is higher among middle-aged adults and shows slightly higher rates in men compared to women (NHS Digital, 2023). Indicatively, epidemiological research has discovered that high prevalence of overweight and obesity among the women of reproductive age can be attributed to the effects of hormone and lifestyle (Sapkota et al., 2025). Moreover, obesity rates usually rise as one ages since the metabolic rates are lower and the rates of physical activities are reduced with age. Ethnic disparities are also evident in the UK, with higher obesity-related risks observed among Black and South Asian populations due to both socioeconomic and genetic factors.</w:t>
      </w:r>
    </w:p>
    <w:p>
      <w:pPr>
        <w:pStyle w:val="P2"/>
      </w:pPr>
      <w:bookmarkStart w:id="15" w:name="_Toc224640101"/>
      <w:r>
        <w:t>Population at Risk</w:t>
      </w:r>
      <w:bookmarkEnd w:id="15"/>
    </w:p>
    <w:p>
      <w:pPr>
        <w:spacing w:lineRule="auto" w:line="360" w:beforeAutospacing="0" w:afterAutospacing="0"/>
        <w:jc w:val="both"/>
      </w:pPr>
      <w:r>
        <w:t>There are certain groups of people in the population, which are more susceptible to obesity and health related outcomes. One of the most vulnerable populations is represented by adults, who live a sedentary lifestyle and inhabit urbanised societies. The epidemiological studies conducted in multiple countries have revealed that a significant percentage of the global adult population has become overweight and obese (Artime et al., 2025). In the UK, adult obesity affects approximately 28% of the population, with higher prevalence in deprived communities (NHS Digital, 2023). It also exposes the elderly to the risk of obesity, which is caused by physiological alterations, including slower metabolism and greater fat deposition (Khanmohammadi et al., 2025).</w:t>
      </w:r>
    </w:p>
    <w:p>
      <w:pPr>
        <w:spacing w:lineRule="auto" w:line="360" w:beforeAutospacing="0" w:afterAutospacing="0"/>
        <w:jc w:val="both"/>
      </w:pPr>
      <w:r>
        <w:t>Another vulnerable population group is represented by children and adolescents since obesity in young age is likely to be checked in the adult stage. The research on childhood obesity indicates that there is growing prevalence of adolescents due to sedentary lifestyles and poor eating habits (Panda et al., 2025). In the UK, around 1 in 5 children aged 10–11 years are classified as obese (NCMP, 2023). Studies that examine obesity in children aged 10-17 years have established that family environment, socioeconomic status as well as lifestyle behaviours are strong predictors in determining the risk of obesity among children in this age group (Mondal, 2026). These results emphasize the need to have early prevention measures which focus on childhood obesity.</w:t>
      </w:r>
    </w:p>
    <w:p>
      <w:pPr>
        <w:pStyle w:val="P2"/>
      </w:pPr>
      <w:bookmarkStart w:id="16" w:name="_Toc224640102"/>
      <w:r>
        <w:t>Monitoring and Surveillance Systems</w:t>
      </w:r>
      <w:bookmarkEnd w:id="16"/>
    </w:p>
    <w:p>
      <w:pPr>
        <w:spacing w:lineRule="auto" w:line="360" w:beforeAutospacing="0" w:afterAutospacing="0"/>
        <w:jc w:val="both"/>
      </w:pPr>
      <w:r>
        <w:t>To achieve the planned objectives of monitoring obesity prevalence, there is a need to have good systems of epidemiological surveillance that will gather data on body weight and lifestyle behaviours and the associated health outcomes. The tendency of obesity and risk populations are typically been tracked with the aid of national health surveys and international health databases. In the UK, surveillance systems such as NHS Digital datasets and the National Child Measurement Programme are used to monitor obesity trends and inform public health policies (NHS Digital, 2023). Metanalytic studies that have examined the behaviour of obesity over time show that the prevalence rates of obesity in most parts of the globe have been on a steady rise over the past few decades (Boutari and Mantzoros, 2022).</w:t>
      </w:r>
    </w:p>
    <w:p>
      <w:pPr>
        <w:spacing w:lineRule="auto" w:line="360" w:beforeAutospacing="0" w:afterAutospacing="0"/>
        <w:jc w:val="both"/>
      </w:pPr>
      <w:r>
        <w:t>Significant trends in obesity have been also given through large population surveys that have been carried out in many countries. Epidemiological surveillance of 36 countries in WHO African region has provided an example of substantial prevalence-rate rises in overweight and obesity conditions in adults over the years (Agboyibor et al., 2026). Likewise, the research conducted on long-term statistics of healthcare facilities has reported the rise in obesity rates among the professional groups, which illuminates the ubiquity of the epidemic (Liu et al., 2025). These tracking devices are crucial in informing the policies of the general population and positively assessing the response programmes.</w:t>
      </w:r>
    </w:p>
    <w:p>
      <w:pPr>
        <w:pStyle w:val="P2"/>
      </w:pPr>
      <w:bookmarkStart w:id="17" w:name="_Toc224640103"/>
      <w:r>
        <w:t>Public Health Impact</w:t>
      </w:r>
      <w:bookmarkEnd w:id="17"/>
    </w:p>
    <w:p>
      <w:pPr>
        <w:spacing w:lineRule="auto" w:line="360" w:beforeAutospacing="0" w:afterAutospacing="0"/>
        <w:jc w:val="both"/>
      </w:pPr>
      <w:r>
        <w:t>The prevalence of obesity among people has a significant health impact on society, as obesity has been identified as the cause of many chronic diseases and a rise in cost of healthcare. There are major conditions that are closely linked with obesity and they include cardiovascular disease, diabetes type 2 and some cancers. Epidemiological data reveals that obese people are much more susceptible to metabolic diseases that impact the quality of their health in the long run (Koliaki et al., 2023). Obesity predisposes to infectious diseases as well since the excessive adipose tissue has the potential to suppress the work of the immune system and intensify the level of inflammation (Pugliese et al., 2022).</w:t>
      </w:r>
    </w:p>
    <w:p>
      <w:pPr>
        <w:spacing w:lineRule="auto" w:line="360" w:beforeAutospacing="0" w:afterAutospacing="0"/>
        <w:jc w:val="both"/>
      </w:pPr>
      <w:r>
        <w:t>Obesity has significant financial pressure on health care systems, besides health effects. In the UK, obesity-related conditions are estimated to cost the NHS over £6 billion annually (OHID, 2023). Obesity has led to a rise in the number of people seeking medical care due to diseases associated with obesity hence causing a rise in healthcare spending across the country. According to the researchers in the field of public health, the prevention of obesity is a crucial means of minimizing the economic cost of long-term management of chronic diseases.</w:t>
      </w:r>
    </w:p>
    <w:p>
      <w:pPr>
        <w:pStyle w:val="P2"/>
      </w:pPr>
      <w:bookmarkStart w:id="18" w:name="_Toc224640104"/>
      <w:r>
        <w:t>Intervention Programme</w:t>
      </w:r>
      <w:bookmarkEnd w:id="18"/>
    </w:p>
    <w:p>
      <w:pPr>
        <w:spacing w:lineRule="auto" w:line="360" w:beforeAutospacing="0" w:afterAutospacing="0"/>
        <w:jc w:val="both"/>
      </w:pPr>
      <w:r>
        <w:t>The most common intervention strategies in the prevention of obesity in communities include the lifestyle modification programmes, policy and community-based programmes. Given the promotion of healthy diets, the development of physical exercises and the elimination of sedentary habits, lifestyle interventions are usually oriented towards these initiatives. In the UK, NHS weight management services and community-based programmes support individuals in achieving healthier lifestyles through diet and physical activity interventions (NHS, 2023). Nutritional counselling and behavioural with respect to obesity would be another aspect that could be offered by healthcare professionals to those at risk.</w:t>
      </w:r>
    </w:p>
    <w:p>
      <w:pPr>
        <w:spacing w:lineRule="auto" w:line="360" w:beforeAutospacing="0" w:afterAutospacing="0"/>
        <w:jc w:val="both"/>
      </w:pPr>
      <w:r>
        <w:t>Interventions on children and their families are especially significant to the community as the lifestyle choices made by children in their early years are crucial to their later health outcomes. Physical activities and healthy eating programmes carried out in schools will go a long way in helping to decrease the prevalence of obesity among children. For example, UK school programmes promote daily physical activity and regulated school meals to reduce childhood obesity (OHID, 2023). The government regulations in marketing of food and the measures implemented to enhance the availability of healthy foods should also play a significant role in obesity prevention measures.</w:t>
      </w:r>
    </w:p>
    <w:p>
      <w:pPr>
        <w:pStyle w:val="P2"/>
      </w:pPr>
      <w:bookmarkStart w:id="19" w:name="_Toc224640105"/>
      <w:r>
        <w:t>Evaluation of Intervention</w:t>
      </w:r>
      <w:bookmarkEnd w:id="19"/>
    </w:p>
    <w:p>
      <w:pPr>
        <w:spacing w:lineRule="auto" w:line="360" w:beforeAutospacing="0" w:afterAutospacing="0"/>
        <w:jc w:val="both"/>
      </w:pPr>
      <w:r>
        <w:t>The efficacy of obesity interventions can be measured by checking the variation of body weight, dietary habits as well as the level of physical activity in the target groups. Cohort studies and population surveys are epidemiological research methods, which enables the researcher to quantify the effect of intervention programmes in the long run. The reviews and assessments of the childhood obesity prevention programmes reveal that the comprehensive community-based interventions could produce the measurable health behaviours and weight outcomes (Shibeshi et al., 2026).</w:t>
      </w:r>
    </w:p>
    <w:p>
      <w:pPr>
        <w:spacing w:lineRule="auto" w:line="360" w:beforeAutospacing="0" w:afterAutospacing="0"/>
        <w:jc w:val="both"/>
      </w:pPr>
      <w:r>
        <w:t>According to the researchers of public health, effective interventions in relation to obesity must be supported by continued policy, the involvement of the community and the cooperation of health organizations and policy developers. In the UK, ongoing evaluation through NHS and OHID programmes ensures that obesity interventions remain effective and responsive to population needs (OHID, 2023). The constant review process keeps the intervention strategies relevant and attentive to the changing population health requirements.</w:t>
      </w:r>
    </w:p>
    <w:p>
      <w:pPr>
        <w:pStyle w:val="P2"/>
      </w:pPr>
      <w:bookmarkStart w:id="20" w:name="_Toc224640106"/>
      <w:r>
        <w:t>Strengths and Limitations of Epidemiological Approaches</w:t>
      </w:r>
      <w:bookmarkEnd w:id="20"/>
    </w:p>
    <w:p>
      <w:pPr>
        <w:spacing w:lineRule="auto" w:line="360" w:beforeAutospacing="0" w:afterAutospacing="0"/>
        <w:jc w:val="both"/>
      </w:pPr>
      <w:r>
        <w:t>Epidemiological studies are important in the determination of the distribution, determinants and health effect of obesity. Population studies and surveillance systems are great sources of data, which allow researchers to determine the risk factors and estimate the intervention strategies. There are, however, some limitations such as the variations in measurement methods, difference in data collection by different countries. In the UK context, limitations may also arise from regional disparities in data reporting and differences in socioeconomic conditions across populations. Nevertheless, epidemiological studies are critical in informing evidence-based policies in the field of public health and directing the fight in the UK to curb the weight of obesity (Rota et al., 2025).</w:t>
      </w:r>
    </w:p>
    <w:p>
      <w:pPr>
        <w:spacing w:lineRule="auto" w:line="360" w:beforeAutospacing="0" w:afterAutospacing="0"/>
        <w:jc w:val="both"/>
      </w:pPr>
      <w:r>
        <w:br w:type="page"/>
      </w:r>
    </w:p>
    <w:p>
      <w:pPr>
        <w:pStyle w:val="P1"/>
        <w:spacing w:lineRule="auto" w:line="360" w:beforeAutospacing="0" w:afterAutospacing="0"/>
      </w:pPr>
      <w:bookmarkStart w:id="21" w:name="_Toc224640107"/>
      <w:r>
        <w:t>References</w:t>
      </w:r>
      <w:bookmarkEnd w:id="21"/>
      <w:r>
        <w:t xml:space="preserve"> </w:t>
      </w:r>
    </w:p>
    <w:p>
      <w:pPr>
        <w:pStyle w:val="P2"/>
        <w:spacing w:lineRule="auto" w:line="360" w:beforeAutospacing="0" w:afterAutospacing="0"/>
      </w:pPr>
      <w:bookmarkStart w:id="22" w:name="_Toc224640108"/>
      <w:r>
        <w:t>References for Task 1</w:t>
      </w:r>
      <w:bookmarkEnd w:id="22"/>
    </w:p>
    <w:p>
      <w:pPr>
        <w:spacing w:lineRule="auto" w:line="360" w:beforeAutospacing="0" w:afterAutospacing="0"/>
        <w:jc w:val="both"/>
      </w:pPr>
      <w:r>
        <w:t>Abdi, Y.H., Abdi, M.S., Bashir, S.G., Ahmed, N.I. and Abdullahi, Y.B., 2025. Understanding Global Health Inequality and Inequity: Causes, Consequences, and the Path Toward Justice in Healthcare. </w:t>
      </w:r>
      <w:r>
        <w:rPr>
          <w:i w:val="1"/>
          <w:iCs w:val="1"/>
        </w:rPr>
        <w:t>Public Health Challenges</w:t>
      </w:r>
      <w:r>
        <w:t>, </w:t>
      </w:r>
      <w:r>
        <w:rPr>
          <w:i w:val="1"/>
          <w:iCs w:val="1"/>
        </w:rPr>
        <w:t>4</w:t>
      </w:r>
      <w:r>
        <w:t xml:space="preserve">(4), p.e70156. </w:t>
      </w:r>
      <w:hyperlink xmlns:r="http://schemas.openxmlformats.org/officeDocument/2006/relationships" r:id="R2" w:tgtFrame="_new">
        <w:r>
          <w:rPr>
            <w:rStyle w:val="C2"/>
          </w:rPr>
          <w:t>https://pmc.ncbi.nlm.nih.gov/articles/PMC12553980/</w:t>
        </w:r>
      </w:hyperlink>
    </w:p>
    <w:p>
      <w:pPr>
        <w:spacing w:lineRule="auto" w:line="360" w:beforeAutospacing="0" w:afterAutospacing="0"/>
        <w:jc w:val="both"/>
      </w:pPr>
      <w:r>
        <w:t>Cai, Y., 2026. Digital access and health outcomes: The moderating role of socioeconomic status in health information seeking. </w:t>
      </w:r>
      <w:r>
        <w:rPr>
          <w:i w:val="1"/>
          <w:iCs w:val="1"/>
        </w:rPr>
        <w:t>Digital Health</w:t>
      </w:r>
      <w:r>
        <w:t>, </w:t>
      </w:r>
      <w:r>
        <w:rPr>
          <w:i w:val="1"/>
          <w:iCs w:val="1"/>
        </w:rPr>
        <w:t>12</w:t>
      </w:r>
      <w:r>
        <w:t>, p.20552076261427777.</w:t>
      </w:r>
      <w:r>
        <w:br w:type="textWrapping"/>
      </w:r>
      <w:hyperlink xmlns:r="http://schemas.openxmlformats.org/officeDocument/2006/relationships" r:id="R3" w:tgtFrame="_new">
        <w:r>
          <w:rPr>
            <w:rStyle w:val="C2"/>
          </w:rPr>
          <w:t>https://journals.sagepub.com/doi/full/10.1177/20552076261427777</w:t>
        </w:r>
      </w:hyperlink>
    </w:p>
    <w:p>
      <w:pPr>
        <w:spacing w:lineRule="auto" w:line="360" w:beforeAutospacing="0" w:afterAutospacing="0"/>
        <w:jc w:val="both"/>
      </w:pPr>
      <w:r>
        <w:t>Dopelt, K., 2025. Health disparities: the emerging trends and pressing challenges. </w:t>
      </w:r>
      <w:r>
        <w:rPr>
          <w:i w:val="1"/>
          <w:iCs w:val="1"/>
        </w:rPr>
        <w:t>European Journal of Investigation in Health, Psychology and Education</w:t>
      </w:r>
      <w:r>
        <w:t>, </w:t>
      </w:r>
      <w:r>
        <w:rPr>
          <w:i w:val="1"/>
          <w:iCs w:val="1"/>
        </w:rPr>
        <w:t>15</w:t>
      </w:r>
      <w:r>
        <w:t xml:space="preserve">(1), p.7. </w:t>
      </w:r>
      <w:hyperlink xmlns:r="http://schemas.openxmlformats.org/officeDocument/2006/relationships" r:id="R4" w:tgtFrame="_new">
        <w:r>
          <w:rPr>
            <w:rStyle w:val="C2"/>
          </w:rPr>
          <w:t>https://pmc.ncbi.nlm.nih.gov/articles/PMC11765355/</w:t>
        </w:r>
      </w:hyperlink>
    </w:p>
    <w:p>
      <w:pPr>
        <w:spacing w:lineRule="auto" w:line="360" w:beforeAutospacing="0" w:afterAutospacing="0"/>
        <w:jc w:val="both"/>
      </w:pPr>
      <w:r>
        <w:t>Hamasaki, H., 2025, July. The Relationship Between Socioeconomic Status and Health Behaviors in Older Adults: A Narrative Review. In </w:t>
      </w:r>
      <w:r>
        <w:rPr>
          <w:i w:val="1"/>
          <w:iCs w:val="1"/>
        </w:rPr>
        <w:t>Healthcare</w:t>
      </w:r>
      <w:r>
        <w:t xml:space="preserve"> (Vol. 13, No. 14, p. 1669). MDPI. </w:t>
      </w:r>
      <w:hyperlink xmlns:r="http://schemas.openxmlformats.org/officeDocument/2006/relationships" r:id="R5" w:tgtFrame="_new">
        <w:r>
          <w:rPr>
            <w:rStyle w:val="C2"/>
          </w:rPr>
          <w:t>https://pmc.ncbi.nlm.nih.gov/articles/PMC12295311/</w:t>
        </w:r>
      </w:hyperlink>
    </w:p>
    <w:p>
      <w:pPr>
        <w:spacing w:lineRule="auto" w:line="360" w:beforeAutospacing="0" w:afterAutospacing="0"/>
        <w:jc w:val="both"/>
      </w:pPr>
      <w:r>
        <w:t>Hilz, L.K., Jones, C., Conner, M., Jürgens, D., Pedrós Barnils, N. and Schüz, B., 2025. Social inequality, health behaviour determinants and health behaviour: A Systematic Review. </w:t>
      </w:r>
      <w:r>
        <w:rPr>
          <w:i w:val="1"/>
          <w:iCs w:val="1"/>
        </w:rPr>
        <w:t>Psychology &amp; Health</w:t>
      </w:r>
      <w:r>
        <w:t xml:space="preserve">, pp.1-27. </w:t>
      </w:r>
      <w:hyperlink xmlns:r="http://schemas.openxmlformats.org/officeDocument/2006/relationships" r:id="R6" w:tgtFrame="_new">
        <w:r>
          <w:rPr>
            <w:rStyle w:val="C2"/>
          </w:rPr>
          <w:t>https://www.tandfonline.com/doi/full/10.1080/08870446.2025.2590070</w:t>
        </w:r>
      </w:hyperlink>
    </w:p>
    <w:p>
      <w:pPr>
        <w:spacing w:lineRule="auto" w:line="360" w:beforeAutospacing="0" w:afterAutospacing="0"/>
        <w:jc w:val="both"/>
      </w:pPr>
      <w:r>
        <w:t xml:space="preserve">NHS Digital, 2023. </w:t>
      </w:r>
      <w:r>
        <w:rPr>
          <w:i w:val="1"/>
          <w:iCs w:val="1"/>
        </w:rPr>
        <w:t>Mental health of children and young people in England</w:t>
      </w:r>
      <w:r>
        <w:t xml:space="preserve">. Available at: </w:t>
      </w:r>
      <w:hyperlink xmlns:r="http://schemas.openxmlformats.org/officeDocument/2006/relationships" r:id="R7" w:tgtFrame="_new">
        <w:r>
          <w:rPr>
            <w:rStyle w:val="C2"/>
          </w:rPr>
          <w:t>https://digital.nhs.uk/data-and-information/publications/statistical/mental-health-of-children-and-young-people-in-england</w:t>
        </w:r>
      </w:hyperlink>
      <w:r>
        <w:t xml:space="preserve"> (Accessed: 17 March 2026).</w:t>
      </w:r>
    </w:p>
    <w:p>
      <w:pPr>
        <w:spacing w:lineRule="auto" w:line="360" w:beforeAutospacing="0" w:afterAutospacing="0"/>
        <w:jc w:val="both"/>
      </w:pPr>
      <w:r>
        <w:t>Nikkhah, A., Darvishi, A., Aghakhani, A., Esfahani, E.N., Balajam, N.Z., Heshmat, R. and Shafiee, G., 2026. Socioeconomic inequalities in healthcare access among patients with type 2 diabetes in Iran: a cross-sectional study. </w:t>
      </w:r>
      <w:r>
        <w:rPr>
          <w:i w:val="1"/>
          <w:iCs w:val="1"/>
        </w:rPr>
        <w:t>BMJ open</w:t>
      </w:r>
      <w:r>
        <w:t>, </w:t>
      </w:r>
      <w:r>
        <w:rPr>
          <w:i w:val="1"/>
          <w:iCs w:val="1"/>
        </w:rPr>
        <w:t>16</w:t>
      </w:r>
      <w:r>
        <w:t xml:space="preserve">(2), p.e097167. </w:t>
      </w:r>
      <w:r>
        <w:br w:type="textWrapping"/>
      </w:r>
      <w:hyperlink xmlns:r="http://schemas.openxmlformats.org/officeDocument/2006/relationships" r:id="R8" w:tgtFrame="_new">
        <w:r>
          <w:rPr>
            <w:rStyle w:val="C2"/>
          </w:rPr>
          <w:t>https://pmc.ncbi.nlm.nih.gov/articles/PMC12878255/</w:t>
        </w:r>
      </w:hyperlink>
    </w:p>
    <w:p>
      <w:pPr>
        <w:spacing w:lineRule="auto" w:line="360" w:beforeAutospacing="0" w:afterAutospacing="0"/>
        <w:jc w:val="both"/>
      </w:pPr>
      <w:r>
        <w:t xml:space="preserve">OHID, 2025. </w:t>
      </w:r>
      <w:r>
        <w:rPr>
          <w:i w:val="1"/>
          <w:iCs w:val="1"/>
        </w:rPr>
        <w:t>Health trends and variation in England</w:t>
      </w:r>
      <w:r>
        <w:t xml:space="preserve">. Available at: </w:t>
      </w:r>
      <w:hyperlink xmlns:r="http://schemas.openxmlformats.org/officeDocument/2006/relationships" r:id="R9" w:tgtFrame="_new">
        <w:r>
          <w:rPr>
            <w:rStyle w:val="C2"/>
          </w:rPr>
          <w:t>https://www.gov.uk/government/publications/health-trends-and-variation-in-england-2025-a-chief-medical-officer-report/health-trends-and-variation-in-england-2025-accessible-version</w:t>
        </w:r>
      </w:hyperlink>
      <w:r>
        <w:t xml:space="preserve"> (Accessed: 17 March 2026).</w:t>
      </w:r>
    </w:p>
    <w:p>
      <w:pPr>
        <w:spacing w:lineRule="auto" w:line="360" w:beforeAutospacing="0" w:afterAutospacing="0"/>
        <w:jc w:val="both"/>
      </w:pPr>
      <w:r>
        <w:t xml:space="preserve">ONS, 2024. </w:t>
      </w:r>
      <w:r>
        <w:rPr>
          <w:i w:val="1"/>
          <w:iCs w:val="1"/>
        </w:rPr>
        <w:t>Health inequalities in England</w:t>
      </w:r>
      <w:r>
        <w:t xml:space="preserve">. Available at: </w:t>
      </w:r>
      <w:hyperlink xmlns:r="http://schemas.openxmlformats.org/officeDocument/2006/relationships" r:id="RA" w:tgtFrame="_new">
        <w:r>
          <w:rPr>
            <w:rStyle w:val="C2"/>
          </w:rPr>
          <w:t>https://www.ons.gov.uk/peoplepopulationandcommunity/healthandsocialcare/healthinequalities</w:t>
        </w:r>
      </w:hyperlink>
      <w:r>
        <w:t xml:space="preserve"> (Accessed: 17 March 2026).</w:t>
      </w:r>
    </w:p>
    <w:p>
      <w:pPr>
        <w:spacing w:lineRule="auto" w:line="360" w:beforeAutospacing="0" w:afterAutospacing="0"/>
        <w:jc w:val="both"/>
      </w:pPr>
      <w:r>
        <w:t>Pantoja-Ruiz, C., Akinyemi, R., Lucumi-Cuesta, D.I., Youkee, D., Emmett, E., Soley-Bori, M., Kalansooriya, W., Wolfe, C. and Marshall, I.J., 2025. Socioeconomic status and stroke: a review of the latest evidence on inequalities and their drivers. </w:t>
      </w:r>
      <w:r>
        <w:rPr>
          <w:i w:val="1"/>
          <w:iCs w:val="1"/>
        </w:rPr>
        <w:t>Stroke</w:t>
      </w:r>
      <w:r>
        <w:t>, </w:t>
      </w:r>
      <w:r>
        <w:rPr>
          <w:i w:val="1"/>
          <w:iCs w:val="1"/>
        </w:rPr>
        <w:t>56</w:t>
      </w:r>
      <w:r>
        <w:t xml:space="preserve">(3), pp.794-805. </w:t>
      </w:r>
      <w:hyperlink xmlns:r="http://schemas.openxmlformats.org/officeDocument/2006/relationships" r:id="RB" w:tgtFrame="_new">
        <w:r>
          <w:rPr>
            <w:rStyle w:val="C2"/>
          </w:rPr>
          <w:t>https://pubmed.ncbi.nlm.nih.gov/39697175/</w:t>
        </w:r>
      </w:hyperlink>
    </w:p>
    <w:p>
      <w:pPr>
        <w:spacing w:lineRule="auto" w:line="360" w:beforeAutospacing="0" w:afterAutospacing="0"/>
        <w:jc w:val="both"/>
      </w:pPr>
      <w:r>
        <w:t>Sekhon, G., Wray, J., Ifederu, A., Gungor, J., Durham, S. and Sipanoun, P., 2025. The impact of socioeconomic determinants of health and resulting health inequalities on children and young people with long-term health conditions in the UK: a scoping review protocol. </w:t>
      </w:r>
      <w:r>
        <w:rPr>
          <w:i w:val="1"/>
          <w:iCs w:val="1"/>
        </w:rPr>
        <w:t>Systematic Reviews</w:t>
      </w:r>
      <w:r>
        <w:t>.</w:t>
      </w:r>
      <w:r>
        <w:br w:type="textWrapping"/>
      </w:r>
      <w:hyperlink xmlns:r="http://schemas.openxmlformats.org/officeDocument/2006/relationships" r:id="RC" w:tgtFrame="_new">
        <w:r>
          <w:rPr>
            <w:rStyle w:val="C2"/>
          </w:rPr>
          <w:t>https://pmc.ncbi.nlm.nih.gov/articles/PMC12822240/</w:t>
        </w:r>
      </w:hyperlink>
    </w:p>
    <w:p>
      <w:pPr>
        <w:spacing w:lineRule="auto" w:line="360" w:beforeAutospacing="0" w:afterAutospacing="0"/>
        <w:jc w:val="both"/>
      </w:pPr>
      <w:r>
        <w:t>Speckmann, E.M., Schwettmann, L., Himmelmann, L., Zieschang, T. and Stuckenschneider, T., 2025. How socioeconomic status shapes health outcomes following severe falls: a cross-sectional analysis. </w:t>
      </w:r>
      <w:r>
        <w:rPr>
          <w:i w:val="1"/>
          <w:iCs w:val="1"/>
        </w:rPr>
        <w:t>BMC geriatrics</w:t>
      </w:r>
      <w:r>
        <w:t>, </w:t>
      </w:r>
      <w:r>
        <w:rPr>
          <w:i w:val="1"/>
          <w:iCs w:val="1"/>
        </w:rPr>
        <w:t>25</w:t>
      </w:r>
      <w:r>
        <w:t xml:space="preserve">(1), p.533. </w:t>
      </w:r>
      <w:hyperlink xmlns:r="http://schemas.openxmlformats.org/officeDocument/2006/relationships" r:id="RD" w:tgtFrame="_new">
        <w:r>
          <w:rPr>
            <w:rStyle w:val="C2"/>
          </w:rPr>
          <w:t>https://link.springer.com/article/10.1186/s12877-025-06198-9</w:t>
        </w:r>
      </w:hyperlink>
    </w:p>
    <w:p>
      <w:pPr>
        <w:spacing w:lineRule="auto" w:line="360" w:beforeAutospacing="0" w:afterAutospacing="0"/>
        <w:jc w:val="both"/>
      </w:pPr>
      <w:r>
        <w:t>Vrtikapa, K., Urmy, F.H. and Hoque, F., 2025. Social Determinants of Health: The Impact of This Overlooked Vital Sign. </w:t>
      </w:r>
      <w:r>
        <w:rPr>
          <w:i w:val="1"/>
          <w:iCs w:val="1"/>
        </w:rPr>
        <w:t>Journal of Brown hospital medicine</w:t>
      </w:r>
      <w:r>
        <w:t>, </w:t>
      </w:r>
      <w:r>
        <w:rPr>
          <w:i w:val="1"/>
          <w:iCs w:val="1"/>
        </w:rPr>
        <w:t>4</w:t>
      </w:r>
      <w:r>
        <w:t xml:space="preserve">(3), p.138072. </w:t>
      </w:r>
      <w:hyperlink xmlns:r="http://schemas.openxmlformats.org/officeDocument/2006/relationships" r:id="RE" w:tgtFrame="_new">
        <w:r>
          <w:rPr>
            <w:rStyle w:val="C2"/>
          </w:rPr>
          <w:t>https://pmc.ncbi.nlm.nih.gov/articles/PMC12224330/</w:t>
        </w:r>
      </w:hyperlink>
    </w:p>
    <w:p>
      <w:pPr>
        <w:spacing w:lineRule="auto" w:line="360" w:beforeAutospacing="0" w:afterAutospacing="0"/>
        <w:jc w:val="both"/>
      </w:pPr>
      <w:r>
        <w:t>Wallington, S.F. and Feger, C., 2025. Then, Now, Next: Unpacking the Shifting Trajectory of Social Determinants of Health. </w:t>
      </w:r>
      <w:r>
        <w:rPr>
          <w:i w:val="1"/>
          <w:iCs w:val="1"/>
        </w:rPr>
        <w:t>International journal of environmental research and public health</w:t>
      </w:r>
      <w:r>
        <w:t>, </w:t>
      </w:r>
      <w:r>
        <w:rPr>
          <w:i w:val="1"/>
          <w:iCs w:val="1"/>
        </w:rPr>
        <w:t>22</w:t>
      </w:r>
      <w:r>
        <w:t>(10), p.1541.</w:t>
      </w:r>
      <w:r>
        <w:br w:type="textWrapping"/>
      </w:r>
      <w:hyperlink xmlns:r="http://schemas.openxmlformats.org/officeDocument/2006/relationships" r:id="RF" w:tgtFrame="_new">
        <w:r>
          <w:rPr>
            <w:rStyle w:val="C2"/>
          </w:rPr>
          <w:t>https://pmc.ncbi.nlm.nih.gov/articles/PMC12563139/</w:t>
        </w:r>
      </w:hyperlink>
    </w:p>
    <w:p>
      <w:pPr>
        <w:spacing w:lineRule="auto" w:line="360" w:beforeAutospacing="0" w:afterAutospacing="0"/>
        <w:jc w:val="both"/>
      </w:pPr>
      <w:r>
        <w:t>Wang, S., Zhang, Y., Zhou, Y., Kivimäki, M. and Xu, X., 2025. Socioeconomic status and long-term health behaviour maintenance after non-communicable disease diagnosis: a multicohort study. </w:t>
      </w:r>
      <w:r>
        <w:rPr>
          <w:i w:val="1"/>
          <w:iCs w:val="1"/>
        </w:rPr>
        <w:t>BMC medicine</w:t>
      </w:r>
      <w:r>
        <w:t>, </w:t>
      </w:r>
      <w:r>
        <w:rPr>
          <w:i w:val="1"/>
          <w:iCs w:val="1"/>
        </w:rPr>
        <w:t>23</w:t>
      </w:r>
      <w:r>
        <w:t xml:space="preserve">(1), p.659. </w:t>
      </w:r>
      <w:hyperlink xmlns:r="http://schemas.openxmlformats.org/officeDocument/2006/relationships" r:id="R10" w:tgtFrame="_new">
        <w:r>
          <w:rPr>
            <w:rStyle w:val="C2"/>
          </w:rPr>
          <w:t>https://pmc.ncbi.nlm.nih.gov/articles/PMC12659176/</w:t>
        </w:r>
      </w:hyperlink>
    </w:p>
    <w:p>
      <w:pPr>
        <w:spacing w:lineRule="auto" w:line="360" w:beforeAutospacing="0" w:afterAutospacing="0"/>
        <w:jc w:val="both"/>
      </w:pPr>
      <w:r>
        <w:t>World Health Organization, 2025. Social determinants of health and health equity.</w:t>
      </w:r>
      <w:r>
        <w:br w:type="textWrapping"/>
      </w:r>
      <w:hyperlink xmlns:r="http://schemas.openxmlformats.org/officeDocument/2006/relationships" r:id="R11" w:tgtFrame="_new">
        <w:r>
          <w:rPr>
            <w:rStyle w:val="C2"/>
          </w:rPr>
          <w:t>https://www.who.int/news-room/fact-sheets/detail/social-determinants-of-health</w:t>
        </w:r>
      </w:hyperlink>
    </w:p>
    <w:p>
      <w:pPr>
        <w:spacing w:lineRule="auto" w:line="360" w:beforeAutospacing="0" w:afterAutospacing="0"/>
        <w:jc w:val="both"/>
      </w:pPr>
      <w:r>
        <w:t>Yearby, R., 2022. The social determinants of health, health disparities, and health justice. </w:t>
      </w:r>
      <w:r>
        <w:rPr>
          <w:i w:val="1"/>
          <w:iCs w:val="1"/>
        </w:rPr>
        <w:t>Journal of Law, Medicine &amp; Ethics</w:t>
      </w:r>
      <w:r>
        <w:t>, </w:t>
      </w:r>
      <w:r>
        <w:rPr>
          <w:i w:val="1"/>
          <w:iCs w:val="1"/>
        </w:rPr>
        <w:t>50</w:t>
      </w:r>
      <w:r>
        <w:t xml:space="preserve">(4), pp.641-649. </w:t>
      </w:r>
      <w:hyperlink xmlns:r="http://schemas.openxmlformats.org/officeDocument/2006/relationships" r:id="R12" w:tgtFrame="_new">
        <w:r>
          <w:rPr>
            <w:rStyle w:val="C2"/>
          </w:rPr>
          <w:t>https://pmc.ncbi.nlm.nih.gov/articles/PMC10009371/</w:t>
        </w:r>
      </w:hyperlink>
    </w:p>
    <w:p>
      <w:pPr>
        <w:pStyle w:val="P2"/>
        <w:spacing w:lineRule="auto" w:line="360" w:beforeAutospacing="0" w:afterAutospacing="0"/>
      </w:pPr>
      <w:bookmarkStart w:id="23" w:name="_Toc224640109"/>
      <w:r>
        <w:t>References for Task 2</w:t>
      </w:r>
      <w:bookmarkEnd w:id="23"/>
    </w:p>
    <w:p>
      <w:pPr>
        <w:spacing w:lineRule="auto" w:line="360" w:beforeAutospacing="0" w:afterAutospacing="0"/>
        <w:jc w:val="both"/>
      </w:pPr>
      <w:r>
        <w:t>Agboyibor, K.M., Nambiema, A., Golestani, A., Okeibunor, J., Diallo, C.B.B., Jouven, X., Dangou, J.M., Farzadfar, F. and Empana, J.P., 2026. Prevalence, time trends and associated factors of adult overweight and obesity in 36 countries in the WHO African region from 2003 to 2022: a study of 54 WHO STEPS surveys representing 156 million adults. </w:t>
      </w:r>
      <w:r>
        <w:rPr>
          <w:i w:val="1"/>
          <w:iCs w:val="1"/>
        </w:rPr>
        <w:t>BMJ Global Health</w:t>
      </w:r>
      <w:r>
        <w:t>, </w:t>
      </w:r>
      <w:r>
        <w:rPr>
          <w:i w:val="1"/>
          <w:iCs w:val="1"/>
        </w:rPr>
        <w:t>11</w:t>
      </w:r>
      <w:r>
        <w:t>(1).</w:t>
      </w:r>
      <w:r>
        <w:br w:type="textWrapping"/>
      </w:r>
      <w:hyperlink xmlns:r="http://schemas.openxmlformats.org/officeDocument/2006/relationships" r:id="R13" w:tgtFrame="_new">
        <w:r>
          <w:rPr>
            <w:rStyle w:val="C2"/>
          </w:rPr>
          <w:t>https://pmc.ncbi.nlm.nih.gov/articles/PMC12820823/</w:t>
        </w:r>
      </w:hyperlink>
    </w:p>
    <w:p>
      <w:pPr>
        <w:spacing w:lineRule="auto" w:line="360" w:beforeAutospacing="0" w:afterAutospacing="0"/>
        <w:jc w:val="both"/>
      </w:pPr>
      <w:r>
        <w:t>Ahmed, S.K. and Mohammed, R.A., 2025. Obesity: Prevalence, causes, consequences, management, preventive strategies and future research directions. </w:t>
      </w:r>
      <w:r>
        <w:rPr>
          <w:i w:val="1"/>
          <w:iCs w:val="1"/>
        </w:rPr>
        <w:t>Metabolism Open</w:t>
      </w:r>
      <w:r>
        <w:t>, </w:t>
      </w:r>
      <w:r>
        <w:rPr>
          <w:i w:val="1"/>
          <w:iCs w:val="1"/>
        </w:rPr>
        <w:t>27</w:t>
      </w:r>
      <w:r>
        <w:t xml:space="preserve">, p.100375. </w:t>
      </w:r>
      <w:hyperlink xmlns:r="http://schemas.openxmlformats.org/officeDocument/2006/relationships" r:id="R14" w:tgtFrame="_new">
        <w:r>
          <w:rPr>
            <w:rStyle w:val="C2"/>
          </w:rPr>
          <w:t>https://pmc.ncbi.nlm.nih.gov/articles/PMC12486175/</w:t>
        </w:r>
      </w:hyperlink>
    </w:p>
    <w:p>
      <w:pPr>
        <w:spacing w:lineRule="auto" w:line="360" w:beforeAutospacing="0" w:afterAutospacing="0"/>
        <w:jc w:val="both"/>
      </w:pPr>
      <w:r>
        <w:t>Artime, E., Spaepen, E., Zimner-Rapuch, S., Lampropoulou, A., Adam, A., Lin, X., Shang, M., Seager, S., Le Roux, C.W. and Dicker, D., 2025. Epidemiology landscape and impact of overweight and obesity in adults: multi-country results from the IMPACT-O study. </w:t>
      </w:r>
      <w:r>
        <w:rPr>
          <w:i w:val="1"/>
          <w:iCs w:val="1"/>
        </w:rPr>
        <w:t>Advances in Therapy</w:t>
      </w:r>
      <w:r>
        <w:t>, </w:t>
      </w:r>
      <w:r>
        <w:rPr>
          <w:i w:val="1"/>
          <w:iCs w:val="1"/>
        </w:rPr>
        <w:t>42</w:t>
      </w:r>
      <w:r>
        <w:t>(10), pp.5148-5163.</w:t>
      </w:r>
      <w:r>
        <w:br w:type="textWrapping"/>
      </w:r>
      <w:hyperlink xmlns:r="http://schemas.openxmlformats.org/officeDocument/2006/relationships" r:id="R15" w:tgtFrame="_new">
        <w:r>
          <w:rPr>
            <w:rStyle w:val="C2"/>
          </w:rPr>
          <w:t>https://pmc.ncbi.nlm.nih.gov/articles/PMC12474581/</w:t>
        </w:r>
      </w:hyperlink>
    </w:p>
    <w:p>
      <w:pPr>
        <w:spacing w:lineRule="auto" w:line="360" w:beforeAutospacing="0" w:afterAutospacing="0"/>
        <w:jc w:val="both"/>
      </w:pPr>
      <w:r>
        <w:t>Boutari, C. and Mantzoros, C.S., 2022. A 2022 update on the epidemiology of obesity and a call to action: as its twin COVID-19 pandemic appears to be receding, the obesity and dysmetabolism pandemic continues to rage on. </w:t>
      </w:r>
      <w:r>
        <w:rPr>
          <w:i w:val="1"/>
          <w:iCs w:val="1"/>
        </w:rPr>
        <w:t>Metabolism</w:t>
      </w:r>
      <w:r>
        <w:t>, </w:t>
      </w:r>
      <w:r>
        <w:rPr>
          <w:i w:val="1"/>
          <w:iCs w:val="1"/>
        </w:rPr>
        <w:t>133</w:t>
      </w:r>
      <w:r>
        <w:t>, p.155217.</w:t>
      </w:r>
      <w:r>
        <w:br w:type="textWrapping"/>
      </w:r>
      <w:hyperlink xmlns:r="http://schemas.openxmlformats.org/officeDocument/2006/relationships" r:id="R16" w:tgtFrame="_new">
        <w:r>
          <w:rPr>
            <w:rStyle w:val="C2"/>
          </w:rPr>
          <w:t>https://pmc.ncbi.nlm.nih.gov/articles/PMC9107388/</w:t>
        </w:r>
      </w:hyperlink>
    </w:p>
    <w:p>
      <w:pPr>
        <w:spacing w:lineRule="auto" w:line="360" w:beforeAutospacing="0" w:afterAutospacing="0"/>
        <w:jc w:val="both"/>
      </w:pPr>
      <w:r>
        <w:t>Burra, P., Verduci, E., Dias, J.A., Buti, M., Carboni, A., Demirtas, C.O., Fracasso, P., Hartman, D., Laghi, A., Michl, P. and Zelber‐Sagi, S., 2025. The growing burden of obesity: addressing a global public health challenge. </w:t>
      </w:r>
      <w:r>
        <w:rPr>
          <w:i w:val="1"/>
          <w:iCs w:val="1"/>
        </w:rPr>
        <w:t>United European Gastroenterology Journal</w:t>
      </w:r>
      <w:r>
        <w:t>, </w:t>
      </w:r>
      <w:r>
        <w:rPr>
          <w:i w:val="1"/>
          <w:iCs w:val="1"/>
        </w:rPr>
        <w:t>13</w:t>
      </w:r>
      <w:r>
        <w:t>(7), p.1343.</w:t>
      </w:r>
      <w:r>
        <w:br w:type="textWrapping"/>
      </w:r>
      <w:hyperlink xmlns:r="http://schemas.openxmlformats.org/officeDocument/2006/relationships" r:id="R17" w:tgtFrame="_new">
        <w:r>
          <w:rPr>
            <w:rStyle w:val="C2"/>
          </w:rPr>
          <w:t>https://pmc.ncbi.nlm.nih.gov/articles/PMC12463724/</w:t>
        </w:r>
      </w:hyperlink>
    </w:p>
    <w:p>
      <w:pPr>
        <w:spacing w:lineRule="auto" w:line="360" w:beforeAutospacing="0" w:afterAutospacing="0"/>
        <w:jc w:val="both"/>
      </w:pPr>
      <w:r>
        <w:t>Khanmohammadi, S., Karimi, K., Sadri, M., Ebrahimpur, M., Payab, M., Azadnajafabad, S., Akbarpour, S., Sharifi, F. and Rezaei, N., 2025. Prevalence and determinants of general and abdominal obesity and overweight among older Iranian adults using 2016 and 2021 STEPS surveys. </w:t>
      </w:r>
      <w:r>
        <w:rPr>
          <w:i w:val="1"/>
          <w:iCs w:val="1"/>
        </w:rPr>
        <w:t>Scientific Reports</w:t>
      </w:r>
      <w:r>
        <w:t>, </w:t>
      </w:r>
      <w:r>
        <w:rPr>
          <w:i w:val="1"/>
          <w:iCs w:val="1"/>
        </w:rPr>
        <w:t>15</w:t>
      </w:r>
      <w:r>
        <w:t>(1), p.40041.</w:t>
      </w:r>
      <w:r>
        <w:br w:type="textWrapping"/>
      </w:r>
      <w:hyperlink xmlns:r="http://schemas.openxmlformats.org/officeDocument/2006/relationships" r:id="R18" w:tgtFrame="_new">
        <w:r>
          <w:rPr>
            <w:rStyle w:val="C2"/>
          </w:rPr>
          <w:t>https://pmc.ncbi.nlm.nih.gov/articles/PMC12618686/</w:t>
        </w:r>
      </w:hyperlink>
    </w:p>
    <w:p>
      <w:pPr>
        <w:spacing w:lineRule="auto" w:line="360" w:beforeAutospacing="0" w:afterAutospacing="0"/>
        <w:jc w:val="both"/>
      </w:pPr>
      <w:r>
        <w:t>Koliaki, C., Dalamaga, M. and Liatis, S., 2023. Update on the obesity epidemic: after the sudden rise, is the upward trajectory beginning to flatten?. </w:t>
      </w:r>
      <w:r>
        <w:rPr>
          <w:i w:val="1"/>
          <w:iCs w:val="1"/>
        </w:rPr>
        <w:t>Current obesity reports</w:t>
      </w:r>
      <w:r>
        <w:t>, </w:t>
      </w:r>
      <w:r>
        <w:rPr>
          <w:i w:val="1"/>
          <w:iCs w:val="1"/>
        </w:rPr>
        <w:t>12</w:t>
      </w:r>
      <w:r>
        <w:t>(4), pp.514-527.</w:t>
      </w:r>
      <w:r>
        <w:br w:type="textWrapping"/>
      </w:r>
      <w:hyperlink xmlns:r="http://schemas.openxmlformats.org/officeDocument/2006/relationships" r:id="R19" w:tgtFrame="_new">
        <w:r>
          <w:rPr>
            <w:rStyle w:val="C2"/>
          </w:rPr>
          <w:t>https://pmc.ncbi.nlm.nih.gov/articles/PMC10748771/</w:t>
        </w:r>
      </w:hyperlink>
    </w:p>
    <w:p>
      <w:pPr>
        <w:spacing w:lineRule="auto" w:line="360" w:beforeAutospacing="0" w:afterAutospacing="0"/>
        <w:jc w:val="both"/>
      </w:pPr>
      <w:r>
        <w:t>Liu, M., Shi, Y., Shao, C., Jia, W., Li, X., Tian, J. and Zhou, X., 2025. Analysis of obesity prevalence and trend prediction among professional women in a hospital from 2010 to 2024: a weight management perspective. </w:t>
      </w:r>
      <w:r>
        <w:rPr>
          <w:i w:val="1"/>
          <w:iCs w:val="1"/>
        </w:rPr>
        <w:t>BMC Public Health</w:t>
      </w:r>
      <w:r>
        <w:t>, </w:t>
      </w:r>
      <w:r>
        <w:rPr>
          <w:i w:val="1"/>
          <w:iCs w:val="1"/>
        </w:rPr>
        <w:t>25</w:t>
      </w:r>
      <w:r>
        <w:t>(1), p.4193.</w:t>
      </w:r>
      <w:r>
        <w:br w:type="textWrapping"/>
      </w:r>
      <w:hyperlink xmlns:r="http://schemas.openxmlformats.org/officeDocument/2006/relationships" r:id="R1A" w:tgtFrame="_new">
        <w:r>
          <w:rPr>
            <w:rStyle w:val="C2"/>
          </w:rPr>
          <w:t>https://pmc.ncbi.nlm.nih.gov/articles/PMC12664200/</w:t>
        </w:r>
      </w:hyperlink>
    </w:p>
    <w:p>
      <w:pPr>
        <w:spacing w:lineRule="auto" w:line="360" w:beforeAutospacing="0" w:afterAutospacing="0"/>
        <w:jc w:val="both"/>
      </w:pPr>
      <w:r>
        <w:t>Mondal, J.J., 2026. Multilevel Determinants of Overweight and Obesity Among US Children Aged 10-17: Comparative Evaluation of Statistical and Machine Learning Approaches Using the 2021 National Survey of Children's Health. </w:t>
      </w:r>
      <w:r>
        <w:rPr>
          <w:i w:val="1"/>
          <w:iCs w:val="1"/>
        </w:rPr>
        <w:t>arXiv preprint arXiv:2602.20303</w:t>
      </w:r>
      <w:r>
        <w:t>.</w:t>
      </w:r>
      <w:r>
        <w:br w:type="textWrapping"/>
      </w:r>
      <w:hyperlink xmlns:r="http://schemas.openxmlformats.org/officeDocument/2006/relationships" r:id="R1B">
        <w:r>
          <w:rPr>
            <w:rStyle w:val="C2"/>
          </w:rPr>
          <w:t>https://arxiv.org/abs/2602.20303</w:t>
        </w:r>
      </w:hyperlink>
      <w:r>
        <w:t xml:space="preserve"> </w:t>
      </w:r>
    </w:p>
    <w:p>
      <w:pPr>
        <w:spacing w:lineRule="auto" w:line="360" w:beforeAutospacing="0" w:afterAutospacing="0"/>
        <w:jc w:val="both"/>
      </w:pPr>
      <w:r>
        <w:t xml:space="preserve">NHS Digital, 2023. </w:t>
      </w:r>
      <w:r>
        <w:rPr>
          <w:i w:val="1"/>
          <w:iCs w:val="1"/>
        </w:rPr>
        <w:t>Health survey for England</w:t>
      </w:r>
      <w:r>
        <w:t xml:space="preserve">. Available at: </w:t>
      </w:r>
      <w:hyperlink xmlns:r="http://schemas.openxmlformats.org/officeDocument/2006/relationships" r:id="R1C" w:tgtFrame="_new">
        <w:r>
          <w:rPr>
            <w:rStyle w:val="C2"/>
          </w:rPr>
          <w:t>https://digital.nhs.uk/data-and-information/publications/statistical/health-survey-for-england</w:t>
        </w:r>
      </w:hyperlink>
      <w:r>
        <w:t xml:space="preserve"> (Accessed: 17 March 2026).</w:t>
      </w:r>
    </w:p>
    <w:p>
      <w:pPr>
        <w:spacing w:lineRule="auto" w:line="360" w:beforeAutospacing="0" w:afterAutospacing="0"/>
        <w:jc w:val="both"/>
      </w:pPr>
      <w:r>
        <w:t xml:space="preserve">NHS Digital, 2025. </w:t>
      </w:r>
      <w:r>
        <w:rPr>
          <w:i w:val="1"/>
          <w:iCs w:val="1"/>
        </w:rPr>
        <w:t>National Child Measurement Programme</w:t>
      </w:r>
      <w:r>
        <w:t xml:space="preserve">. Available at: </w:t>
      </w:r>
      <w:hyperlink xmlns:r="http://schemas.openxmlformats.org/officeDocument/2006/relationships" r:id="R1D" w:tgtFrame="_new">
        <w:r>
          <w:rPr>
            <w:rStyle w:val="C2"/>
          </w:rPr>
          <w:t>https://digital.nhs.uk/services/national-child-measurement-programme/</w:t>
        </w:r>
      </w:hyperlink>
      <w:r>
        <w:t xml:space="preserve"> (Accessed: 17 March 2026).</w:t>
      </w:r>
    </w:p>
    <w:p>
      <w:pPr>
        <w:spacing w:lineRule="auto" w:line="360" w:beforeAutospacing="0" w:afterAutospacing="0"/>
        <w:jc w:val="both"/>
      </w:pPr>
      <w:r>
        <w:t xml:space="preserve">NHS, 2023. </w:t>
      </w:r>
      <w:r>
        <w:rPr>
          <w:i w:val="1"/>
          <w:iCs w:val="1"/>
        </w:rPr>
        <w:t>NHS digital weight management programme</w:t>
      </w:r>
      <w:r>
        <w:t xml:space="preserve">. Available at: </w:t>
      </w:r>
      <w:hyperlink xmlns:r="http://schemas.openxmlformats.org/officeDocument/2006/relationships" r:id="R1E" w:tgtFrame="_new">
        <w:r>
          <w:rPr>
            <w:rStyle w:val="C2"/>
          </w:rPr>
          <w:t>https://www.nhs.uk/better-health/lose-weight/</w:t>
        </w:r>
      </w:hyperlink>
      <w:r>
        <w:t xml:space="preserve"> (Accessed: 17 March 2026).</w:t>
      </w:r>
    </w:p>
    <w:p>
      <w:pPr>
        <w:spacing w:lineRule="auto" w:line="360" w:beforeAutospacing="0" w:afterAutospacing="0"/>
        <w:jc w:val="both"/>
      </w:pPr>
      <w:r>
        <w:t xml:space="preserve">Office for Health Improvement and Disparities (OHID) (2023) </w:t>
      </w:r>
      <w:r>
        <w:rPr>
          <w:i w:val="1"/>
          <w:iCs w:val="1"/>
        </w:rPr>
        <w:t>Obesity profile and public health interventions in England</w:t>
      </w:r>
      <w:r>
        <w:t xml:space="preserve">. Available at: </w:t>
      </w:r>
      <w:hyperlink xmlns:r="http://schemas.openxmlformats.org/officeDocument/2006/relationships" r:id="R1F">
        <w:r>
          <w:rPr>
            <w:rStyle w:val="C2"/>
          </w:rPr>
          <w:t>https://www.gov.uk/government/collections/obesity-statistics</w:t>
        </w:r>
      </w:hyperlink>
      <w:r>
        <w:t xml:space="preserve">  (Accessed: 17 March 2026).</w:t>
      </w:r>
    </w:p>
    <w:p>
      <w:pPr>
        <w:spacing w:lineRule="auto" w:line="360" w:beforeAutospacing="0" w:afterAutospacing="0"/>
        <w:jc w:val="both"/>
      </w:pPr>
      <w:r>
        <w:t>Panda, A., Parida, J., Jena, S., Behera, S.S., Pradhan, A., Patra, P.K., Pati, S., Kaur, H. and Acharya, S.K., 2025. Prevalence and associated risk factors of overweight and obesity among adolescent population of India: a scoping review. </w:t>
      </w:r>
      <w:r>
        <w:rPr>
          <w:i w:val="1"/>
          <w:iCs w:val="1"/>
        </w:rPr>
        <w:t>BMC nutrition</w:t>
      </w:r>
      <w:r>
        <w:t>, </w:t>
      </w:r>
      <w:r>
        <w:rPr>
          <w:i w:val="1"/>
          <w:iCs w:val="1"/>
        </w:rPr>
        <w:t>11</w:t>
      </w:r>
      <w:r>
        <w:t>(1), p.110.</w:t>
      </w:r>
      <w:r>
        <w:br w:type="textWrapping"/>
      </w:r>
      <w:hyperlink xmlns:r="http://schemas.openxmlformats.org/officeDocument/2006/relationships" r:id="R20" w:tgtFrame="_new">
        <w:r>
          <w:rPr>
            <w:rStyle w:val="C2"/>
          </w:rPr>
          <w:t>https://pmc.ncbi.nlm.nih.gov/articles/PMC12139068/</w:t>
        </w:r>
      </w:hyperlink>
    </w:p>
    <w:p>
      <w:pPr>
        <w:spacing w:lineRule="auto" w:line="360" w:beforeAutospacing="0" w:afterAutospacing="0"/>
        <w:jc w:val="both"/>
      </w:pPr>
      <w:r>
        <w:t>Pugliese, G., Liccardi, A., Graziadio, C., Barrea, L., Muscogiuri, G. and Colao, A., 2022. Obesity and infectious diseases: pathophysiology and epidemiology of a double pandemic condition. </w:t>
      </w:r>
      <w:r>
        <w:rPr>
          <w:i w:val="1"/>
          <w:iCs w:val="1"/>
        </w:rPr>
        <w:t>International Journal of Obesity</w:t>
      </w:r>
      <w:r>
        <w:t>, </w:t>
      </w:r>
      <w:r>
        <w:rPr>
          <w:i w:val="1"/>
          <w:iCs w:val="1"/>
        </w:rPr>
        <w:t>46</w:t>
      </w:r>
      <w:r>
        <w:t>(3), pp.449-465.</w:t>
      </w:r>
      <w:r>
        <w:br w:type="textWrapping"/>
      </w:r>
      <w:hyperlink xmlns:r="http://schemas.openxmlformats.org/officeDocument/2006/relationships" r:id="R21" w:tgtFrame="_new">
        <w:r>
          <w:rPr>
            <w:rStyle w:val="C2"/>
          </w:rPr>
          <w:t>https://www.nature.com/articles/s41366-021-01035-6</w:t>
        </w:r>
      </w:hyperlink>
    </w:p>
    <w:p>
      <w:pPr>
        <w:spacing w:lineRule="auto" w:line="360" w:beforeAutospacing="0" w:afterAutospacing="0"/>
        <w:jc w:val="both"/>
      </w:pPr>
      <w:r>
        <w:t>Rota, L., Argiento, R. and Cameletti, M., 2025. Modeling Spatio-Temporal Dynamics of Obesity in Italian Regions Via Bayesian Beta Regression. </w:t>
      </w:r>
      <w:r>
        <w:rPr>
          <w:i w:val="1"/>
          <w:iCs w:val="1"/>
        </w:rPr>
        <w:t>arXiv preprint arXiv:2508.05719</w:t>
      </w:r>
      <w:r>
        <w:t>.</w:t>
      </w:r>
      <w:r>
        <w:br w:type="textWrapping"/>
      </w:r>
      <w:hyperlink xmlns:r="http://schemas.openxmlformats.org/officeDocument/2006/relationships" r:id="R22">
        <w:r>
          <w:rPr>
            <w:rStyle w:val="C2"/>
          </w:rPr>
          <w:t>https://arxiv.org/abs/2508.05719</w:t>
        </w:r>
      </w:hyperlink>
      <w:r>
        <w:t xml:space="preserve"> </w:t>
      </w:r>
    </w:p>
    <w:p>
      <w:pPr>
        <w:spacing w:lineRule="auto" w:line="360" w:beforeAutospacing="0" w:afterAutospacing="0"/>
        <w:jc w:val="both"/>
      </w:pPr>
      <w:r>
        <w:t>Sapkota, B., Rana, A., Rajbanshi, M., Aryal, R., Thapa, S., Oli, L. and Poudyal, J.K., 2025. Prevalence and associated factors of overweight and obesity among reproductive-aged women (15–49 years) in Ratnanagar Municipality, Chitwan district, Nepal. </w:t>
      </w:r>
      <w:r>
        <w:rPr>
          <w:i w:val="1"/>
          <w:iCs w:val="1"/>
        </w:rPr>
        <w:t>PLoS One</w:t>
      </w:r>
      <w:r>
        <w:t>, </w:t>
      </w:r>
      <w:r>
        <w:rPr>
          <w:i w:val="1"/>
          <w:iCs w:val="1"/>
        </w:rPr>
        <w:t>20</w:t>
      </w:r>
      <w:r>
        <w:t>(8), p.e0329850.</w:t>
      </w:r>
      <w:r>
        <w:br w:type="textWrapping"/>
      </w:r>
      <w:hyperlink xmlns:r="http://schemas.openxmlformats.org/officeDocument/2006/relationships" r:id="R23" w:tgtFrame="_new">
        <w:r>
          <w:rPr>
            <w:rStyle w:val="C2"/>
          </w:rPr>
          <w:t>https://pmc.ncbi.nlm.nih.gov/articles/PMC12327652/</w:t>
        </w:r>
      </w:hyperlink>
    </w:p>
    <w:p>
      <w:pPr>
        <w:spacing w:lineRule="auto" w:line="360" w:beforeAutospacing="0" w:afterAutospacing="0"/>
        <w:jc w:val="both"/>
      </w:pPr>
      <w:r>
        <w:t>Shibeshi, A.H., Asfaw, Z.G., Hasen, A.A., Arge, K.G., Hussen, N.M., Seid, A.A., Moloro, A.H., Asebe, H.A., Anbesu, E.W., Asgedom, D.K. and Mehari, M.G., 2026. Prevalence of overweight and obesity and its associated factors among preschool children in sub-Saharan Africa: A systematic review and meta-analysis. </w:t>
      </w:r>
      <w:r>
        <w:rPr>
          <w:i w:val="1"/>
          <w:iCs w:val="1"/>
        </w:rPr>
        <w:t>Advances in Nutrition</w:t>
      </w:r>
      <w:r>
        <w:t>, p.100594.</w:t>
      </w:r>
      <w:r>
        <w:br w:type="textWrapping"/>
      </w:r>
      <w:hyperlink xmlns:r="http://schemas.openxmlformats.org/officeDocument/2006/relationships" r:id="R24" w:tgtFrame="_new">
        <w:r>
          <w:rPr>
            <w:rStyle w:val="C2"/>
          </w:rPr>
          <w:t>https://pmc.ncbi.nlm.nih.gov/articles/PMC12908065/</w:t>
        </w:r>
      </w:hyperlink>
    </w:p>
    <w:p>
      <w:pPr>
        <w:spacing w:lineRule="auto" w:line="360" w:beforeAutospacing="0" w:afterAutospacing="0"/>
        <w:jc w:val="both"/>
      </w:pPr>
      <w:r>
        <w:t xml:space="preserve">Siswanto, J.V., Mutiara, B., Austin, F., Susanto, J., Tan, C.T., Kresnadi, R.U. and Irene, K., 2025. Ancestry-Adjusted Polygenic Risk Scores for Predicting Obesity Risk in the Indonesian Population. arXiv preprint arXiv:2505.13503. </w:t>
      </w:r>
      <w:hyperlink xmlns:r="http://schemas.openxmlformats.org/officeDocument/2006/relationships" r:id="R25" w:tgtFrame="_new">
        <w:r>
          <w:rPr>
            <w:rStyle w:val="C2"/>
          </w:rPr>
          <w:t>https://arxiv.org/abs/2505.13503</w:t>
        </w:r>
      </w:hyperlink>
    </w:p>
    <w:p>
      <w:pPr>
        <w:spacing w:lineRule="auto" w:line="360" w:beforeAutospacing="0" w:afterAutospacing="0"/>
        <w:jc w:val="both"/>
      </w:pPr>
      <w:r>
        <w:t xml:space="preserve">UK Parliament, 2025. </w:t>
      </w:r>
      <w:r>
        <w:rPr>
          <w:i w:val="1"/>
          <w:iCs w:val="1"/>
        </w:rPr>
        <w:t>Obesity statistics</w:t>
      </w:r>
      <w:r>
        <w:t xml:space="preserve">. Available at: </w:t>
      </w:r>
      <w:hyperlink xmlns:r="http://schemas.openxmlformats.org/officeDocument/2006/relationships" r:id="R26" w:tgtFrame="_new">
        <w:r>
          <w:rPr>
            <w:rStyle w:val="C2"/>
          </w:rPr>
          <w:t>https://commonslibrary.parliament.uk/research-briefings/sn03336/</w:t>
        </w:r>
      </w:hyperlink>
      <w:r>
        <w:t xml:space="preserve"> (Accessed: 17 March 2026).</w:t>
      </w:r>
    </w:p>
    <w:p>
      <w:pPr>
        <w:spacing w:lineRule="auto" w:line="360" w:beforeAutospacing="0" w:afterAutospacing="0"/>
        <w:jc w:val="both"/>
      </w:pPr>
      <w:r>
        <w:t>World Health Organization, 2025. Obesity and overweight fact sheet.</w:t>
      </w:r>
      <w:r>
        <w:br w:type="textWrapping"/>
      </w:r>
      <w:hyperlink xmlns:r="http://schemas.openxmlformats.org/officeDocument/2006/relationships" r:id="R27" w:tgtFrame="_new">
        <w:r>
          <w:rPr>
            <w:rStyle w:val="C2"/>
          </w:rPr>
          <w:t>https://www.who.int/news-room/fact-sheets/detail/obesity-and-overweight</w:t>
        </w:r>
      </w:hyperlink>
    </w:p>
    <w:p>
      <w:pPr>
        <w:spacing w:lineRule="auto" w:line="360" w:beforeAutospacing="0" w:afterAutospacing="0"/>
        <w:jc w:val="both"/>
      </w:pPr>
    </w:p>
    <w:sectPr>
      <w:footerReference xmlns:r="http://schemas.openxmlformats.org/officeDocument/2006/relationships" w:type="default" r:id="RelFtr1"/>
      <w:footnotePr/>
      <w:endnotePr/>
      <w:type w:val="nextPage"/>
      <w:pgSz w:w="11906" w:h="16838" w:code="0"/>
      <w:pgMar w:left="1440" w:right="1440" w:top="1440" w:bottom="1440" w:header="708" w:footer="708" w:gutter="0"/>
    </w:sectPr>
  </w:body>
</w:document>
</file>

<file path=word/endnotes.xml><?xml version="1.0" encoding="utf-8"?>
<w:endnotes xmlns:w="http://schemas.openxmlformats.org/wordprocessingml/2006/main" xmlns:wps="http://schemas.microsoft.com/office/word/2010/wordprocessingShape" xmlns:mc="http://schemas.openxmlformats.org/markup-compatibility/2006" xmlns:w10="urn:schemas-microsoft-com:office:word" xmlns:v="urn:schemas-microsoft-com:vml" xmlns:wp14="http://schemas.microsoft.com/office/word/2010/wordprocessingDrawing" xmlns:wpg="http://schemas.microsoft.com/office/word/2010/wordprocessingGroup" xmlns:wpc="http://schemas.microsoft.com/office/word/2010/wordprocessingCanvas" xmlns:w14="http://schemas.microsoft.com/office/word/2010/wordml" xmlns:w15="http://schemas.microsoft.com/office/word/2012/wordml" xmlns:cx1="http://schemas.microsoft.com/office/drawing/2015/9/8/chartex" xmlns:cx2="http://schemas.microsoft.com/office/drawing/2015/10/21/chartex" mc:Ignorable="wp14 w14 w15">
  <w:endnote w:type="separator" w:id="-1">
    <w:p>
      <w:pPr>
        <w:spacing w:lineRule="auto" w:line="240" w:after="0" w:beforeAutospacing="0" w:afterAutospacing="0"/>
      </w:pPr>
      <w:r>
        <w:separator/>
      </w:r>
    </w:p>
  </w:endnote>
  <w:endnote w:type="continuationSeparator" w:id="0">
    <w:p>
      <w:pPr>
        <w:spacing w:lineRule="auto" w:line="240" w:after="0" w:beforeAutospacing="0" w:afterAutospacing="0"/>
      </w:pPr>
      <w:r>
        <w:continuationSeparator/>
      </w:r>
    </w:p>
  </w:endnote>
</w:endnotes>
</file>

<file path=word/footer1.xml><?xml version="1.0" encoding="utf-8"?>
<w:ftr xmlns:w="http://schemas.openxmlformats.org/wordprocessingml/2006/main" xmlns:wps="http://schemas.microsoft.com/office/word/2010/wordprocessingShape" xmlns:mc="http://schemas.openxmlformats.org/markup-compatibility/2006" xmlns:w10="urn:schemas-microsoft-com:office:word" xmlns:v="urn:schemas-microsoft-com:vml" xmlns:wp14="http://schemas.microsoft.com/office/word/2010/wordprocessingDrawing" xmlns:wpg="http://schemas.microsoft.com/office/word/2010/wordprocessingGroup" xmlns:wpc="http://schemas.microsoft.com/office/word/2010/wordprocessingCanvas" xmlns:w14="http://schemas.microsoft.com/office/word/2010/wordml" xmlns:w15="http://schemas.microsoft.com/office/word/2012/wordml" xmlns:cx1="http://schemas.microsoft.com/office/drawing/2015/9/8/chartex" xmlns:cx2="http://schemas.microsoft.com/office/drawing/2015/10/21/chartex" mc:Ignorable="wp14 w14 w15">
  <w:sdt>
    <w:sdtPr>
      <w:rPr/>
      <w:id w:val="-1689358646"/>
      <w:docPartList>
        <w:docPartGallery w:val="Page Numbers (Bottom of Page)"/>
        <w:docPartCategory w:val=""/>
        <w:docPartUnique/>
      </w:docPartList>
    </w:sdtPr>
    <w:sdtEndPr>
      <w:rPr>
        <w:noProof w:val="1"/>
        <w:sz w:val="20"/>
        <w:szCs w:val="20"/>
      </w:rPr>
    </w:sdtEndPr>
    <w:sdtContent>
      <w:p>
        <w:pPr>
          <w:pStyle w:val="P19"/>
          <w:jc w:val="right"/>
          <w:rPr>
            <w:sz w:val="20"/>
            <w:szCs w:val="20"/>
          </w:rPr>
        </w:pPr>
        <w:r>
          <w:rPr>
            <w:sz w:val="20"/>
            <w:szCs w:val="20"/>
          </w:rPr>
          <w:fldChar w:fldCharType="begin"/>
        </w:r>
        <w:r>
          <w:rPr>
            <w:sz w:val="20"/>
            <w:szCs w:val="20"/>
          </w:rPr>
          <w:instrText xml:space="preserve"> PAGE   \* MERGEFORMAT </w:instrText>
        </w:r>
        <w:r>
          <w:rPr>
            <w:sz w:val="20"/>
            <w:szCs w:val="20"/>
          </w:rPr>
          <w:fldChar w:fldCharType="separate"/>
        </w:r>
        <w:r>
          <w:rPr>
            <w:noProof w:val="1"/>
            <w:sz w:val="20"/>
            <w:szCs w:val="20"/>
          </w:rPr>
          <w:t>#</w:t>
        </w:r>
        <w:r>
          <w:rPr>
            <w:noProof w:val="1"/>
            <w:sz w:val="20"/>
            <w:szCs w:val="20"/>
          </w:rPr>
          <w:fldChar w:fldCharType="end"/>
        </w:r>
      </w:p>
    </w:sdtContent>
  </w:sdt>
  <w:p>
    <w:pPr>
      <w:pStyle w:val="P19"/>
    </w:pPr>
  </w:p>
</w:ftr>
</file>

<file path=word/footnotes.xml><?xml version="1.0" encoding="utf-8"?>
<w:footnotes xmlns:w="http://schemas.openxmlformats.org/wordprocessingml/2006/main" xmlns:wps="http://schemas.microsoft.com/office/word/2010/wordprocessingShape" xmlns:mc="http://schemas.openxmlformats.org/markup-compatibility/2006" xmlns:w10="urn:schemas-microsoft-com:office:word" xmlns:v="urn:schemas-microsoft-com:vml" xmlns:wp14="http://schemas.microsoft.com/office/word/2010/wordprocessingDrawing" xmlns:wpg="http://schemas.microsoft.com/office/word/2010/wordprocessingGroup" xmlns:wpc="http://schemas.microsoft.com/office/word/2010/wordprocessingCanvas" xmlns:w14="http://schemas.microsoft.com/office/word/2010/wordml" xmlns:w15="http://schemas.microsoft.com/office/word/2012/wordml" xmlns:cx1="http://schemas.microsoft.com/office/drawing/2015/9/8/chartex" xmlns:cx2="http://schemas.microsoft.com/office/drawing/2015/10/21/chartex" mc:Ignorable="wp14 w14 w15">
  <w:footnote w:type="separator" w:id="-1">
    <w:p>
      <w:pPr>
        <w:spacing w:lineRule="auto" w:line="240" w:after="0" w:beforeAutospacing="0" w:afterAutospacing="0"/>
      </w:pPr>
      <w:r>
        <w:separator/>
      </w:r>
    </w:p>
  </w:footnote>
  <w:footnote w:type="continuationSeparator" w:id="0">
    <w:p>
      <w:pPr>
        <w:spacing w:lineRule="auto" w:line="240" w:after="0" w:beforeAutospacing="0" w:afterAutospacing="0"/>
      </w:pPr>
      <w:r>
        <w:continuationSeparator/>
      </w:r>
    </w:p>
  </w:footnote>
</w:footnotes>
</file>

<file path=word/numbering.xml><?xml version="1.0" encoding="utf-8"?>
<w:numbering xmlns:w="http://schemas.openxmlformats.org/wordprocessingml/2006/main">
  <w:abstractNum w:abstractNumId="0">
    <w:nsid w:val="13EA1E9C"/>
    <w:multiLevelType w:val="multilevel"/>
    <w:lvl w:ilvl="0">
      <w:start w:val="1"/>
      <w:numFmt w:val="bullet"/>
      <w:suff w:val="tab"/>
      <w:lvlText w:val=""/>
      <w:lvlJc w:val="left"/>
      <w:pPr>
        <w:ind w:hanging="360" w:left="720"/>
        <w:tabs>
          <w:tab w:val="num" w:pos="720" w:leader="none"/>
        </w:tabs>
      </w:pPr>
      <w:rPr>
        <w:rFonts w:ascii="Symbol" w:hAnsi="Symbol" w:hint="default"/>
        <w:sz w:val="20"/>
      </w:rPr>
    </w:lvl>
    <w:lvl w:ilvl="1">
      <w:start w:val="1"/>
      <w:numFmt w:val="bullet"/>
      <w:suff w:val="tab"/>
      <w:lvlText w:val="o"/>
      <w:lvlJc w:val="left"/>
      <w:pPr>
        <w:ind w:hanging="360" w:left="1440"/>
        <w:tabs>
          <w:tab w:val="num" w:pos="1440" w:leader="none"/>
        </w:tabs>
      </w:pPr>
      <w:rPr>
        <w:rFonts w:ascii="Courier New" w:hAnsi="Courier New" w:hint="default"/>
        <w:sz w:val="20"/>
      </w:rPr>
    </w:lvl>
    <w:lvl w:ilvl="2">
      <w:start w:val="1"/>
      <w:numFmt w:val="bullet"/>
      <w:suff w:val="tab"/>
      <w:lvlText w:val=""/>
      <w:lvlJc w:val="left"/>
      <w:pPr>
        <w:ind w:hanging="360" w:left="2160"/>
        <w:tabs>
          <w:tab w:val="num" w:pos="2160" w:leader="none"/>
        </w:tabs>
      </w:pPr>
      <w:rPr>
        <w:rFonts w:ascii="Wingdings" w:hAnsi="Wingdings" w:hint="default"/>
        <w:sz w:val="20"/>
      </w:rPr>
    </w:lvl>
    <w:lvl w:ilvl="3">
      <w:start w:val="1"/>
      <w:numFmt w:val="bullet"/>
      <w:suff w:val="tab"/>
      <w:lvlText w:val=""/>
      <w:lvlJc w:val="left"/>
      <w:pPr>
        <w:ind w:hanging="360" w:left="2880"/>
        <w:tabs>
          <w:tab w:val="num" w:pos="2880" w:leader="none"/>
        </w:tabs>
      </w:pPr>
      <w:rPr>
        <w:rFonts w:ascii="Wingdings" w:hAnsi="Wingdings" w:hint="default"/>
        <w:sz w:val="20"/>
      </w:rPr>
    </w:lvl>
    <w:lvl w:ilvl="4">
      <w:start w:val="1"/>
      <w:numFmt w:val="bullet"/>
      <w:suff w:val="tab"/>
      <w:lvlText w:val=""/>
      <w:lvlJc w:val="left"/>
      <w:pPr>
        <w:ind w:hanging="360" w:left="3600"/>
        <w:tabs>
          <w:tab w:val="num" w:pos="3600" w:leader="none"/>
        </w:tabs>
      </w:pPr>
      <w:rPr>
        <w:rFonts w:ascii="Wingdings" w:hAnsi="Wingdings" w:hint="default"/>
        <w:sz w:val="20"/>
      </w:rPr>
    </w:lvl>
    <w:lvl w:ilvl="5">
      <w:start w:val="1"/>
      <w:numFmt w:val="bullet"/>
      <w:suff w:val="tab"/>
      <w:lvlText w:val=""/>
      <w:lvlJc w:val="left"/>
      <w:pPr>
        <w:ind w:hanging="360" w:left="4320"/>
        <w:tabs>
          <w:tab w:val="num" w:pos="4320" w:leader="none"/>
        </w:tabs>
      </w:pPr>
      <w:rPr>
        <w:rFonts w:ascii="Wingdings" w:hAnsi="Wingdings" w:hint="default"/>
        <w:sz w:val="20"/>
      </w:rPr>
    </w:lvl>
    <w:lvl w:ilvl="6">
      <w:start w:val="1"/>
      <w:numFmt w:val="bullet"/>
      <w:suff w:val="tab"/>
      <w:lvlText w:val=""/>
      <w:lvlJc w:val="left"/>
      <w:pPr>
        <w:ind w:hanging="360" w:left="5040"/>
        <w:tabs>
          <w:tab w:val="num" w:pos="5040" w:leader="none"/>
        </w:tabs>
      </w:pPr>
      <w:rPr>
        <w:rFonts w:ascii="Wingdings" w:hAnsi="Wingdings" w:hint="default"/>
        <w:sz w:val="20"/>
      </w:rPr>
    </w:lvl>
    <w:lvl w:ilvl="7">
      <w:start w:val="1"/>
      <w:numFmt w:val="bullet"/>
      <w:suff w:val="tab"/>
      <w:lvlText w:val=""/>
      <w:lvlJc w:val="left"/>
      <w:pPr>
        <w:ind w:hanging="360" w:left="5760"/>
        <w:tabs>
          <w:tab w:val="num" w:pos="5760" w:leader="none"/>
        </w:tabs>
      </w:pPr>
      <w:rPr>
        <w:rFonts w:ascii="Wingdings" w:hAnsi="Wingdings" w:hint="default"/>
        <w:sz w:val="20"/>
      </w:rPr>
    </w:lvl>
    <w:lvl w:ilvl="8">
      <w:start w:val="1"/>
      <w:numFmt w:val="bullet"/>
      <w:suff w:val="tab"/>
      <w:lvlText w:val=""/>
      <w:lvlJc w:val="left"/>
      <w:pPr>
        <w:ind w:hanging="360" w:left="6480"/>
        <w:tabs>
          <w:tab w:val="num" w:pos="6480" w:leader="none"/>
        </w:tabs>
      </w:pPr>
      <w:rPr>
        <w:rFonts w:ascii="Wingdings" w:hAnsi="Wingdings" w:hint="default"/>
        <w:sz w:val="20"/>
      </w:rPr>
    </w:lvl>
  </w:abstractNum>
  <w:abstractNum w:abstractNumId="1">
    <w:nsid w:val="17426F88"/>
    <w:multiLevelType w:val="multilevel"/>
    <w:lvl w:ilvl="0">
      <w:start w:val="1"/>
      <w:numFmt w:val="bullet"/>
      <w:suff w:val="tab"/>
      <w:lvlText w:val=""/>
      <w:lvlJc w:val="left"/>
      <w:pPr>
        <w:ind w:hanging="360" w:left="720"/>
        <w:tabs>
          <w:tab w:val="num" w:pos="720" w:leader="none"/>
        </w:tabs>
      </w:pPr>
      <w:rPr>
        <w:rFonts w:ascii="Symbol" w:hAnsi="Symbol" w:hint="default"/>
        <w:sz w:val="20"/>
      </w:rPr>
    </w:lvl>
    <w:lvl w:ilvl="1">
      <w:start w:val="1"/>
      <w:numFmt w:val="bullet"/>
      <w:suff w:val="tab"/>
      <w:lvlText w:val="o"/>
      <w:lvlJc w:val="left"/>
      <w:pPr>
        <w:ind w:hanging="360" w:left="1440"/>
        <w:tabs>
          <w:tab w:val="num" w:pos="1440" w:leader="none"/>
        </w:tabs>
      </w:pPr>
      <w:rPr>
        <w:rFonts w:ascii="Courier New" w:hAnsi="Courier New" w:hint="default"/>
        <w:sz w:val="20"/>
      </w:rPr>
    </w:lvl>
    <w:lvl w:ilvl="2">
      <w:start w:val="1"/>
      <w:numFmt w:val="bullet"/>
      <w:suff w:val="tab"/>
      <w:lvlText w:val=""/>
      <w:lvlJc w:val="left"/>
      <w:pPr>
        <w:ind w:hanging="360" w:left="2160"/>
        <w:tabs>
          <w:tab w:val="num" w:pos="2160" w:leader="none"/>
        </w:tabs>
      </w:pPr>
      <w:rPr>
        <w:rFonts w:ascii="Wingdings" w:hAnsi="Wingdings" w:hint="default"/>
        <w:sz w:val="20"/>
      </w:rPr>
    </w:lvl>
    <w:lvl w:ilvl="3">
      <w:start w:val="1"/>
      <w:numFmt w:val="bullet"/>
      <w:suff w:val="tab"/>
      <w:lvlText w:val=""/>
      <w:lvlJc w:val="left"/>
      <w:pPr>
        <w:ind w:hanging="360" w:left="2880"/>
        <w:tabs>
          <w:tab w:val="num" w:pos="2880" w:leader="none"/>
        </w:tabs>
      </w:pPr>
      <w:rPr>
        <w:rFonts w:ascii="Wingdings" w:hAnsi="Wingdings" w:hint="default"/>
        <w:sz w:val="20"/>
      </w:rPr>
    </w:lvl>
    <w:lvl w:ilvl="4">
      <w:start w:val="1"/>
      <w:numFmt w:val="bullet"/>
      <w:suff w:val="tab"/>
      <w:lvlText w:val=""/>
      <w:lvlJc w:val="left"/>
      <w:pPr>
        <w:ind w:hanging="360" w:left="3600"/>
        <w:tabs>
          <w:tab w:val="num" w:pos="3600" w:leader="none"/>
        </w:tabs>
      </w:pPr>
      <w:rPr>
        <w:rFonts w:ascii="Wingdings" w:hAnsi="Wingdings" w:hint="default"/>
        <w:sz w:val="20"/>
      </w:rPr>
    </w:lvl>
    <w:lvl w:ilvl="5">
      <w:start w:val="1"/>
      <w:numFmt w:val="bullet"/>
      <w:suff w:val="tab"/>
      <w:lvlText w:val=""/>
      <w:lvlJc w:val="left"/>
      <w:pPr>
        <w:ind w:hanging="360" w:left="4320"/>
        <w:tabs>
          <w:tab w:val="num" w:pos="4320" w:leader="none"/>
        </w:tabs>
      </w:pPr>
      <w:rPr>
        <w:rFonts w:ascii="Wingdings" w:hAnsi="Wingdings" w:hint="default"/>
        <w:sz w:val="20"/>
      </w:rPr>
    </w:lvl>
    <w:lvl w:ilvl="6">
      <w:start w:val="1"/>
      <w:numFmt w:val="bullet"/>
      <w:suff w:val="tab"/>
      <w:lvlText w:val=""/>
      <w:lvlJc w:val="left"/>
      <w:pPr>
        <w:ind w:hanging="360" w:left="5040"/>
        <w:tabs>
          <w:tab w:val="num" w:pos="5040" w:leader="none"/>
        </w:tabs>
      </w:pPr>
      <w:rPr>
        <w:rFonts w:ascii="Wingdings" w:hAnsi="Wingdings" w:hint="default"/>
        <w:sz w:val="20"/>
      </w:rPr>
    </w:lvl>
    <w:lvl w:ilvl="7">
      <w:start w:val="1"/>
      <w:numFmt w:val="bullet"/>
      <w:suff w:val="tab"/>
      <w:lvlText w:val=""/>
      <w:lvlJc w:val="left"/>
      <w:pPr>
        <w:ind w:hanging="360" w:left="5760"/>
        <w:tabs>
          <w:tab w:val="num" w:pos="5760" w:leader="none"/>
        </w:tabs>
      </w:pPr>
      <w:rPr>
        <w:rFonts w:ascii="Wingdings" w:hAnsi="Wingdings" w:hint="default"/>
        <w:sz w:val="20"/>
      </w:rPr>
    </w:lvl>
    <w:lvl w:ilvl="8">
      <w:start w:val="1"/>
      <w:numFmt w:val="bullet"/>
      <w:suff w:val="tab"/>
      <w:lvlText w:val=""/>
      <w:lvlJc w:val="left"/>
      <w:pPr>
        <w:ind w:hanging="360" w:left="6480"/>
        <w:tabs>
          <w:tab w:val="num" w:pos="6480" w:leader="none"/>
        </w:tabs>
      </w:pPr>
      <w:rPr>
        <w:rFonts w:ascii="Wingdings" w:hAnsi="Wingdings" w:hint="default"/>
        <w:sz w:val="20"/>
      </w:rPr>
    </w:lvl>
  </w:abstractNum>
  <w:abstractNum w:abstractNumId="2">
    <w:nsid w:val="3D3F4A29"/>
    <w:multiLevelType w:val="multilevel"/>
    <w:lvl w:ilvl="0">
      <w:start w:val="1"/>
      <w:numFmt w:val="bullet"/>
      <w:suff w:val="tab"/>
      <w:lvlText w:val=""/>
      <w:lvlJc w:val="left"/>
      <w:pPr>
        <w:ind w:hanging="360" w:left="720"/>
        <w:tabs>
          <w:tab w:val="num" w:pos="720" w:leader="none"/>
        </w:tabs>
      </w:pPr>
      <w:rPr>
        <w:rFonts w:ascii="Symbol" w:hAnsi="Symbol" w:hint="default"/>
        <w:sz w:val="20"/>
      </w:rPr>
    </w:lvl>
    <w:lvl w:ilvl="1">
      <w:start w:val="1"/>
      <w:numFmt w:val="bullet"/>
      <w:suff w:val="tab"/>
      <w:lvlText w:val="o"/>
      <w:lvlJc w:val="left"/>
      <w:pPr>
        <w:ind w:hanging="360" w:left="1440"/>
        <w:tabs>
          <w:tab w:val="num" w:pos="1440" w:leader="none"/>
        </w:tabs>
      </w:pPr>
      <w:rPr>
        <w:rFonts w:ascii="Courier New" w:hAnsi="Courier New" w:hint="default"/>
        <w:sz w:val="20"/>
      </w:rPr>
    </w:lvl>
    <w:lvl w:ilvl="2">
      <w:start w:val="1"/>
      <w:numFmt w:val="bullet"/>
      <w:suff w:val="tab"/>
      <w:lvlText w:val=""/>
      <w:lvlJc w:val="left"/>
      <w:pPr>
        <w:ind w:hanging="360" w:left="2160"/>
        <w:tabs>
          <w:tab w:val="num" w:pos="2160" w:leader="none"/>
        </w:tabs>
      </w:pPr>
      <w:rPr>
        <w:rFonts w:ascii="Wingdings" w:hAnsi="Wingdings" w:hint="default"/>
        <w:sz w:val="20"/>
      </w:rPr>
    </w:lvl>
    <w:lvl w:ilvl="3">
      <w:start w:val="1"/>
      <w:numFmt w:val="bullet"/>
      <w:suff w:val="tab"/>
      <w:lvlText w:val=""/>
      <w:lvlJc w:val="left"/>
      <w:pPr>
        <w:ind w:hanging="360" w:left="2880"/>
        <w:tabs>
          <w:tab w:val="num" w:pos="2880" w:leader="none"/>
        </w:tabs>
      </w:pPr>
      <w:rPr>
        <w:rFonts w:ascii="Wingdings" w:hAnsi="Wingdings" w:hint="default"/>
        <w:sz w:val="20"/>
      </w:rPr>
    </w:lvl>
    <w:lvl w:ilvl="4">
      <w:start w:val="1"/>
      <w:numFmt w:val="bullet"/>
      <w:suff w:val="tab"/>
      <w:lvlText w:val=""/>
      <w:lvlJc w:val="left"/>
      <w:pPr>
        <w:ind w:hanging="360" w:left="3600"/>
        <w:tabs>
          <w:tab w:val="num" w:pos="3600" w:leader="none"/>
        </w:tabs>
      </w:pPr>
      <w:rPr>
        <w:rFonts w:ascii="Wingdings" w:hAnsi="Wingdings" w:hint="default"/>
        <w:sz w:val="20"/>
      </w:rPr>
    </w:lvl>
    <w:lvl w:ilvl="5">
      <w:start w:val="1"/>
      <w:numFmt w:val="bullet"/>
      <w:suff w:val="tab"/>
      <w:lvlText w:val=""/>
      <w:lvlJc w:val="left"/>
      <w:pPr>
        <w:ind w:hanging="360" w:left="4320"/>
        <w:tabs>
          <w:tab w:val="num" w:pos="4320" w:leader="none"/>
        </w:tabs>
      </w:pPr>
      <w:rPr>
        <w:rFonts w:ascii="Wingdings" w:hAnsi="Wingdings" w:hint="default"/>
        <w:sz w:val="20"/>
      </w:rPr>
    </w:lvl>
    <w:lvl w:ilvl="6">
      <w:start w:val="1"/>
      <w:numFmt w:val="bullet"/>
      <w:suff w:val="tab"/>
      <w:lvlText w:val=""/>
      <w:lvlJc w:val="left"/>
      <w:pPr>
        <w:ind w:hanging="360" w:left="5040"/>
        <w:tabs>
          <w:tab w:val="num" w:pos="5040" w:leader="none"/>
        </w:tabs>
      </w:pPr>
      <w:rPr>
        <w:rFonts w:ascii="Wingdings" w:hAnsi="Wingdings" w:hint="default"/>
        <w:sz w:val="20"/>
      </w:rPr>
    </w:lvl>
    <w:lvl w:ilvl="7">
      <w:start w:val="1"/>
      <w:numFmt w:val="bullet"/>
      <w:suff w:val="tab"/>
      <w:lvlText w:val=""/>
      <w:lvlJc w:val="left"/>
      <w:pPr>
        <w:ind w:hanging="360" w:left="5760"/>
        <w:tabs>
          <w:tab w:val="num" w:pos="5760" w:leader="none"/>
        </w:tabs>
      </w:pPr>
      <w:rPr>
        <w:rFonts w:ascii="Wingdings" w:hAnsi="Wingdings" w:hint="default"/>
        <w:sz w:val="20"/>
      </w:rPr>
    </w:lvl>
    <w:lvl w:ilvl="8">
      <w:start w:val="1"/>
      <w:numFmt w:val="bullet"/>
      <w:suff w:val="tab"/>
      <w:lvlText w:val=""/>
      <w:lvlJc w:val="left"/>
      <w:pPr>
        <w:ind w:hanging="360" w:left="6480"/>
        <w:tabs>
          <w:tab w:val="num" w:pos="6480" w:leader="none"/>
        </w:tabs>
      </w:pPr>
      <w:rPr>
        <w:rFonts w:ascii="Wingdings" w:hAnsi="Wingdings" w:hint="default"/>
        <w:sz w:val="20"/>
      </w:rPr>
    </w:lvl>
  </w:abstractNum>
  <w:abstractNum w:abstractNumId="3">
    <w:nsid w:val="195031CB"/>
    <w:multiLevelType w:val="hybridMultilevel"/>
    <w:lvl w:ilvl="0" w:tplc="62FA7035">
      <w:start w:val="1"/>
      <w:numFmt w:val="decimal"/>
      <w:suff w:val="tab"/>
      <w:lvlText w:val="%1."/>
      <w:lvlJc w:val="left"/>
      <w:pPr>
        <w:ind w:hanging="360" w:left="720"/>
      </w:pPr>
      <w:rPr/>
    </w:lvl>
    <w:lvl w:ilvl="1" w:tplc="0908641C">
      <w:start w:val="1"/>
      <w:numFmt w:val="decimal"/>
      <w:suff w:val="tab"/>
      <w:lvlText w:val="%2."/>
      <w:lvlJc w:val="left"/>
      <w:pPr>
        <w:ind w:hanging="360" w:left="1440"/>
      </w:pPr>
      <w:rPr/>
    </w:lvl>
    <w:lvl w:ilvl="2" w:tplc="2A6AC514">
      <w:start w:val="1"/>
      <w:numFmt w:val="decimal"/>
      <w:suff w:val="tab"/>
      <w:lvlText w:val="%3."/>
      <w:lvlJc w:val="left"/>
      <w:pPr>
        <w:ind w:hanging="360" w:left="2160"/>
      </w:pPr>
      <w:rPr/>
    </w:lvl>
    <w:lvl w:ilvl="3" w:tplc="038876C6">
      <w:start w:val="1"/>
      <w:numFmt w:val="decimal"/>
      <w:suff w:val="tab"/>
      <w:lvlText w:val="%4."/>
      <w:lvlJc w:val="left"/>
      <w:pPr>
        <w:ind w:hanging="360" w:left="2880"/>
      </w:pPr>
      <w:rPr/>
    </w:lvl>
    <w:lvl w:ilvl="4" w:tplc="7937FE3E">
      <w:start w:val="1"/>
      <w:numFmt w:val="decimal"/>
      <w:suff w:val="tab"/>
      <w:lvlText w:val="%5."/>
      <w:lvlJc w:val="left"/>
      <w:pPr>
        <w:ind w:hanging="360" w:left="3600"/>
      </w:pPr>
      <w:rPr/>
    </w:lvl>
    <w:lvl w:ilvl="5" w:tplc="341F5E9B">
      <w:start w:val="1"/>
      <w:numFmt w:val="decimal"/>
      <w:suff w:val="tab"/>
      <w:lvlText w:val="%6."/>
      <w:lvlJc w:val="left"/>
      <w:pPr>
        <w:ind w:hanging="360" w:left="4320"/>
      </w:pPr>
      <w:rPr/>
    </w:lvl>
    <w:lvl w:ilvl="6" w:tplc="0855A17D">
      <w:start w:val="1"/>
      <w:numFmt w:val="decimal"/>
      <w:suff w:val="tab"/>
      <w:lvlText w:val="%7."/>
      <w:lvlJc w:val="left"/>
      <w:pPr>
        <w:ind w:hanging="360" w:left="5040"/>
      </w:pPr>
      <w:rPr/>
    </w:lvl>
    <w:lvl w:ilvl="7" w:tplc="7C3EA102">
      <w:start w:val="1"/>
      <w:numFmt w:val="decimal"/>
      <w:suff w:val="tab"/>
      <w:lvlText w:val="%8."/>
      <w:lvlJc w:val="left"/>
      <w:pPr>
        <w:ind w:hanging="360" w:left="5760"/>
      </w:pPr>
      <w:rPr/>
    </w:lvl>
    <w:lvl w:ilvl="8" w:tplc="1344277F">
      <w:start w:val="1"/>
      <w:numFmt w:val="decimal"/>
      <w:suff w:val="tab"/>
      <w:lvlText w:val="%9."/>
      <w:lvlJc w:val="left"/>
      <w:pPr>
        <w:ind w:hanging="360" w:left="6480"/>
      </w:pPr>
      <w:rPr/>
    </w:lvl>
  </w:abstractNum>
  <w:num w:numId="1">
    <w:abstractNumId w:val="1"/>
  </w:num>
  <w:num w:numId="2">
    <w:abstractNumId w:val="0"/>
  </w:num>
  <w:num w:numId="3">
    <w:abstractNumId w:val="2"/>
  </w:num>
  <w:num w:numId="4">
    <w:abstractNumId w:val="3"/>
  </w:num>
</w:numbering>
</file>

<file path=word/settings.xml><?xml version="1.0" encoding="utf-8"?>
<w:settings xmlns:w="http://schemas.openxmlformats.org/wordprocessingml/2006/main">
  <w:displayBackgroundShape w:val="0"/>
  <w:defaultTabStop w:val="720"/>
  <w:autoHyphenation w:val="0"/>
  <w:evenAndOddHeaders w:val="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xmlns:m="http://schemas.openxmlformats.org/officeDocument/2006/math">
    <m:brkBin m:val="before"/>
    <m:brkBinSub m:val="--"/>
    <m:defJc m:val="centerGroup"/>
    <m:dispDef/>
    <m:interSp m:val="0"/>
    <m:intLim m:val="subSup"/>
    <m:intraSp m:val="0"/>
    <m:lMargin m:val="0"/>
    <m:mathFont m:val="Cambria Math"/>
    <m:naryLim m:val="undOvr"/>
    <m:postSp m:val="0"/>
    <m:preSp m:val="0"/>
    <m:rMargin m:val="0"/>
    <m:smallFrac/>
    <m:wrapIndent m:val="1440"/>
    <m:wrapRight m:val="0"/>
  </m:mathPr>
  <w:clrSchemeMapping w:bg1="light1" w:t1="dark1" w:bg2="light2" w:t2="dark2" w:accent1="accent1" w:accent2="accent2" w:accent3="accent3" w:accent4="accent4" w:accent5="accent5" w:accent6="accent6" w:hyperlink="hyperlink" w:followedHyperlink="followedHyperlink"/>
  <w:footnotePr>
    <w:footnote w:id="-1"/>
    <w:footnote w:id="0"/>
  </w:footnotePr>
  <w:endnotePr>
    <w:endnote w:id="-1"/>
    <w:endnote w:id="0"/>
  </w:endnotePr>
</w:settings>
</file>

<file path=word/styles.xml><?xml version="1.0" encoding="utf-8"?>
<w:styles xmlns:w="http://schemas.openxmlformats.org/wordprocessingml/2006/main">
  <w:docDefaults>
    <w:rPrDefault>
      <w:rPr>
        <w:rFonts w:asciiTheme="minorHAnsi" w:hAnsiTheme="minorHAnsi" w:cstheme="minorBidi" w:eastAsiaTheme="minorHAnsi"/>
        <w:sz w:val="22"/>
        <w:szCs w:val="22"/>
        <w:kern w:val="2"/>
        <w:lang w:val="en-IN" w:bidi="ar-SA" w:eastAsia="en-US"/>
      </w:rPr>
    </w:rPrDefault>
    <w:pPrDefault>
      <w:pPr>
        <w:keepNext w:val="0"/>
        <w:keepLines w:val="0"/>
        <w:pageBreakBefore w:val="0"/>
        <w:widowControl w:val="1"/>
        <w:suppressLineNumbers w:val="0"/>
        <w:shd w:val="clear" w:fill="auto"/>
        <w:suppressAutoHyphens w:val="0"/>
        <w:spacing w:lineRule="auto" w:line="259" w:before="0" w:after="160" w:beforeAutospacing="0" w:afterAutospacing="0"/>
        <w:ind w:firstLine="0" w:left="0" w:right="0"/>
        <w:contextualSpacing w:val="0"/>
        <w:bidi w:val="0"/>
        <w:jc w:val="left"/>
        <w:outlineLvl w:val="9"/>
      </w:pPr>
    </w:pPrDefault>
  </w:docDefaults>
  <w:style w:type="paragraph" w:styleId="P0" w:default="1">
    <w:name w:val="Normal"/>
    <w:qFormat/>
    <w:pPr/>
    <w:rPr>
      <w:rFonts w:ascii="Times New Roman" w:hAnsi="Times New Roman" w:cs="Times New Roman"/>
      <w:sz w:val="24"/>
      <w:szCs w:val="24"/>
    </w:rPr>
  </w:style>
  <w:style w:type="paragraph" w:styleId="P1">
    <w:name w:val="Heading 1"/>
    <w:basedOn w:val="P0"/>
    <w:next w:val="P0"/>
    <w:link w:val="C3"/>
    <w:qFormat/>
    <w:pPr>
      <w:jc w:val="both"/>
      <w:outlineLvl w:val="0"/>
    </w:pPr>
    <w:rPr>
      <w:b w:val="1"/>
      <w:bCs w:val="1"/>
    </w:rPr>
  </w:style>
  <w:style w:type="paragraph" w:styleId="P2">
    <w:name w:val="Heading 2"/>
    <w:basedOn w:val="P0"/>
    <w:next w:val="P0"/>
    <w:link w:val="C4"/>
    <w:qFormat/>
    <w:pPr>
      <w:jc w:val="both"/>
      <w:outlineLvl w:val="1"/>
    </w:pPr>
    <w:rPr>
      <w:b w:val="1"/>
      <w:bCs w:val="1"/>
    </w:rPr>
  </w:style>
  <w:style w:type="paragraph" w:styleId="P3">
    <w:name w:val="Heading 3"/>
    <w:basedOn w:val="P0"/>
    <w:next w:val="P0"/>
    <w:link w:val="C5"/>
    <w:semiHidden/>
    <w:qFormat/>
    <w:pPr>
      <w:keepNext w:val="1"/>
      <w:keepLines w:val="1"/>
      <w:spacing w:before="160" w:after="80" w:beforeAutospacing="0" w:afterAutospacing="0"/>
      <w:outlineLvl w:val="2"/>
    </w:pPr>
    <w:rPr>
      <w:rFonts w:cstheme="majorBidi" w:eastAsiaTheme="majorEastAsia"/>
      <w:color w:val="2F5496" w:themeColor="accent1" w:themeShade="BF"/>
      <w:sz w:val="28"/>
      <w:szCs w:val="28"/>
    </w:rPr>
  </w:style>
  <w:style w:type="paragraph" w:styleId="P4">
    <w:name w:val="Heading 4"/>
    <w:basedOn w:val="P0"/>
    <w:next w:val="P0"/>
    <w:link w:val="C6"/>
    <w:semiHidden/>
    <w:qFormat/>
    <w:pPr>
      <w:keepNext w:val="1"/>
      <w:keepLines w:val="1"/>
      <w:spacing w:before="80" w:after="40" w:beforeAutospacing="0" w:afterAutospacing="0"/>
      <w:outlineLvl w:val="3"/>
    </w:pPr>
    <w:rPr>
      <w:rFonts w:cstheme="majorBidi" w:eastAsiaTheme="majorEastAsia"/>
      <w:i w:val="1"/>
      <w:iCs w:val="1"/>
      <w:color w:val="2F5496" w:themeColor="accent1" w:themeShade="BF"/>
    </w:rPr>
  </w:style>
  <w:style w:type="paragraph" w:styleId="P5">
    <w:name w:val="Heading 5"/>
    <w:basedOn w:val="P0"/>
    <w:next w:val="P0"/>
    <w:link w:val="C7"/>
    <w:semiHidden/>
    <w:qFormat/>
    <w:pPr>
      <w:keepNext w:val="1"/>
      <w:keepLines w:val="1"/>
      <w:spacing w:before="80" w:after="40" w:beforeAutospacing="0" w:afterAutospacing="0"/>
      <w:outlineLvl w:val="4"/>
    </w:pPr>
    <w:rPr>
      <w:rFonts w:cstheme="majorBidi" w:eastAsiaTheme="majorEastAsia"/>
      <w:color w:val="2F5496" w:themeColor="accent1" w:themeShade="BF"/>
    </w:rPr>
  </w:style>
  <w:style w:type="paragraph" w:styleId="P6">
    <w:name w:val="Heading 6"/>
    <w:basedOn w:val="P0"/>
    <w:next w:val="P0"/>
    <w:link w:val="C8"/>
    <w:semiHidden/>
    <w:qFormat/>
    <w:pPr>
      <w:keepNext w:val="1"/>
      <w:keepLines w:val="1"/>
      <w:spacing w:before="40" w:after="0" w:beforeAutospacing="0" w:afterAutospacing="0"/>
      <w:outlineLvl w:val="5"/>
    </w:pPr>
    <w:rPr>
      <w:rFonts w:cstheme="majorBidi" w:eastAsiaTheme="majorEastAsia"/>
      <w:i w:val="1"/>
      <w:iCs w:val="1"/>
      <w:color w:val="595959" w:themeColor="text1" w:themeTint="A6"/>
    </w:rPr>
  </w:style>
  <w:style w:type="paragraph" w:styleId="P7">
    <w:name w:val="Heading 7"/>
    <w:basedOn w:val="P0"/>
    <w:next w:val="P0"/>
    <w:link w:val="C9"/>
    <w:semiHidden/>
    <w:qFormat/>
    <w:pPr>
      <w:keepNext w:val="1"/>
      <w:keepLines w:val="1"/>
      <w:spacing w:before="40" w:after="0" w:beforeAutospacing="0" w:afterAutospacing="0"/>
      <w:outlineLvl w:val="6"/>
    </w:pPr>
    <w:rPr>
      <w:rFonts w:cstheme="majorBidi" w:eastAsiaTheme="majorEastAsia"/>
      <w:color w:val="595959" w:themeColor="text1" w:themeTint="A6"/>
    </w:rPr>
  </w:style>
  <w:style w:type="paragraph" w:styleId="P8">
    <w:name w:val="Heading 8"/>
    <w:basedOn w:val="P0"/>
    <w:next w:val="P0"/>
    <w:link w:val="C10"/>
    <w:semiHidden/>
    <w:qFormat/>
    <w:pPr>
      <w:keepNext w:val="1"/>
      <w:keepLines w:val="1"/>
      <w:spacing w:after="0" w:beforeAutospacing="0" w:afterAutospacing="0"/>
      <w:outlineLvl w:val="7"/>
    </w:pPr>
    <w:rPr>
      <w:rFonts w:cstheme="majorBidi" w:eastAsiaTheme="majorEastAsia"/>
      <w:i w:val="1"/>
      <w:iCs w:val="1"/>
      <w:color w:val="272727" w:themeColor="text1" w:themeTint="D8"/>
    </w:rPr>
  </w:style>
  <w:style w:type="paragraph" w:styleId="P9">
    <w:name w:val="Heading 9"/>
    <w:basedOn w:val="P0"/>
    <w:next w:val="P0"/>
    <w:link w:val="C11"/>
    <w:semiHidden/>
    <w:qFormat/>
    <w:pPr>
      <w:keepNext w:val="1"/>
      <w:keepLines w:val="1"/>
      <w:spacing w:after="0" w:beforeAutospacing="0" w:afterAutospacing="0"/>
      <w:outlineLvl w:val="8"/>
    </w:pPr>
    <w:rPr>
      <w:rFonts w:cstheme="majorBidi" w:eastAsiaTheme="majorEastAsia"/>
      <w:color w:val="272727" w:themeColor="text1" w:themeTint="D8"/>
    </w:rPr>
  </w:style>
  <w:style w:type="paragraph" w:styleId="P10">
    <w:name w:val="Title"/>
    <w:basedOn w:val="P0"/>
    <w:next w:val="P0"/>
    <w:link w:val="C12"/>
    <w:qFormat/>
    <w:pPr>
      <w:spacing w:lineRule="auto" w:line="240" w:after="80" w:beforeAutospacing="0" w:afterAutospacing="0"/>
      <w:contextualSpacing w:val="1"/>
    </w:pPr>
    <w:rPr>
      <w:rFonts w:asciiTheme="majorHAnsi" w:hAnsiTheme="majorHAnsi" w:cstheme="majorBidi" w:eastAsiaTheme="majorEastAsia"/>
      <w:sz w:val="56"/>
      <w:szCs w:val="56"/>
      <w:spacing w:val="-10"/>
      <w:kern w:val="28"/>
    </w:rPr>
  </w:style>
  <w:style w:type="paragraph" w:styleId="P11">
    <w:name w:val="Subtitle"/>
    <w:basedOn w:val="P0"/>
    <w:next w:val="P0"/>
    <w:link w:val="C13"/>
    <w:qFormat/>
    <w:pPr/>
    <w:rPr>
      <w:rFonts w:cstheme="majorBidi" w:eastAsiaTheme="majorEastAsia"/>
      <w:color w:val="595959" w:themeColor="text1" w:themeTint="A6"/>
      <w:sz w:val="28"/>
      <w:szCs w:val="28"/>
      <w:spacing w:val="15"/>
    </w:rPr>
  </w:style>
  <w:style w:type="paragraph" w:styleId="P12">
    <w:name w:val="Quote"/>
    <w:basedOn w:val="P0"/>
    <w:next w:val="P0"/>
    <w:link w:val="C14"/>
    <w:qFormat/>
    <w:pPr>
      <w:spacing w:before="160" w:beforeAutospacing="0" w:afterAutospacing="0"/>
      <w:jc w:val="center"/>
    </w:pPr>
    <w:rPr>
      <w:i w:val="1"/>
      <w:iCs w:val="1"/>
      <w:color w:val="404040" w:themeColor="text1" w:themeTint="BF"/>
    </w:rPr>
  </w:style>
  <w:style w:type="paragraph" w:styleId="P13">
    <w:name w:val="List Paragraph"/>
    <w:basedOn w:val="P0"/>
    <w:qFormat/>
    <w:pPr>
      <w:ind w:left="720"/>
      <w:contextualSpacing w:val="1"/>
    </w:pPr>
    <w:rPr/>
  </w:style>
  <w:style w:type="paragraph" w:styleId="P14">
    <w:name w:val="Intense Quote"/>
    <w:basedOn w:val="P0"/>
    <w:next w:val="P0"/>
    <w:link w:val="C16"/>
    <w:qFormat/>
    <w:pPr>
      <w:pBdr>
        <w:top w:val="single" w:sz="4" w:space="10" w:shadow="0" w:frame="0" w:color="2F5496" w:themeColor="accent1" w:themeShade="BF"/>
        <w:left w:val="none" w:sz="0" w:space="0" w:shadow="0" w:frame="0" w:color="auto"/>
        <w:bottom w:val="single" w:sz="4" w:space="10" w:shadow="0" w:frame="0" w:color="2F5496" w:themeColor="accent1" w:themeShade="BF"/>
        <w:right w:val="none" w:sz="0" w:space="0" w:shadow="0" w:frame="0" w:color="auto"/>
        <w:between w:val="none" w:sz="0" w:space="0" w:shadow="0" w:frame="0" w:color="auto"/>
      </w:pBdr>
      <w:spacing w:before="360" w:after="360" w:beforeAutospacing="0" w:afterAutospacing="0"/>
      <w:ind w:left="864" w:right="864"/>
      <w:jc w:val="center"/>
    </w:pPr>
    <w:rPr>
      <w:i w:val="1"/>
      <w:iCs w:val="1"/>
      <w:color w:val="2F5496" w:themeColor="accent1" w:themeShade="BF"/>
    </w:rPr>
  </w:style>
  <w:style w:type="paragraph" w:styleId="P15">
    <w:name w:val="TOC Heading"/>
    <w:basedOn w:val="P1"/>
    <w:next w:val="P0"/>
    <w:qFormat/>
    <w:pPr>
      <w:keepNext w:val="1"/>
      <w:keepLines w:val="1"/>
      <w:spacing w:before="240" w:after="0" w:beforeAutospacing="0" w:afterAutospacing="0"/>
      <w:jc w:val="left"/>
      <w:outlineLvl w:val="9"/>
    </w:pPr>
    <w:rPr>
      <w:rFonts w:asciiTheme="majorHAnsi" w:hAnsiTheme="majorHAnsi" w:cstheme="majorBidi" w:eastAsiaTheme="majorEastAsia"/>
      <w:b w:val="0"/>
      <w:bCs w:val="0"/>
      <w:color w:val="2F5496" w:themeColor="accent1" w:themeShade="BF"/>
      <w:sz w:val="32"/>
      <w:szCs w:val="32"/>
      <w:lang w:val="en-US"/>
    </w:rPr>
  </w:style>
  <w:style w:type="paragraph" w:styleId="P16">
    <w:name w:val="TOC 1"/>
    <w:basedOn w:val="P0"/>
    <w:next w:val="P0"/>
    <w:autoRedefine w:val="1"/>
    <w:pPr>
      <w:spacing w:after="100" w:beforeAutospacing="0" w:afterAutospacing="0"/>
    </w:pPr>
    <w:rPr/>
  </w:style>
  <w:style w:type="paragraph" w:styleId="P17">
    <w:name w:val="TOC 2"/>
    <w:basedOn w:val="P0"/>
    <w:next w:val="P0"/>
    <w:autoRedefine w:val="1"/>
    <w:pPr>
      <w:spacing w:after="100" w:beforeAutospacing="0" w:afterAutospacing="0"/>
      <w:ind w:left="240"/>
    </w:pPr>
    <w:rPr/>
  </w:style>
  <w:style w:type="paragraph" w:styleId="P18">
    <w:name w:val="Header"/>
    <w:basedOn w:val="P0"/>
    <w:link w:val="C18"/>
    <w:pPr>
      <w:tabs>
        <w:tab w:val="center" w:pos="4513" w:leader="none"/>
        <w:tab w:val="right" w:pos="9026" w:leader="none"/>
      </w:tabs>
      <w:spacing w:lineRule="auto" w:line="240" w:after="0" w:beforeAutospacing="0" w:afterAutospacing="0"/>
    </w:pPr>
    <w:rPr/>
  </w:style>
  <w:style w:type="paragraph" w:styleId="P19">
    <w:name w:val="Footer"/>
    <w:basedOn w:val="P0"/>
    <w:link w:val="C19"/>
    <w:pPr>
      <w:tabs>
        <w:tab w:val="center" w:pos="4513" w:leader="none"/>
        <w:tab w:val="right" w:pos="9026" w:leader="none"/>
      </w:tabs>
      <w:spacing w:lineRule="auto" w:line="240" w:after="0" w:beforeAutospacing="0" w:afterAutospacing="0"/>
    </w:pPr>
    <w:rPr/>
  </w:style>
  <w:style w:type="paragraph" w:styleId="P20">
    <w:name w:val="Footnote Text"/>
    <w:link w:val="C22"/>
    <w:semiHidden/>
    <w:pPr>
      <w:spacing w:lineRule="auto" w:line="240" w:after="0"/>
    </w:pPr>
    <w:rPr>
      <w:sz w:val="20"/>
      <w:szCs w:val="20"/>
    </w:rPr>
  </w:style>
  <w:style w:type="paragraph" w:styleId="P21">
    <w:name w:val="Endnote Text"/>
    <w:link w:val="C24"/>
    <w:semiHidden/>
    <w:pPr>
      <w:spacing w:lineRule="auto" w:line="240" w:after="0"/>
    </w:pPr>
    <w:rPr>
      <w:sz w:val="20"/>
      <w:szCs w:val="20"/>
    </w:rPr>
  </w:style>
  <w:style w:type="character" w:styleId="C0" w:default="1">
    <w:name w:val="Default Paragraph Font"/>
    <w:rPr/>
  </w:style>
  <w:style w:type="character" w:styleId="C1">
    <w:name w:val="Line Number"/>
    <w:basedOn w:val="C0"/>
    <w:semiHidden/>
    <w:rPr/>
  </w:style>
  <w:style w:type="character" w:styleId="C2">
    <w:name w:val="Hyperlink"/>
    <w:basedOn w:val="C0"/>
    <w:rPr>
      <w:color w:val="0563C1" w:themeColor="hyperlink"/>
      <w:u w:val="single"/>
    </w:rPr>
  </w:style>
  <w:style w:type="character" w:styleId="C3">
    <w:name w:val="Heading 1 Char"/>
    <w:basedOn w:val="C0"/>
    <w:link w:val="P1"/>
    <w:rPr>
      <w:rFonts w:ascii="Times New Roman" w:hAnsi="Times New Roman" w:cs="Times New Roman"/>
      <w:b w:val="1"/>
      <w:bCs w:val="1"/>
      <w:sz w:val="24"/>
      <w:szCs w:val="24"/>
    </w:rPr>
  </w:style>
  <w:style w:type="character" w:styleId="C4">
    <w:name w:val="Heading 2 Char"/>
    <w:basedOn w:val="C0"/>
    <w:link w:val="P2"/>
    <w:rPr>
      <w:rFonts w:ascii="Times New Roman" w:hAnsi="Times New Roman" w:cs="Times New Roman"/>
      <w:b w:val="1"/>
      <w:bCs w:val="1"/>
      <w:sz w:val="24"/>
      <w:szCs w:val="24"/>
    </w:rPr>
  </w:style>
  <w:style w:type="character" w:styleId="C5">
    <w:name w:val="Heading 3 Char"/>
    <w:basedOn w:val="C0"/>
    <w:link w:val="P3"/>
    <w:semiHidden/>
    <w:rPr>
      <w:rFonts w:cstheme="majorBidi" w:eastAsiaTheme="majorEastAsia"/>
      <w:color w:val="2F5496" w:themeColor="accent1" w:themeShade="BF"/>
      <w:sz w:val="28"/>
      <w:szCs w:val="28"/>
    </w:rPr>
  </w:style>
  <w:style w:type="character" w:styleId="C6">
    <w:name w:val="Heading 4 Char"/>
    <w:basedOn w:val="C0"/>
    <w:link w:val="P4"/>
    <w:semiHidden/>
    <w:rPr>
      <w:rFonts w:cstheme="majorBidi" w:eastAsiaTheme="majorEastAsia"/>
      <w:i w:val="1"/>
      <w:iCs w:val="1"/>
      <w:color w:val="2F5496" w:themeColor="accent1" w:themeShade="BF"/>
    </w:rPr>
  </w:style>
  <w:style w:type="character" w:styleId="C7">
    <w:name w:val="Heading 5 Char"/>
    <w:basedOn w:val="C0"/>
    <w:link w:val="P5"/>
    <w:semiHidden/>
    <w:rPr>
      <w:rFonts w:cstheme="majorBidi" w:eastAsiaTheme="majorEastAsia"/>
      <w:color w:val="2F5496" w:themeColor="accent1" w:themeShade="BF"/>
    </w:rPr>
  </w:style>
  <w:style w:type="character" w:styleId="C8">
    <w:name w:val="Heading 6 Char"/>
    <w:basedOn w:val="C0"/>
    <w:link w:val="P6"/>
    <w:semiHidden/>
    <w:rPr>
      <w:rFonts w:cstheme="majorBidi" w:eastAsiaTheme="majorEastAsia"/>
      <w:i w:val="1"/>
      <w:iCs w:val="1"/>
      <w:color w:val="595959" w:themeColor="text1" w:themeTint="A6"/>
    </w:rPr>
  </w:style>
  <w:style w:type="character" w:styleId="C9">
    <w:name w:val="Heading 7 Char"/>
    <w:basedOn w:val="C0"/>
    <w:link w:val="P7"/>
    <w:semiHidden/>
    <w:rPr>
      <w:rFonts w:cstheme="majorBidi" w:eastAsiaTheme="majorEastAsia"/>
      <w:color w:val="595959" w:themeColor="text1" w:themeTint="A6"/>
    </w:rPr>
  </w:style>
  <w:style w:type="character" w:styleId="C10">
    <w:name w:val="Heading 8 Char"/>
    <w:basedOn w:val="C0"/>
    <w:link w:val="P8"/>
    <w:semiHidden/>
    <w:rPr>
      <w:rFonts w:cstheme="majorBidi" w:eastAsiaTheme="majorEastAsia"/>
      <w:i w:val="1"/>
      <w:iCs w:val="1"/>
      <w:color w:val="272727" w:themeColor="text1" w:themeTint="D8"/>
    </w:rPr>
  </w:style>
  <w:style w:type="character" w:styleId="C11">
    <w:name w:val="Heading 9 Char"/>
    <w:basedOn w:val="C0"/>
    <w:link w:val="P9"/>
    <w:semiHidden/>
    <w:rPr>
      <w:rFonts w:cstheme="majorBidi" w:eastAsiaTheme="majorEastAsia"/>
      <w:color w:val="272727" w:themeColor="text1" w:themeTint="D8"/>
    </w:rPr>
  </w:style>
  <w:style w:type="character" w:styleId="C12">
    <w:name w:val="Title Char"/>
    <w:basedOn w:val="C0"/>
    <w:link w:val="P10"/>
    <w:rPr>
      <w:rFonts w:asciiTheme="majorHAnsi" w:hAnsiTheme="majorHAnsi" w:cstheme="majorBidi" w:eastAsiaTheme="majorEastAsia"/>
      <w:sz w:val="56"/>
      <w:szCs w:val="56"/>
      <w:spacing w:val="-10"/>
      <w:kern w:val="28"/>
    </w:rPr>
  </w:style>
  <w:style w:type="character" w:styleId="C13">
    <w:name w:val="Subtitle Char"/>
    <w:basedOn w:val="C0"/>
    <w:link w:val="P11"/>
    <w:rPr>
      <w:rFonts w:cstheme="majorBidi" w:eastAsiaTheme="majorEastAsia"/>
      <w:color w:val="595959" w:themeColor="text1" w:themeTint="A6"/>
      <w:sz w:val="28"/>
      <w:szCs w:val="28"/>
      <w:spacing w:val="15"/>
    </w:rPr>
  </w:style>
  <w:style w:type="character" w:styleId="C14">
    <w:name w:val="Quote Char"/>
    <w:basedOn w:val="C0"/>
    <w:link w:val="P12"/>
    <w:rPr>
      <w:i w:val="1"/>
      <w:iCs w:val="1"/>
      <w:color w:val="404040" w:themeColor="text1" w:themeTint="BF"/>
    </w:rPr>
  </w:style>
  <w:style w:type="character" w:styleId="C15">
    <w:name w:val="Intense Emphasis"/>
    <w:basedOn w:val="C0"/>
    <w:qFormat/>
    <w:rPr>
      <w:i w:val="1"/>
      <w:iCs w:val="1"/>
      <w:color w:val="2F5496" w:themeColor="accent1" w:themeShade="BF"/>
    </w:rPr>
  </w:style>
  <w:style w:type="character" w:styleId="C16">
    <w:name w:val="Intense Quote Char"/>
    <w:basedOn w:val="C0"/>
    <w:link w:val="P14"/>
    <w:rPr>
      <w:i w:val="1"/>
      <w:iCs w:val="1"/>
      <w:color w:val="2F5496" w:themeColor="accent1" w:themeShade="BF"/>
    </w:rPr>
  </w:style>
  <w:style w:type="character" w:styleId="C17">
    <w:name w:val="Intense Reference1"/>
    <w:basedOn w:val="C0"/>
    <w:qFormat/>
    <w:rPr>
      <w:b w:val="1"/>
      <w:bCs w:val="1"/>
      <w:smallCaps w:val="1"/>
      <w:color w:val="2F5496" w:themeColor="accent1" w:themeShade="BF"/>
      <w:spacing w:val="5"/>
    </w:rPr>
  </w:style>
  <w:style w:type="character" w:styleId="C18">
    <w:name w:val="Header Char"/>
    <w:basedOn w:val="C0"/>
    <w:link w:val="P18"/>
    <w:rPr>
      <w:rFonts w:ascii="Times New Roman" w:hAnsi="Times New Roman" w:cs="Times New Roman"/>
      <w:sz w:val="24"/>
      <w:szCs w:val="24"/>
    </w:rPr>
  </w:style>
  <w:style w:type="character" w:styleId="C19">
    <w:name w:val="Footer Char"/>
    <w:basedOn w:val="C0"/>
    <w:link w:val="P19"/>
    <w:rPr>
      <w:rFonts w:ascii="Times New Roman" w:hAnsi="Times New Roman" w:cs="Times New Roman"/>
      <w:sz w:val="24"/>
      <w:szCs w:val="24"/>
    </w:rPr>
  </w:style>
  <w:style w:type="character" w:styleId="C20">
    <w:name w:val="Unresolved Mention1"/>
    <w:basedOn w:val="C0"/>
    <w:semiHidden/>
    <w:rPr>
      <w:color w:val="605E5C"/>
      <w:shd w:val="clear" w:color="auto" w:fill="E1DFDD"/>
    </w:rPr>
  </w:style>
  <w:style w:type="character" w:styleId="C21">
    <w:name w:val="Footnote Reference"/>
    <w:semiHidden/>
    <w:rPr>
      <w:vertAlign w:val="superscript"/>
    </w:rPr>
  </w:style>
  <w:style w:type="character" w:styleId="C22">
    <w:name w:val="Footnote Text Char"/>
    <w:link w:val="P20"/>
    <w:semiHidden/>
    <w:rPr>
      <w:sz w:val="20"/>
      <w:szCs w:val="20"/>
    </w:rPr>
  </w:style>
  <w:style w:type="character" w:styleId="C23">
    <w:name w:val="Endnote Reference"/>
    <w:semiHidden/>
    <w:rPr>
      <w:vertAlign w:val="superscript"/>
    </w:rPr>
  </w:style>
  <w:style w:type="character" w:styleId="C24">
    <w:name w:val="Endnote Text Char"/>
    <w:link w:val="P21"/>
    <w:semiHidden/>
    <w:rPr>
      <w:sz w:val="20"/>
      <w:szCs w:val="20"/>
    </w:rPr>
  </w:style>
  <w:style w:type="table" w:styleId="T0" w:default="1">
    <w:name w:val="Normal Table"/>
    <w:semiHidden/>
    <w:tblPr>
      <w:tblInd w:w="0" w:type="dxa"/>
      <w:tblCellMar>
        <w:top w:w="0" w:type="dxa"/>
        <w:left w:w="108" w:type="dxa"/>
        <w:bottom w:w="0" w:type="dxa"/>
        <w:right w:w="108" w:type="dxa"/>
      </w:tblCellMar>
    </w:tblPr>
    <w:trPr/>
    <w:tcPr/>
  </w:style>
  <w:style w:type="table" w:styleId="T1">
    <w:name w:val="Table Simple 1"/>
    <w:basedOn w:val="T0"/>
    <w:tblPr>
      <w:tblBorders>
        <w:top w:val="single" w:sz="4" w:space="0" w:shadow="0" w:frame="0" w:color="000000"/>
        <w:left w:val="single" w:sz="4" w:space="0" w:shadow="0" w:frame="0" w:color="000000"/>
        <w:bottom w:val="single" w:sz="4" w:space="0" w:shadow="0" w:frame="0" w:color="000000"/>
        <w:right w:val="single" w:sz="4" w:space="0" w:shadow="0" w:frame="0" w:color="000000"/>
        <w:insideH w:val="single" w:sz="4" w:space="0" w:shadow="0" w:frame="0" w:color="000000"/>
        <w:insideV w:val="single" w:sz="4" w:space="0" w:shadow="0" w:frame="0" w:color="000000"/>
      </w:tblBorders>
      <w:tblCellMar>
        <w:top w:w="0" w:type="dxa"/>
        <w:left w:w="108" w:type="dxa"/>
        <w:bottom w:w="0" w:type="dxa"/>
        <w:right w:w="108" w:type="dxa"/>
      </w:tblCellMar>
    </w:tblPr>
    <w:trPr/>
    <w:tcPr/>
  </w:style>
  <w:style w:type="numbering" w:styleId="N0">
    <w:name w:val="No List"/>
  </w:style>
</w:styles>
</file>

<file path=word/_rels/document.xml.rels>&#65279;<?xml version="1.0" encoding="utf-8"?><Relationships xmlns="http://schemas.openxmlformats.org/package/2006/relationships"><Relationship Id="R2" Type="http://schemas.openxmlformats.org/officeDocument/2006/relationships/hyperlink" Target="https://pmc.ncbi.nlm.nih.gov/articles/PMC12553980/" TargetMode="External" /><Relationship Id="R3" Type="http://schemas.openxmlformats.org/officeDocument/2006/relationships/hyperlink" Target="https://journals.sagepub.com/doi/full/10.1177/20552076261427777" TargetMode="External" /><Relationship Id="R4" Type="http://schemas.openxmlformats.org/officeDocument/2006/relationships/hyperlink" Target="https://pmc.ncbi.nlm.nih.gov/articles/PMC11765355/" TargetMode="External" /><Relationship Id="R5" Type="http://schemas.openxmlformats.org/officeDocument/2006/relationships/hyperlink" Target="https://pmc.ncbi.nlm.nih.gov/articles/PMC12295311/" TargetMode="External" /><Relationship Id="R6" Type="http://schemas.openxmlformats.org/officeDocument/2006/relationships/hyperlink" Target="https://www.tandfonline.com/doi/full/10.1080/08870446.2025.2590070" TargetMode="External" /><Relationship Id="R7" Type="http://schemas.openxmlformats.org/officeDocument/2006/relationships/hyperlink" Target="https://digital.nhs.uk/data-and-information/publications/statistical/mental-health-of-children-and-young-people-in-england?utm_source=chatgpt.com" TargetMode="External" /><Relationship Id="R8" Type="http://schemas.openxmlformats.org/officeDocument/2006/relationships/hyperlink" Target="https://pmc.ncbi.nlm.nih.gov/articles/PMC12878255/?utm_source=chatgpt.com" TargetMode="External" /><Relationship Id="R9" Type="http://schemas.openxmlformats.org/officeDocument/2006/relationships/hyperlink" Target="https://www.gov.uk/government/publications/health-trends-and-variation-in-england-2025-a-chief-medical-officer-report/health-trends-and-variation-in-england-2025-accessible-version?utm_source=chatgpt.com" TargetMode="External" /><Relationship Id="RA" Type="http://schemas.openxmlformats.org/officeDocument/2006/relationships/hyperlink" Target="https://www.ons.gov.uk/peoplepopulationandcommunity/healthandsocialcare/healthinequalities?utm_source=chatgpt.com" TargetMode="External" /><Relationship Id="RB" Type="http://schemas.openxmlformats.org/officeDocument/2006/relationships/hyperlink" Target="https://pubmed.ncbi.nlm.nih.gov/39697175/" TargetMode="External" /><Relationship Id="RC" Type="http://schemas.openxmlformats.org/officeDocument/2006/relationships/hyperlink" Target="https://pmc.ncbi.nlm.nih.gov/articles/PMC12822240/" TargetMode="External" /><Relationship Id="RD" Type="http://schemas.openxmlformats.org/officeDocument/2006/relationships/hyperlink" Target="https://link.springer.com/article/10.1186/s12877-025-06198-9" TargetMode="External" /><Relationship Id="RE" Type="http://schemas.openxmlformats.org/officeDocument/2006/relationships/hyperlink" Target="https://pmc.ncbi.nlm.nih.gov/articles/PMC12224330/" TargetMode="External" /><Relationship Id="RF" Type="http://schemas.openxmlformats.org/officeDocument/2006/relationships/hyperlink" Target="https://pmc.ncbi.nlm.nih.gov/articles/PMC12563139/" TargetMode="External" /><Relationship Id="R10" Type="http://schemas.openxmlformats.org/officeDocument/2006/relationships/hyperlink" Target="https://pmc.ncbi.nlm.nih.gov/articles/PMC12659176/" TargetMode="External" /><Relationship Id="R11" Type="http://schemas.openxmlformats.org/officeDocument/2006/relationships/hyperlink" Target="https://www.who.int/news-room/fact-sheets/detail/social-determinants-of-health" TargetMode="External" /><Relationship Id="R12" Type="http://schemas.openxmlformats.org/officeDocument/2006/relationships/hyperlink" Target="https://pmc.ncbi.nlm.nih.gov/articles/PMC10009371/" TargetMode="External" /><Relationship Id="R13" Type="http://schemas.openxmlformats.org/officeDocument/2006/relationships/hyperlink" Target="https://pmc.ncbi.nlm.nih.gov/articles/PMC12820823/" TargetMode="External" /><Relationship Id="R14" Type="http://schemas.openxmlformats.org/officeDocument/2006/relationships/hyperlink" Target="https://pmc.ncbi.nlm.nih.gov/articles/PMC12486175/" TargetMode="External" /><Relationship Id="R15" Type="http://schemas.openxmlformats.org/officeDocument/2006/relationships/hyperlink" Target="https://pmc.ncbi.nlm.nih.gov/articles/PMC12474581/" TargetMode="External" /><Relationship Id="R16" Type="http://schemas.openxmlformats.org/officeDocument/2006/relationships/hyperlink" Target="https://pmc.ncbi.nlm.nih.gov/articles/PMC9107388/" TargetMode="External" /><Relationship Id="R17" Type="http://schemas.openxmlformats.org/officeDocument/2006/relationships/hyperlink" Target="https://pmc.ncbi.nlm.nih.gov/articles/PMC12463724/" TargetMode="External" /><Relationship Id="R18" Type="http://schemas.openxmlformats.org/officeDocument/2006/relationships/hyperlink" Target="https://pmc.ncbi.nlm.nih.gov/articles/PMC12618686/" TargetMode="External" /><Relationship Id="R19" Type="http://schemas.openxmlformats.org/officeDocument/2006/relationships/hyperlink" Target="https://pmc.ncbi.nlm.nih.gov/articles/PMC10748771/" TargetMode="External" /><Relationship Id="R1A" Type="http://schemas.openxmlformats.org/officeDocument/2006/relationships/hyperlink" Target="https://pmc.ncbi.nlm.nih.gov/articles/PMC12664200/" TargetMode="External" /><Relationship Id="R1B" Type="http://schemas.openxmlformats.org/officeDocument/2006/relationships/hyperlink" Target="https://arxiv.org/abs/2602.20303" TargetMode="External" /><Relationship Id="R1C" Type="http://schemas.openxmlformats.org/officeDocument/2006/relationships/hyperlink" Target="https://digital.nhs.uk/data-and-information/publications/statistical/health-survey-for-england?utm_source=chatgpt.com" TargetMode="External" /><Relationship Id="R1D" Type="http://schemas.openxmlformats.org/officeDocument/2006/relationships/hyperlink" Target="https://digital.nhs.uk/services/national-child-measurement-programme/?utm_source=chatgpt.com" TargetMode="External" /><Relationship Id="R1E" Type="http://schemas.openxmlformats.org/officeDocument/2006/relationships/hyperlink" Target="https://www.nhs.uk/better-health/lose-weight/" TargetMode="External" /><Relationship Id="R1F" Type="http://schemas.openxmlformats.org/officeDocument/2006/relationships/hyperlink" Target="https://www.gov.uk/government/collections/obesity-statistics" TargetMode="External" /><Relationship Id="R20" Type="http://schemas.openxmlformats.org/officeDocument/2006/relationships/hyperlink" Target="https://pmc.ncbi.nlm.nih.gov/articles/PMC12139068/" TargetMode="External" /><Relationship Id="R21" Type="http://schemas.openxmlformats.org/officeDocument/2006/relationships/hyperlink" Target="https://www.nature.com/articles/s41366-021-01035-6" TargetMode="External" /><Relationship Id="R22" Type="http://schemas.openxmlformats.org/officeDocument/2006/relationships/hyperlink" Target="https://arxiv.org/abs/2508.05719" TargetMode="External" /><Relationship Id="R23" Type="http://schemas.openxmlformats.org/officeDocument/2006/relationships/hyperlink" Target="https://pmc.ncbi.nlm.nih.gov/articles/PMC12327652/" TargetMode="External" /><Relationship Id="R24" Type="http://schemas.openxmlformats.org/officeDocument/2006/relationships/hyperlink" Target="https://pmc.ncbi.nlm.nih.gov/articles/PMC12908065/?utm_source=chatgpt.com" TargetMode="External" /><Relationship Id="R25" Type="http://schemas.openxmlformats.org/officeDocument/2006/relationships/hyperlink" Target="https://arxiv.org/abs/2505.13503" TargetMode="External" /><Relationship Id="R26" Type="http://schemas.openxmlformats.org/officeDocument/2006/relationships/hyperlink" Target="https://commonslibrary.parliament.uk/research-briefings/sn03336/?utm_source=chatgpt.com" TargetMode="External" /><Relationship Id="R27" Type="http://schemas.openxmlformats.org/officeDocument/2006/relationships/hyperlink" Target="https://www.who.int/news-room/fact-sheets/detail/obesity-and-overweight" TargetMode="External" /><Relationship Id="RelFtr1" Type="http://schemas.openxmlformats.org/officeDocument/2006/relationships/footer" Target="footer1.xml" /><Relationship Id="RelFnt1" Type="http://schemas.openxmlformats.org/officeDocument/2006/relationships/footnotes" Target="footnotes.xml" /><Relationship Id="RelEnt1" Type="http://schemas.openxmlformats.org/officeDocument/2006/relationships/endnotes" Target="endnotes.xml" /><Relationship Id="RelStyle1" Type="http://schemas.openxmlformats.org/officeDocument/2006/relationships/styles" Target="styles.xml" /><Relationship Id="RelNum1" Type="http://schemas.openxmlformats.org/officeDocument/2006/relationships/numbering" Target="numbering.xml" /><Relationship Id="RelSettings1" Type="http://schemas.openxmlformats.org/officeDocument/2006/relationships/settings" Target="settings.xml" /><Relationship Id="RelTheme1" Type="http://schemas.openxmlformats.org/officeDocument/2006/relationships/theme" Target="theme/theme1.xml" /><Relationship Id="RelItem1" Type="http://schemas.openxmlformats.org/officeDocument/2006/relationships/customXml" Target="../customXml/item1.xml" /></Relationships>
</file>

<file path=word/_rels/endnotes.xml.rels>&#65279;<?xml version="1.0" encoding="utf-8"?><Relationships xmlns="http://schemas.openxmlformats.org/package/2006/relationships" />
</file>

<file path=word/_rels/footer1.xml.rels>&#65279;<?xml version="1.0" encoding="utf-8"?><Relationships xmlns="http://schemas.openxmlformats.org/package/2006/relationships" />
</file>

<file path=word/_rels/footnotes.xml.rels>&#65279;<?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tileRect/>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tileRect/>
        </a:gradFill>
      </a:fillStyleLst>
      <a:lnStyleLst>
        <a:ln w="6350" cmpd="sng" algn="ctr">
          <a:solidFill>
            <a:schemeClr val="phClr"/>
          </a:solidFill>
          <a:prstDash val="solid"/>
          <a:miter lim="800000"/>
        </a:ln>
        <a:ln w="12700" cmpd="sng" algn="ctr">
          <a:solidFill>
            <a:schemeClr val="phClr"/>
          </a:solidFill>
          <a:prstDash val="solid"/>
          <a:miter lim="800000"/>
        </a:ln>
        <a:ln w="19050"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tileRect/>
        </a:gradFill>
      </a:bgFillStyleLst>
    </a:fmtScheme>
  </a:themeElements>
</a:theme>
</file>

<file path=customXml/_rels/item1.xml.rels>&#65279;<?xml version="1.0" encoding="utf-8"?><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e10231-f4fc-4022-861b-c6377948b4e0}">
  <ds:schemaRefs>
    <ds:schemaRef ds:uri="http://schemas.microsoft.com/vsto/samples"/>
  </ds:schemaRefs>
</ds:datastoreItem>
</file>

<file path=docProps/app.xml><?xml version="1.0" encoding="utf-8"?>
<Properties xmlns="http://schemas.openxmlformats.org/officeDocument/2006/extended-properties">
  <Application>DevExpress Office File API/24.1.6.0</Application>
  <AppVersion>24.1</AppVersion>
  <Template>Normal</Template>
</Properties>
</file>

<file path=docProps/core.xml><?xml version="1.0" encoding="utf-8"?>
<cp:coreProperties xmlns:dc="http://purl.org/dc/elements/1.1/" xmlns:dcterms="http://purl.org/dc/terms/" xmlns:dcmitype="http://purl.org/dc/dcmitype/" xmlns:xsi="http://www.w3.org/2001/XMLSchema-instance" xmlns:cp="http://schemas.openxmlformats.org/package/2006/metadata/core-properties">
  <dc:creator>Muhammed Atif Sajid Banglawala</dc:creator>
  <dcterms:created xsi:type="dcterms:W3CDTF">2026-03-23T01:29:43Z</dcterms:created>
  <cp:lastModifiedBy>Muhammed Atif Sajid Banglawala</cp:lastModifiedBy>
  <dcterms:modified xsi:type="dcterms:W3CDTF">2026-03-23T01:29:43Z</dcterms:modified>
  <cp:revision>2</cp:revision>
</cp:coreProperties>
</file>

<file path=docProps/custom.xml><?xml version="1.0" encoding="utf-8"?>
<Properties xmlns:vt="http://schemas.openxmlformats.org/officeDocument/2006/docPropsVTypes" xmlns="http://schemas.openxmlformats.org/officeDocument/2006/custom-properties">
  <property fmtid="{D5CDD505-2E9C-101B-9397-08002B2CF9AE}" pid="2" name="GrammarlyDocumentId">
    <vt:lpwstr>dae14dc4-efed-4263-81a7-e8e935c37fc3</vt:lpwstr>
  </property>
</Properties>
</file>