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038C8" w14:textId="77777777" w:rsidR="0011724C" w:rsidRDefault="0011724C" w:rsidP="0011724C">
      <w:pPr>
        <w:pStyle w:val="ReportTitle"/>
      </w:pPr>
      <w:r>
        <w:t>COMMUNICATION, ADMINISTRATION AND COLLABORATIVE WORKING</w:t>
      </w:r>
      <w:r>
        <w:br/>
        <w:t>IN THE CARE OF MRS THOMPSON</w:t>
      </w:r>
    </w:p>
    <w:p w14:paraId="71F038C9" w14:textId="77777777" w:rsidR="0011724C" w:rsidRDefault="0011724C" w:rsidP="0011724C">
      <w:pPr>
        <w:jc w:val="both"/>
      </w:pPr>
    </w:p>
    <w:p w14:paraId="71F038CA" w14:textId="77777777" w:rsidR="0011724C" w:rsidRDefault="0011724C" w:rsidP="0011724C">
      <w:pPr>
        <w:jc w:val="both"/>
      </w:pPr>
    </w:p>
    <w:p w14:paraId="71F038CB" w14:textId="77777777" w:rsidR="0011724C" w:rsidRDefault="0011724C" w:rsidP="0011724C">
      <w:pPr>
        <w:jc w:val="both"/>
      </w:pPr>
    </w:p>
    <w:p w14:paraId="71F038CC" w14:textId="7D7F322E" w:rsidR="0011724C" w:rsidRDefault="0011724C" w:rsidP="0011724C">
      <w:pPr>
        <w:jc w:val="both"/>
      </w:pPr>
      <w:r>
        <w:rPr>
          <w:b/>
          <w:color w:val="000000"/>
        </w:rPr>
        <w:t xml:space="preserve">Student Name: </w:t>
      </w:r>
      <w:r w:rsidR="005E065E">
        <w:rPr>
          <w:b/>
          <w:color w:val="000000"/>
        </w:rPr>
        <w:t>Stephanie L. Chasteau-Nicholas</w:t>
      </w:r>
    </w:p>
    <w:p w14:paraId="71F038CD" w14:textId="0C85C8C8" w:rsidR="0011724C" w:rsidRDefault="0011724C" w:rsidP="0011724C">
      <w:pPr>
        <w:jc w:val="both"/>
      </w:pPr>
      <w:r>
        <w:rPr>
          <w:b/>
          <w:color w:val="000000"/>
        </w:rPr>
        <w:t xml:space="preserve">Student Number: </w:t>
      </w:r>
      <w:r w:rsidR="00767C27">
        <w:rPr>
          <w:b/>
          <w:color w:val="000000"/>
        </w:rPr>
        <w:t>2509863</w:t>
      </w:r>
    </w:p>
    <w:p w14:paraId="71F038CE" w14:textId="44A8CACC" w:rsidR="0011724C" w:rsidRDefault="0011724C" w:rsidP="0011724C">
      <w:pPr>
        <w:jc w:val="both"/>
      </w:pPr>
      <w:r>
        <w:rPr>
          <w:b/>
          <w:color w:val="000000"/>
        </w:rPr>
        <w:t xml:space="preserve">Module Code: </w:t>
      </w:r>
      <w:r w:rsidR="00767C27" w:rsidRPr="00767C27">
        <w:rPr>
          <w:b/>
          <w:color w:val="000000"/>
        </w:rPr>
        <w:t>LCHS4003</w:t>
      </w:r>
    </w:p>
    <w:p w14:paraId="71F038CF" w14:textId="03DF98B3" w:rsidR="0011724C" w:rsidRDefault="0011724C" w:rsidP="0011724C">
      <w:pPr>
        <w:jc w:val="both"/>
      </w:pPr>
      <w:r>
        <w:rPr>
          <w:b/>
          <w:color w:val="000000"/>
        </w:rPr>
        <w:t xml:space="preserve">Module Title: </w:t>
      </w:r>
      <w:r w:rsidR="00314A3C" w:rsidRPr="00314A3C">
        <w:rPr>
          <w:b/>
          <w:color w:val="000000"/>
        </w:rPr>
        <w:t>Introduction to Health and Social Care</w:t>
      </w:r>
    </w:p>
    <w:p w14:paraId="71F038D0" w14:textId="77777777" w:rsidR="0011724C" w:rsidRDefault="0011724C" w:rsidP="0011724C">
      <w:pPr>
        <w:jc w:val="both"/>
      </w:pPr>
      <w:r>
        <w:rPr>
          <w:b/>
          <w:color w:val="000000"/>
        </w:rPr>
        <w:t xml:space="preserve">Lecturer's Name: </w:t>
      </w:r>
    </w:p>
    <w:p w14:paraId="71F038D1" w14:textId="77777777" w:rsidR="0011724C" w:rsidRDefault="0011724C" w:rsidP="0011724C">
      <w:pPr>
        <w:jc w:val="both"/>
      </w:pPr>
      <w:r>
        <w:rPr>
          <w:b/>
          <w:color w:val="000000"/>
        </w:rPr>
        <w:t xml:space="preserve">Assignment Title: </w:t>
      </w:r>
      <w:proofErr w:type="spellStart"/>
      <w:r>
        <w:rPr>
          <w:color w:val="000000"/>
        </w:rPr>
        <w:t>Mrs</w:t>
      </w:r>
      <w:proofErr w:type="spellEnd"/>
      <w:r>
        <w:rPr>
          <w:color w:val="000000"/>
        </w:rPr>
        <w:t xml:space="preserve"> Thompson Case Study Report</w:t>
      </w:r>
    </w:p>
    <w:p w14:paraId="71F038D2" w14:textId="77777777" w:rsidR="0011724C" w:rsidRDefault="0011724C" w:rsidP="0011724C">
      <w:pPr>
        <w:jc w:val="both"/>
      </w:pPr>
    </w:p>
    <w:p w14:paraId="71F038D3" w14:textId="77777777" w:rsidR="0011724C" w:rsidRDefault="0011724C" w:rsidP="0011724C">
      <w:pPr>
        <w:jc w:val="both"/>
      </w:pPr>
      <w:r>
        <w:rPr>
          <w:color w:val="000000"/>
        </w:rPr>
        <w:br w:type="page"/>
      </w:r>
    </w:p>
    <w:p w14:paraId="71F038D4" w14:textId="77777777" w:rsidR="0011724C" w:rsidRDefault="0011724C" w:rsidP="0011724C">
      <w:pPr>
        <w:jc w:val="both"/>
        <w:rPr>
          <w:rFonts w:eastAsia="Times New Roman" w:cs="Arial"/>
          <w:szCs w:val="24"/>
        </w:rPr>
      </w:pPr>
      <w:r w:rsidRPr="0011724C">
        <w:rPr>
          <w:rFonts w:eastAsia="Times New Roman" w:cs="Arial"/>
          <w:b/>
          <w:szCs w:val="24"/>
        </w:rPr>
        <w:lastRenderedPageBreak/>
        <w:t>Introduction</w:t>
      </w:r>
      <w:r w:rsidRPr="00BA6F21">
        <w:rPr>
          <w:rFonts w:eastAsia="Times New Roman" w:cs="Arial"/>
          <w:b/>
          <w:szCs w:val="24"/>
        </w:rPr>
        <w:t xml:space="preserve"> </w:t>
      </w:r>
      <w:r w:rsidRPr="00BA6F21">
        <w:rPr>
          <w:rFonts w:eastAsia="Times New Roman" w:cs="Arial"/>
          <w:szCs w:val="24"/>
        </w:rPr>
        <w:br/>
        <w:t xml:space="preserve">Mrs. Thompson's scenario demonstrates the interconnectedness of communication, administrative functions, and cooperative effort in the realm of health and social care. She is 84, has recuperated from pneumonia and returned home, lives independently with twice-daily in-home care, and has slight dementia. Missing medication for two consecutive days has caused greater disorientation, while being located outside without proper clothing raises alarms about cognitive health, self-care, environmental threats, and the effectiveness of support systems. A responsible reaction involves more than simply reminding her to ingest her medications. Team members should interact in a fashion that preserves dignity and encourages clarity, retain thorough records that permit the monitoring of risks and actions, and align decisions within health, social care, and family networks. This study integrates the Equality Act 2010, the Mental Capacity Act 2005, the Data Protection Act 2018, the Care Act 2014, and appropriate professional directives into Mrs. Thompson's care, applying the Calgary-Cambridge communication model to arrange interactions focused on the individual. </w:t>
      </w:r>
    </w:p>
    <w:p w14:paraId="71F038D5" w14:textId="77777777" w:rsidR="0011724C" w:rsidRDefault="0011724C" w:rsidP="0011724C">
      <w:pPr>
        <w:jc w:val="both"/>
        <w:rPr>
          <w:rFonts w:eastAsia="Times New Roman" w:cs="Arial"/>
          <w:b/>
          <w:bCs/>
          <w:szCs w:val="24"/>
        </w:rPr>
      </w:pPr>
      <w:r w:rsidRPr="00A57B98">
        <w:rPr>
          <w:rFonts w:eastAsia="Times New Roman" w:cs="Arial"/>
          <w:b/>
          <w:bCs/>
          <w:szCs w:val="24"/>
        </w:rPr>
        <w:br/>
        <w:t xml:space="preserve">1. Efficacious dialogue in the care administered by Mrs. Thompson </w:t>
      </w:r>
    </w:p>
    <w:p w14:paraId="690345AD" w14:textId="77777777" w:rsidR="00A57B98" w:rsidRPr="00A57B98" w:rsidRDefault="00A57B98" w:rsidP="0011724C">
      <w:pPr>
        <w:jc w:val="both"/>
        <w:rPr>
          <w:rFonts w:eastAsia="Times New Roman" w:cs="Arial"/>
          <w:b/>
          <w:bCs/>
          <w:szCs w:val="24"/>
        </w:rPr>
      </w:pPr>
    </w:p>
    <w:p w14:paraId="71F038D6" w14:textId="77777777" w:rsidR="0011724C" w:rsidRDefault="0011724C" w:rsidP="0011724C">
      <w:pPr>
        <w:jc w:val="both"/>
        <w:rPr>
          <w:rFonts w:eastAsia="Times New Roman" w:cs="Arial"/>
          <w:szCs w:val="24"/>
        </w:rPr>
      </w:pPr>
      <w:r w:rsidRPr="00BA6F21">
        <w:rPr>
          <w:rFonts w:eastAsia="Times New Roman" w:cs="Arial"/>
          <w:szCs w:val="24"/>
        </w:rPr>
        <w:t xml:space="preserve">Effective communication has great importance since Mrs. Thompson's mild dementia may impact her memory, focus, and cognitive processing speed, while it does not inherently diminish her decision-making abilities. Under the provisions of the Mental Capacity Act 2005, it is essential to assume capacity unless assessments demonstrate otherwise, and practical help ought to be rendered before deciding that she lacks decision-making ability (Great Britain, 2005). Staff members must engage with Mrs. Thompson directly rather than making remarks about her while she is present. A peaceful environment, one speaker sequentially, succinct phrases, common language, proper intervals, and one inquiry at a time can mitigate overload. Details about medications should be broken down into smaller components and validated through teach-back, for example, by requesting her to describe when she will consume each drug. Inscribed directives, a prominent calendar, marked medications, or a prearranged reminder may bolster independence. Customized communication for dementia patients is improved by altering language, rhythm, setting, and non-verbal expressions to align with the individual’s needs. </w:t>
      </w:r>
    </w:p>
    <w:p w14:paraId="71F038D7" w14:textId="77777777" w:rsidR="0011724C" w:rsidRDefault="0011724C" w:rsidP="0011724C">
      <w:pPr>
        <w:jc w:val="both"/>
        <w:rPr>
          <w:rFonts w:eastAsia="Times New Roman" w:cs="Arial"/>
          <w:szCs w:val="24"/>
        </w:rPr>
      </w:pPr>
      <w:r w:rsidRPr="00BA6F21">
        <w:rPr>
          <w:rFonts w:eastAsia="Times New Roman" w:cs="Arial"/>
          <w:szCs w:val="24"/>
        </w:rPr>
        <w:t xml:space="preserve">The Equality Act 2010 defends Mrs. Thompson from discriminatory practices, since age and disability are deemed protected characteristics, requiring service providers to make appropriate changes (Great Britain, 2010). This may require extending time allowances, planning visits at her most attentive moments, verifying her hearing and eyesight, delivering information in an accessible manner, and steering clear of the belief that perplexity signifies incapacity. Due to her recent pneumonia, she may feel exhausted, so conversation should be </w:t>
      </w:r>
      <w:r w:rsidRPr="00BA6F21">
        <w:rPr>
          <w:rFonts w:eastAsia="Times New Roman" w:cs="Arial"/>
          <w:szCs w:val="24"/>
        </w:rPr>
        <w:lastRenderedPageBreak/>
        <w:t xml:space="preserve">conducted at a measured pace. Expressions like "non-compliant" should be avoided until employees have examined whether missing doses were caused by memory difficulties, adverse effects, unclear guidance, packaging issues, or a disturbed schedule. </w:t>
      </w:r>
      <w:r w:rsidRPr="00BA6F21">
        <w:rPr>
          <w:rFonts w:eastAsia="Times New Roman" w:cs="Arial"/>
          <w:szCs w:val="24"/>
        </w:rPr>
        <w:br/>
        <w:t xml:space="preserve">The Calgary-Cambridge paradigm supplies a practical structure. Team members should disclose their identities, establish Mrs. Thompson's preferred appellation, and outline the objectives of the visit. They are to assemble facts by open questions about the incident, followed by precise inquiries regarding medication, confusion, respiration, food, fluids, and the external situation. As they foster the relationship, staff members must acknowledge concern, observe non-verbal communication, and encapsulate their interpretations. While articulating and organizing, they should address the medication review, establish practical cues, and verify the danger signals that call for prompt aid. The exchange should wrap up with a succinct overview and specified contact individual. Although created for clinical interactions, the approach enhances coordinated, patient-centric communication among diverse professional teams (Hastings, 2024). </w:t>
      </w:r>
    </w:p>
    <w:p w14:paraId="71F038D8" w14:textId="77777777" w:rsidR="0011724C" w:rsidRPr="00BA6F21" w:rsidRDefault="0011724C" w:rsidP="0011724C">
      <w:pPr>
        <w:jc w:val="both"/>
        <w:rPr>
          <w:rFonts w:eastAsia="Times New Roman" w:cs="Arial"/>
          <w:szCs w:val="24"/>
        </w:rPr>
      </w:pPr>
      <w:r w:rsidRPr="00BA6F21">
        <w:rPr>
          <w:rFonts w:eastAsia="Times New Roman" w:cs="Arial"/>
          <w:szCs w:val="24"/>
        </w:rPr>
        <w:t>Involvement of family can facilitate continuity, however it requires Mrs. Thompson's approval while she is capable. Team members must determine whom she prefers to involve and what details may be revealed. Relations can characterize standard behavior, provide routine support, and recognize deterioration, but they should not overshadow her voice. In the event that she lacks the capacity for a certain decision, they should be consulted within a formally documented best-interests procedure, rather than being considered automatic decision-makers unless they have legal authority. Any contention must be addressed thoughtfully and logged, keeping Mrs. Thompson's intentions at the forefront. This upholds discretion, personal freedom, and safety.</w:t>
      </w:r>
    </w:p>
    <w:p w14:paraId="71F038D9" w14:textId="77777777" w:rsidR="0011724C" w:rsidRDefault="0011724C" w:rsidP="0011724C">
      <w:pPr>
        <w:pStyle w:val="ReportHeading"/>
        <w:jc w:val="both"/>
      </w:pPr>
      <w:r>
        <w:t>2. Administrative skills and record keeping</w:t>
      </w:r>
    </w:p>
    <w:p w14:paraId="71F038DA" w14:textId="77777777" w:rsidR="0011724C" w:rsidRDefault="0011724C" w:rsidP="0011724C">
      <w:pPr>
        <w:jc w:val="both"/>
        <w:rPr>
          <w:rFonts w:eastAsia="Times New Roman" w:cs="Arial"/>
        </w:rPr>
      </w:pPr>
      <w:r w:rsidRPr="00396B41">
        <w:rPr>
          <w:rFonts w:eastAsia="Times New Roman" w:cs="Arial"/>
        </w:rPr>
        <w:t xml:space="preserve">Effective management transforms individual observations into a trustworthy narrative of Mrs. Thompson's treatment. Personnel must document the dates and dosages missed, the individual who identified the issue, her presentation, observations made, counsel obtained, actions undertaken, and the result. The medication administration record must indicate omissions with the appropriate code and explanatory remark, instead of being filled out as if the medication was administered. The incident documentation, medication evaluation request, treatment strategy, and risk assessments must be interconnected to ensure subsequent personnel comprehend the events that transpired. The external event must be documented impartially, encompassing the site, atmospheric conditions, attire, observable disorientation, prompt assistance, and any protective recommendations. This is significant as abrupt disorientation following pneumonia may suggest infection, delirium, dehydration, or adverse medication effects, necessitating clinical evaluation. </w:t>
      </w:r>
    </w:p>
    <w:p w14:paraId="71F038DB" w14:textId="77777777" w:rsidR="0011724C" w:rsidRDefault="0011724C" w:rsidP="0011724C">
      <w:pPr>
        <w:jc w:val="both"/>
        <w:rPr>
          <w:rFonts w:eastAsia="Times New Roman" w:cs="Arial"/>
        </w:rPr>
      </w:pPr>
      <w:r w:rsidRPr="00396B41">
        <w:rPr>
          <w:rFonts w:eastAsia="Times New Roman" w:cs="Arial"/>
        </w:rPr>
        <w:lastRenderedPageBreak/>
        <w:t xml:space="preserve">Regulation 17 of the Health and Social Care Act 2008 (Regulated Activities) Regulations 2014 mandates the maintenance of secure, precise, comprehensive, and timely records with governance frameworks that mitigate risk (Care Quality Commission, 2025a). Submissions must be accurate, timestamped, credited, timely, and devoid of ambiguous acronyms. Amendments must maintain the integrity of the original record and audit trail. Medication documentation must be consistently safeguarded, precise, and current (Care Quality Commission, 2025b). Inadequate documentation may result in repeated doses, overlooked escalations, erratic care, or an incapacity to demonstrate that issues were resolved. Handover documentation must differentiate between factual observations and professional assessments while also highlighting incomplete tasks. </w:t>
      </w:r>
    </w:p>
    <w:p w14:paraId="71F038DC" w14:textId="77777777" w:rsidR="0011724C" w:rsidRDefault="0011724C" w:rsidP="0011724C">
      <w:pPr>
        <w:jc w:val="both"/>
        <w:rPr>
          <w:rFonts w:eastAsia="Times New Roman" w:cs="Arial"/>
        </w:rPr>
      </w:pPr>
      <w:r w:rsidRPr="00396B41">
        <w:rPr>
          <w:rFonts w:eastAsia="Times New Roman" w:cs="Arial"/>
        </w:rPr>
        <w:t xml:space="preserve">The Data Protection Act 2018 and UK GDPR regulate Mrs. Thompson's personal and health data (Great Britain, 2018; Information Commissioner’s Office, 2023). Their tenets necessitate legality, equity, and clarity; restricted purpose; data reduction; precision; retention limitation; integrity and secrecy; and responsibility. As health information constitutes special-category data, the provider requires a legitimate basis and an extra criterion for processing related to health or social care. Only pertinent information ought to be gathered, and Mrs. Thompson must be explicitly informed of its intended purpose. Access to records must be restricted to authorized personnel, safeguarded by passwords and role-specific permissions, and should never be publicly disclosed or retained on personal devices. Physical documents must be securely stored, but digital systems require protected access, data backups, and audit logs. Personnel must promptly notify any suspected loss, misdirection, or unauthorized access in accordance with organizational breach protocols. </w:t>
      </w:r>
    </w:p>
    <w:p w14:paraId="71F038DD" w14:textId="77777777" w:rsidR="0011724C" w:rsidRPr="00396B41" w:rsidRDefault="0011724C" w:rsidP="0011724C">
      <w:pPr>
        <w:jc w:val="both"/>
        <w:rPr>
          <w:rFonts w:eastAsia="Times New Roman" w:cs="Arial"/>
        </w:rPr>
      </w:pPr>
      <w:r w:rsidRPr="00396B41">
        <w:rPr>
          <w:rFonts w:eastAsia="Times New Roman" w:cs="Arial"/>
        </w:rPr>
        <w:t>Data protection does not inhibit essential sharing. Details on neglected medicine, deteriorating confusion, and exposure to cold may be communicated appropriately to the general practitioner, community nurse, pharmacist, home care team, and local authorities for the purposes of direct treatment or safeguarding. Personnel ought to refrain from transmitting a whole record when a concise summary will suffice. The NHS Records Management Code of Practice provides direction on the preservation and lifecycle management of records (NHS England, 2021). The administrative review must verify that the prescription inventory, consent preferences, risk evaluations, and care-call directives are up to date. A management ought to evaluate if the incident resulted in actionable measures, insights, and subsequent follow-up instead of only finalized documentation.</w:t>
      </w:r>
    </w:p>
    <w:p w14:paraId="71F038DE" w14:textId="77777777" w:rsidR="0011724C" w:rsidRDefault="0011724C" w:rsidP="0011724C">
      <w:pPr>
        <w:pStyle w:val="ReportHeading"/>
        <w:jc w:val="both"/>
      </w:pPr>
      <w:r>
        <w:t>3. Collaborative working with other professionals</w:t>
      </w:r>
    </w:p>
    <w:p w14:paraId="71F038DF" w14:textId="77777777" w:rsidR="0011724C" w:rsidRDefault="0011724C" w:rsidP="0011724C">
      <w:pPr>
        <w:jc w:val="both"/>
        <w:rPr>
          <w:rFonts w:eastAsia="Times New Roman" w:cs="Arial"/>
          <w:szCs w:val="24"/>
        </w:rPr>
      </w:pPr>
      <w:r w:rsidRPr="00CB7BA9">
        <w:rPr>
          <w:rFonts w:eastAsia="Times New Roman" w:cs="Arial"/>
          <w:szCs w:val="24"/>
        </w:rPr>
        <w:t xml:space="preserve">Mrs. Thompson's requirements transcend organizational limits, necessitating cooperation. The general practitioner ought to evaluate heightened disorientation, examine medications, and contemplate the possibility of infection or delirium. A pharmacist can streamline the </w:t>
      </w:r>
      <w:r w:rsidRPr="00CB7BA9">
        <w:rPr>
          <w:rFonts w:eastAsia="Times New Roman" w:cs="Arial"/>
          <w:szCs w:val="24"/>
        </w:rPr>
        <w:lastRenderedPageBreak/>
        <w:t xml:space="preserve">treatment plan and provide guidance on packaging. The community nurse is capable of overseeing pneumonia recovery, hydration levels, cognitive function, and physical assessments, whilst home care workers can administer prescribed medication assistance, check daily variations, and report any missing doses. The municipal agency or social worker ought to assess the outdoor occurrence, domestic safety, potential self-neglect, and the adequacy of bi-daily visits. Mrs. Thompson and, with approval, her family ought to be involved continuously. </w:t>
      </w:r>
    </w:p>
    <w:p w14:paraId="71F038E0" w14:textId="77777777" w:rsidR="0011724C" w:rsidRDefault="0011724C" w:rsidP="0011724C">
      <w:pPr>
        <w:jc w:val="both"/>
        <w:rPr>
          <w:rFonts w:eastAsia="Times New Roman" w:cs="Arial"/>
          <w:szCs w:val="24"/>
        </w:rPr>
      </w:pPr>
      <w:r w:rsidRPr="00CB7BA9">
        <w:rPr>
          <w:rFonts w:eastAsia="Times New Roman" w:cs="Arial"/>
          <w:szCs w:val="24"/>
        </w:rPr>
        <w:t>The team ought to implement a singular person-</w:t>
      </w:r>
      <w:proofErr w:type="spellStart"/>
      <w:r w:rsidRPr="00CB7BA9">
        <w:rPr>
          <w:rFonts w:eastAsia="Times New Roman" w:cs="Arial"/>
          <w:szCs w:val="24"/>
        </w:rPr>
        <w:t>centred</w:t>
      </w:r>
      <w:proofErr w:type="spellEnd"/>
      <w:r w:rsidRPr="00CB7BA9">
        <w:rPr>
          <w:rFonts w:eastAsia="Times New Roman" w:cs="Arial"/>
          <w:szCs w:val="24"/>
        </w:rPr>
        <w:t xml:space="preserve"> care plan, designate a specific coordinator, delineate clear tasks, and establish mutually agreed-upon escalation thresholds. A comprehensive assessment including several disciplines could determine the individual responsible for medication verification, the person who communicates with the general practitioner following an oversight, and the course of action if the patient's perplexity escalates or if Mrs. Thompson departs her residence unsafely. Organized transitions like SBAR, collaborative care documentation, and closed-loop communication diminish uncertainty. The Care Act 2014 encourages collaboration among pertinent stakeholders to protect persons requiring care and support (Great Britain, 2014). Evidence from community care also highlights the significance of trust, clarity of roles, consistent communication, and common objectives for successful interprofessional collaboration (O’Donnell et al., 2025). Decisions and pending tasks must be documented in writing post-meetings to ensure accountability among agencies. </w:t>
      </w:r>
    </w:p>
    <w:p w14:paraId="71F038E1" w14:textId="77777777" w:rsidR="0011724C" w:rsidRPr="00CB7BA9" w:rsidRDefault="0011724C" w:rsidP="0011724C">
      <w:pPr>
        <w:jc w:val="both"/>
        <w:rPr>
          <w:rFonts w:eastAsia="Times New Roman" w:cs="Arial"/>
          <w:szCs w:val="24"/>
        </w:rPr>
      </w:pPr>
      <w:r w:rsidRPr="00CB7BA9">
        <w:rPr>
          <w:rFonts w:eastAsia="Times New Roman" w:cs="Arial"/>
          <w:szCs w:val="24"/>
        </w:rPr>
        <w:t>Obstacles encompass discordant electronic systems, ambiguous delineations, transition intervals, sluggish reactions, apprehension about confidentiality, and presuppositions that another organization will intervene. These issues can be resolved through designated accountability for activities, secure information-sharing protocols, scheduled review dates, direct communication channels, and constructive criticism. Collaborative training and brief case-review sessions can enhance comprehension of each profession's responsibilities. Pharmaceutical assistance should align with evaluated requirements, as individuals with dementia experience heightened challenges in autonomously managing their medications (Wang, Cheng and Li, 2025). Success need to be evaluated based on Mrs. Thompson's receipt of ongoing assistance, her avoidance of avoidable detriment, and her continued participation in decision-making.</w:t>
      </w:r>
    </w:p>
    <w:p w14:paraId="71F038E2" w14:textId="77777777" w:rsidR="0011724C" w:rsidRDefault="0011724C" w:rsidP="0011724C">
      <w:pPr>
        <w:pStyle w:val="ReportHeading"/>
        <w:jc w:val="both"/>
      </w:pPr>
      <w:r>
        <w:t>Conclusion</w:t>
      </w:r>
    </w:p>
    <w:p w14:paraId="71F038E3" w14:textId="77777777" w:rsidR="0011724C" w:rsidRDefault="0011724C" w:rsidP="0011724C">
      <w:pPr>
        <w:jc w:val="both"/>
        <w:rPr>
          <w:rFonts w:eastAsia="Times New Roman" w:cs="Arial"/>
          <w:szCs w:val="24"/>
        </w:rPr>
      </w:pPr>
      <w:r w:rsidRPr="00CB7BA9">
        <w:rPr>
          <w:rFonts w:eastAsia="Times New Roman" w:cs="Arial"/>
          <w:szCs w:val="24"/>
        </w:rPr>
        <w:t xml:space="preserve">Mrs. Thompson's situation illustrates that secure community care relies on the integration of communication, administration, and collaboration as a cohesive system. Communication must be composed, approachable, and tailored to her, utilizing the Calgary-Cambridge framework to guide the discussion of issues, elucidation of alternatives, and consensus on a strategy. </w:t>
      </w:r>
      <w:r w:rsidRPr="00CB7BA9">
        <w:rPr>
          <w:rFonts w:eastAsia="Times New Roman" w:cs="Arial"/>
          <w:szCs w:val="24"/>
        </w:rPr>
        <w:lastRenderedPageBreak/>
        <w:t>Modifications mandated by the Equality Act 2010 and tailored practices dictated by the Mental Capacity Act 2005 safeguard dignity in addressing dementia-related requirements. The administration is required to generate prompt, accurate, and secure documentation of missed medications, misunderstandings, the outdoor event, escalation, and subsequent actions. Implementing the Data Protection Act 2018 and UK GDPR necessitates keeping secrecy while ensuring that the apprehension of sharing does not hinder direct care or protection. The general practitioner, pharmacist, community nurse, home care personnel, local government, Mrs. Thompson, and her selected family members ought to collaborate based on a unified plan with designated roles. This collaborative strategy can avert additional oversights, detect decline promptly, and assist her in staying securely at home.</w:t>
      </w:r>
    </w:p>
    <w:p w14:paraId="127C689A" w14:textId="77777777" w:rsidR="00A57B98" w:rsidRDefault="00A57B98" w:rsidP="0011724C">
      <w:pPr>
        <w:jc w:val="both"/>
        <w:rPr>
          <w:rFonts w:eastAsia="Times New Roman" w:cs="Arial"/>
          <w:szCs w:val="24"/>
        </w:rPr>
      </w:pPr>
    </w:p>
    <w:p w14:paraId="3EE4A853" w14:textId="77777777" w:rsidR="00A57B98" w:rsidRDefault="00A57B98" w:rsidP="0011724C">
      <w:pPr>
        <w:jc w:val="both"/>
        <w:rPr>
          <w:rFonts w:eastAsia="Times New Roman" w:cs="Arial"/>
          <w:szCs w:val="24"/>
        </w:rPr>
      </w:pPr>
    </w:p>
    <w:p w14:paraId="3C8EFD0B" w14:textId="77777777" w:rsidR="00A57B98" w:rsidRDefault="00A57B98" w:rsidP="0011724C">
      <w:pPr>
        <w:jc w:val="both"/>
        <w:rPr>
          <w:rFonts w:eastAsia="Times New Roman" w:cs="Arial"/>
          <w:szCs w:val="24"/>
        </w:rPr>
      </w:pPr>
    </w:p>
    <w:p w14:paraId="749B1F75" w14:textId="77777777" w:rsidR="00A57B98" w:rsidRDefault="00A57B98" w:rsidP="0011724C">
      <w:pPr>
        <w:jc w:val="both"/>
        <w:rPr>
          <w:rFonts w:eastAsia="Times New Roman" w:cs="Arial"/>
          <w:szCs w:val="24"/>
        </w:rPr>
      </w:pPr>
    </w:p>
    <w:p w14:paraId="3009E881" w14:textId="77777777" w:rsidR="00A57B98" w:rsidRDefault="00A57B98" w:rsidP="0011724C">
      <w:pPr>
        <w:jc w:val="both"/>
        <w:rPr>
          <w:rFonts w:eastAsia="Times New Roman" w:cs="Arial"/>
          <w:szCs w:val="24"/>
        </w:rPr>
      </w:pPr>
    </w:p>
    <w:p w14:paraId="58495C46" w14:textId="77777777" w:rsidR="00A57B98" w:rsidRDefault="00A57B98" w:rsidP="0011724C">
      <w:pPr>
        <w:jc w:val="both"/>
        <w:rPr>
          <w:rFonts w:eastAsia="Times New Roman" w:cs="Arial"/>
          <w:szCs w:val="24"/>
        </w:rPr>
      </w:pPr>
    </w:p>
    <w:p w14:paraId="0B091CD3" w14:textId="77777777" w:rsidR="00A57B98" w:rsidRDefault="00A57B98" w:rsidP="0011724C">
      <w:pPr>
        <w:jc w:val="both"/>
        <w:rPr>
          <w:rFonts w:eastAsia="Times New Roman" w:cs="Arial"/>
          <w:szCs w:val="24"/>
        </w:rPr>
      </w:pPr>
    </w:p>
    <w:p w14:paraId="56138AB2" w14:textId="77777777" w:rsidR="00A57B98" w:rsidRDefault="00A57B98" w:rsidP="0011724C">
      <w:pPr>
        <w:jc w:val="both"/>
        <w:rPr>
          <w:rFonts w:eastAsia="Times New Roman" w:cs="Arial"/>
          <w:szCs w:val="24"/>
        </w:rPr>
      </w:pPr>
    </w:p>
    <w:p w14:paraId="4DBEB85D" w14:textId="77777777" w:rsidR="00A57B98" w:rsidRDefault="00A57B98" w:rsidP="0011724C">
      <w:pPr>
        <w:jc w:val="both"/>
        <w:rPr>
          <w:rFonts w:eastAsia="Times New Roman" w:cs="Arial"/>
          <w:szCs w:val="24"/>
        </w:rPr>
      </w:pPr>
    </w:p>
    <w:p w14:paraId="0F2C7EB6" w14:textId="77777777" w:rsidR="00A57B98" w:rsidRDefault="00A57B98" w:rsidP="0011724C">
      <w:pPr>
        <w:jc w:val="both"/>
        <w:rPr>
          <w:rFonts w:eastAsia="Times New Roman" w:cs="Arial"/>
          <w:szCs w:val="24"/>
        </w:rPr>
      </w:pPr>
    </w:p>
    <w:p w14:paraId="3014D38B" w14:textId="77777777" w:rsidR="00A57B98" w:rsidRDefault="00A57B98" w:rsidP="0011724C">
      <w:pPr>
        <w:jc w:val="both"/>
        <w:rPr>
          <w:rFonts w:eastAsia="Times New Roman" w:cs="Arial"/>
          <w:szCs w:val="24"/>
        </w:rPr>
      </w:pPr>
    </w:p>
    <w:p w14:paraId="004278D6" w14:textId="77777777" w:rsidR="00A57B98" w:rsidRDefault="00A57B98" w:rsidP="0011724C">
      <w:pPr>
        <w:jc w:val="both"/>
        <w:rPr>
          <w:rFonts w:eastAsia="Times New Roman" w:cs="Arial"/>
          <w:szCs w:val="24"/>
        </w:rPr>
      </w:pPr>
    </w:p>
    <w:p w14:paraId="6E537F88" w14:textId="77777777" w:rsidR="00A57B98" w:rsidRDefault="00A57B98" w:rsidP="0011724C">
      <w:pPr>
        <w:jc w:val="both"/>
        <w:rPr>
          <w:rFonts w:eastAsia="Times New Roman" w:cs="Arial"/>
          <w:szCs w:val="24"/>
        </w:rPr>
      </w:pPr>
    </w:p>
    <w:p w14:paraId="6ECABC1A" w14:textId="77777777" w:rsidR="00A57B98" w:rsidRDefault="00A57B98" w:rsidP="0011724C">
      <w:pPr>
        <w:jc w:val="both"/>
        <w:rPr>
          <w:rFonts w:eastAsia="Times New Roman" w:cs="Arial"/>
          <w:szCs w:val="24"/>
        </w:rPr>
      </w:pPr>
    </w:p>
    <w:p w14:paraId="5D130393" w14:textId="77777777" w:rsidR="00A57B98" w:rsidRDefault="00A57B98" w:rsidP="0011724C">
      <w:pPr>
        <w:jc w:val="both"/>
        <w:rPr>
          <w:rFonts w:eastAsia="Times New Roman" w:cs="Arial"/>
          <w:szCs w:val="24"/>
        </w:rPr>
      </w:pPr>
    </w:p>
    <w:p w14:paraId="008B1A56" w14:textId="77777777" w:rsidR="00A57B98" w:rsidRDefault="00A57B98" w:rsidP="0011724C">
      <w:pPr>
        <w:jc w:val="both"/>
        <w:rPr>
          <w:rFonts w:eastAsia="Times New Roman" w:cs="Arial"/>
          <w:szCs w:val="24"/>
        </w:rPr>
      </w:pPr>
    </w:p>
    <w:p w14:paraId="42472D5E" w14:textId="77777777" w:rsidR="00A57B98" w:rsidRDefault="00A57B98" w:rsidP="0011724C">
      <w:pPr>
        <w:jc w:val="both"/>
        <w:rPr>
          <w:rFonts w:eastAsia="Times New Roman" w:cs="Arial"/>
          <w:szCs w:val="24"/>
        </w:rPr>
      </w:pPr>
    </w:p>
    <w:p w14:paraId="1A1E3FC7" w14:textId="77777777" w:rsidR="00A57B98" w:rsidRDefault="00A57B98" w:rsidP="0011724C">
      <w:pPr>
        <w:jc w:val="both"/>
        <w:rPr>
          <w:rFonts w:eastAsia="Times New Roman" w:cs="Arial"/>
          <w:szCs w:val="24"/>
        </w:rPr>
      </w:pPr>
    </w:p>
    <w:p w14:paraId="22F30457" w14:textId="77777777" w:rsidR="00A57B98" w:rsidRDefault="00A57B98" w:rsidP="0011724C">
      <w:pPr>
        <w:jc w:val="both"/>
        <w:rPr>
          <w:rFonts w:eastAsia="Times New Roman" w:cs="Arial"/>
          <w:szCs w:val="24"/>
        </w:rPr>
      </w:pPr>
    </w:p>
    <w:p w14:paraId="1FEE59A0" w14:textId="77777777" w:rsidR="00A57B98" w:rsidRDefault="00A57B98" w:rsidP="0011724C">
      <w:pPr>
        <w:jc w:val="both"/>
        <w:rPr>
          <w:rFonts w:eastAsia="Times New Roman" w:cs="Arial"/>
          <w:szCs w:val="24"/>
        </w:rPr>
      </w:pPr>
    </w:p>
    <w:p w14:paraId="5D16FBEC" w14:textId="77777777" w:rsidR="00A57B98" w:rsidRDefault="00A57B98" w:rsidP="0011724C">
      <w:pPr>
        <w:jc w:val="both"/>
        <w:rPr>
          <w:rFonts w:eastAsia="Times New Roman" w:cs="Arial"/>
          <w:szCs w:val="24"/>
        </w:rPr>
      </w:pPr>
    </w:p>
    <w:p w14:paraId="791F1091" w14:textId="77777777" w:rsidR="00A57B98" w:rsidRDefault="00A57B98" w:rsidP="0011724C">
      <w:pPr>
        <w:jc w:val="both"/>
        <w:rPr>
          <w:rFonts w:eastAsia="Times New Roman" w:cs="Arial"/>
          <w:szCs w:val="24"/>
        </w:rPr>
      </w:pPr>
    </w:p>
    <w:p w14:paraId="185097D5" w14:textId="77777777" w:rsidR="00A57B98" w:rsidRPr="00CB7BA9" w:rsidRDefault="00A57B98" w:rsidP="0011724C">
      <w:pPr>
        <w:jc w:val="both"/>
        <w:rPr>
          <w:rFonts w:eastAsia="Times New Roman" w:cs="Arial"/>
          <w:szCs w:val="24"/>
        </w:rPr>
      </w:pPr>
    </w:p>
    <w:p w14:paraId="71F038E4" w14:textId="77777777" w:rsidR="0011724C" w:rsidRDefault="0011724C" w:rsidP="0011724C">
      <w:pPr>
        <w:pStyle w:val="ReportHeading"/>
        <w:jc w:val="both"/>
      </w:pPr>
      <w:r>
        <w:lastRenderedPageBreak/>
        <w:t>Reference List</w:t>
      </w:r>
    </w:p>
    <w:p w14:paraId="71F038E5" w14:textId="77777777" w:rsidR="0011724C" w:rsidRDefault="0011724C" w:rsidP="0011724C">
      <w:pPr>
        <w:ind w:left="720" w:hanging="720"/>
        <w:jc w:val="both"/>
      </w:pPr>
      <w:r>
        <w:rPr>
          <w:color w:val="000000"/>
        </w:rPr>
        <w:t>Care Quality Commission (2025a) ‘Regulation 17: Good governance’. Available at: https://www.cqc.org.uk/guidance-regulation/providers/regulations-service-providers-and-managers/health-social-care-act/regulation-17 (Accessed: 17 July 2026).</w:t>
      </w:r>
    </w:p>
    <w:p w14:paraId="71F038E6" w14:textId="77777777" w:rsidR="0011724C" w:rsidRDefault="0011724C" w:rsidP="0011724C">
      <w:pPr>
        <w:ind w:left="720" w:hanging="720"/>
        <w:jc w:val="both"/>
      </w:pPr>
      <w:r>
        <w:rPr>
          <w:color w:val="000000"/>
        </w:rPr>
        <w:t>Care Quality Commission (2025b) ‘Medicines administration records in adult social care’. Available at: https://www.cqc.org.uk/guidance-providers/adult-social-care/medicines-administration-records-adult-social-care (Accessed: 17 July 2026).</w:t>
      </w:r>
    </w:p>
    <w:p w14:paraId="71F038E7" w14:textId="77777777" w:rsidR="0011724C" w:rsidRDefault="0011724C" w:rsidP="0011724C">
      <w:pPr>
        <w:ind w:left="720" w:hanging="720"/>
        <w:jc w:val="both"/>
      </w:pPr>
      <w:r>
        <w:rPr>
          <w:color w:val="000000"/>
        </w:rPr>
        <w:t>Great Britain (2005) Mental Capacity Act 2005, c. 9. London: The Stationery Office.</w:t>
      </w:r>
    </w:p>
    <w:p w14:paraId="71F038E8" w14:textId="77777777" w:rsidR="0011724C" w:rsidRDefault="0011724C" w:rsidP="0011724C">
      <w:pPr>
        <w:ind w:left="720" w:hanging="720"/>
        <w:jc w:val="both"/>
      </w:pPr>
      <w:r>
        <w:rPr>
          <w:color w:val="000000"/>
        </w:rPr>
        <w:t>Great Britain (2010) Equality Act 2010, c. 15. London: The Stationery Office.</w:t>
      </w:r>
    </w:p>
    <w:p w14:paraId="71F038E9" w14:textId="77777777" w:rsidR="0011724C" w:rsidRDefault="0011724C" w:rsidP="0011724C">
      <w:pPr>
        <w:ind w:left="720" w:hanging="720"/>
        <w:jc w:val="both"/>
      </w:pPr>
      <w:r>
        <w:rPr>
          <w:color w:val="000000"/>
        </w:rPr>
        <w:t>Great Britain (2014) Care Act 2014, c. 23. London: The Stationery Office.</w:t>
      </w:r>
    </w:p>
    <w:p w14:paraId="71F038EA" w14:textId="77777777" w:rsidR="0011724C" w:rsidRDefault="0011724C" w:rsidP="0011724C">
      <w:pPr>
        <w:ind w:left="720" w:hanging="720"/>
        <w:jc w:val="both"/>
      </w:pPr>
      <w:r>
        <w:rPr>
          <w:color w:val="000000"/>
        </w:rPr>
        <w:t>Great Britain (2018) Data Protection Act 2018, c. 12. London: The Stationery Office.</w:t>
      </w:r>
    </w:p>
    <w:p w14:paraId="71F038EB" w14:textId="77777777" w:rsidR="0011724C" w:rsidRDefault="0011724C" w:rsidP="0011724C">
      <w:pPr>
        <w:ind w:left="720" w:hanging="720"/>
        <w:jc w:val="both"/>
      </w:pPr>
      <w:r>
        <w:rPr>
          <w:color w:val="000000"/>
        </w:rPr>
        <w:t xml:space="preserve">Hastings, C. (2024) ‘Is the Calgary-Cambridge Model of consultation a suitable communication tool for students and newly qualified paramedics? A qualitative study’, British Paramedic Journal, 9(1), pp. 23–33. </w:t>
      </w:r>
      <w:proofErr w:type="spellStart"/>
      <w:r>
        <w:rPr>
          <w:color w:val="000000"/>
        </w:rPr>
        <w:t>doi</w:t>
      </w:r>
      <w:proofErr w:type="spellEnd"/>
      <w:r>
        <w:rPr>
          <w:color w:val="000000"/>
        </w:rPr>
        <w:t>: 10.29045/14784726.2024.6.9.1.23.</w:t>
      </w:r>
    </w:p>
    <w:p w14:paraId="71F038EC" w14:textId="77777777" w:rsidR="0011724C" w:rsidRDefault="0011724C" w:rsidP="0011724C">
      <w:pPr>
        <w:ind w:left="720" w:hanging="720"/>
        <w:jc w:val="both"/>
      </w:pPr>
      <w:r>
        <w:rPr>
          <w:color w:val="000000"/>
        </w:rPr>
        <w:t>Information Commissioner’s Office (2023) ‘A guide to the data protection principles’. Updated 23 March 2026. Available at: https://ico.org.uk/for-organisations/uk-gdpr-guidance-and-resources/data-protection-principles/a-guide-to-the-data-protection-principles/ (Accessed: 17 July 2026).</w:t>
      </w:r>
    </w:p>
    <w:p w14:paraId="71F038ED" w14:textId="77777777" w:rsidR="0011724C" w:rsidRDefault="0011724C" w:rsidP="0011724C">
      <w:pPr>
        <w:ind w:left="720" w:hanging="720"/>
        <w:jc w:val="both"/>
      </w:pPr>
      <w:r>
        <w:rPr>
          <w:color w:val="000000"/>
        </w:rPr>
        <w:t xml:space="preserve">National Institute for Health and Care Excellence (2018) Dementia: assessment, management and support for people living with dementia and their </w:t>
      </w:r>
      <w:proofErr w:type="spellStart"/>
      <w:r>
        <w:rPr>
          <w:color w:val="000000"/>
        </w:rPr>
        <w:t>carers</w:t>
      </w:r>
      <w:proofErr w:type="spellEnd"/>
      <w:r>
        <w:rPr>
          <w:color w:val="000000"/>
        </w:rPr>
        <w:t>. NICE guideline NG97. Last reviewed 24 October 2025. Available at: https://www.nice.org.uk/guidance/ng97 (Accessed: 17 July 2026).</w:t>
      </w:r>
    </w:p>
    <w:p w14:paraId="71F038EE" w14:textId="77777777" w:rsidR="0011724C" w:rsidRDefault="0011724C" w:rsidP="0011724C">
      <w:pPr>
        <w:ind w:left="720" w:hanging="720"/>
        <w:jc w:val="both"/>
      </w:pPr>
      <w:r>
        <w:rPr>
          <w:color w:val="000000"/>
        </w:rPr>
        <w:t>NHS England (2021) Records Management Code of Practice 2021. Updated 1 June 2026. Available at: https://digital.nhs.uk/data-and-information/information-governance/guidance/records-management-code-of-practice (Accessed: 17 July 2026).</w:t>
      </w:r>
    </w:p>
    <w:p w14:paraId="71F038EF" w14:textId="77777777" w:rsidR="0011724C" w:rsidRDefault="0011724C" w:rsidP="0011724C">
      <w:pPr>
        <w:ind w:left="720" w:hanging="720"/>
        <w:jc w:val="both"/>
      </w:pPr>
      <w:r>
        <w:rPr>
          <w:color w:val="000000"/>
        </w:rPr>
        <w:t xml:space="preserve">O’Donnell, D., Davies, C., Devaney, C., Radomska, A., O’Shea, M., O’Donoghue, G., De Brún, A., Donnelly, S., Whitty, H., Harnett, P.J., Lang, D., Ahern, E., Hammoud, S. and Ní Shé, É. (2025) ‘How can interprofessional collaboration be fostered and sustained in team-based care integration for older people in community settings? A realist evidence synthesis’, Systematic Reviews, 14, 117. </w:t>
      </w:r>
      <w:proofErr w:type="spellStart"/>
      <w:r>
        <w:rPr>
          <w:color w:val="000000"/>
        </w:rPr>
        <w:t>doi</w:t>
      </w:r>
      <w:proofErr w:type="spellEnd"/>
      <w:r>
        <w:rPr>
          <w:color w:val="000000"/>
        </w:rPr>
        <w:t>: 10.1186/s13643-025-02862-8.</w:t>
      </w:r>
    </w:p>
    <w:p w14:paraId="71F038F0" w14:textId="77777777" w:rsidR="0011724C" w:rsidRDefault="0011724C" w:rsidP="0011724C">
      <w:pPr>
        <w:ind w:left="720" w:hanging="720"/>
        <w:jc w:val="both"/>
      </w:pPr>
      <w:proofErr w:type="spellStart"/>
      <w:r>
        <w:rPr>
          <w:color w:val="000000"/>
        </w:rPr>
        <w:t>Sunjaya</w:t>
      </w:r>
      <w:proofErr w:type="spellEnd"/>
      <w:r>
        <w:rPr>
          <w:color w:val="000000"/>
        </w:rPr>
        <w:t xml:space="preserve">, A.M., Schreiber, T., Kantilal, K., Davies, N. and Griffiths, S. (2025) ‘Communication strategies for delivering </w:t>
      </w:r>
      <w:proofErr w:type="spellStart"/>
      <w:r>
        <w:rPr>
          <w:color w:val="000000"/>
        </w:rPr>
        <w:t>personalised</w:t>
      </w:r>
      <w:proofErr w:type="spellEnd"/>
      <w:r>
        <w:rPr>
          <w:color w:val="000000"/>
        </w:rPr>
        <w:t xml:space="preserve"> dementia care and support: a mixed-methods systematic review and narrative synthesis’, Age and Ageing, 54(5), afaf120. </w:t>
      </w:r>
      <w:proofErr w:type="spellStart"/>
      <w:r>
        <w:rPr>
          <w:color w:val="000000"/>
        </w:rPr>
        <w:t>doi</w:t>
      </w:r>
      <w:proofErr w:type="spellEnd"/>
      <w:r>
        <w:rPr>
          <w:color w:val="000000"/>
        </w:rPr>
        <w:t>: 10.1093/ageing/afaf120.</w:t>
      </w:r>
    </w:p>
    <w:p w14:paraId="71F038F1" w14:textId="77777777" w:rsidR="0011724C" w:rsidRDefault="0011724C" w:rsidP="0011724C">
      <w:pPr>
        <w:ind w:left="720" w:hanging="720"/>
        <w:jc w:val="both"/>
      </w:pPr>
      <w:r>
        <w:rPr>
          <w:color w:val="000000"/>
        </w:rPr>
        <w:lastRenderedPageBreak/>
        <w:t xml:space="preserve">Wang, J., Cheng, Z. and Li, Y. (2025) ‘Medication management difficulty, medication nonadherence, and risk of hospitalization among cognitively impaired older Americans: a nationally representative study’, Journal of Applied Gerontology, 44(1), pp. 27–34. </w:t>
      </w:r>
      <w:proofErr w:type="spellStart"/>
      <w:r>
        <w:rPr>
          <w:color w:val="000000"/>
        </w:rPr>
        <w:t>doi</w:t>
      </w:r>
      <w:proofErr w:type="spellEnd"/>
      <w:r>
        <w:rPr>
          <w:color w:val="000000"/>
        </w:rPr>
        <w:t>: 10.1177/07334648241262940.</w:t>
      </w:r>
    </w:p>
    <w:p w14:paraId="71F038F2" w14:textId="77777777" w:rsidR="0017218A" w:rsidRDefault="0017218A"/>
    <w:sectPr w:rsidR="0017218A" w:rsidSect="00034616">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06755" w14:textId="77777777" w:rsidR="0038184A" w:rsidRDefault="0038184A">
      <w:pPr>
        <w:spacing w:line="240" w:lineRule="auto"/>
      </w:pPr>
      <w:r>
        <w:separator/>
      </w:r>
    </w:p>
  </w:endnote>
  <w:endnote w:type="continuationSeparator" w:id="0">
    <w:p w14:paraId="24D4F657" w14:textId="77777777" w:rsidR="0038184A" w:rsidRDefault="003818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038F3" w14:textId="77777777" w:rsidR="0038184A" w:rsidRDefault="0011724C">
    <w:pPr>
      <w:pStyle w:val="Footer"/>
      <w:jc w:val="center"/>
    </w:pPr>
    <w:r>
      <w:t xml:space="preserve">Page </w:t>
    </w: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42FE0" w14:textId="77777777" w:rsidR="0038184A" w:rsidRDefault="0038184A">
      <w:pPr>
        <w:spacing w:line="240" w:lineRule="auto"/>
      </w:pPr>
      <w:r>
        <w:separator/>
      </w:r>
    </w:p>
  </w:footnote>
  <w:footnote w:type="continuationSeparator" w:id="0">
    <w:p w14:paraId="093ACC88" w14:textId="77777777" w:rsidR="0038184A" w:rsidRDefault="003818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24C"/>
    <w:rsid w:val="000A71F9"/>
    <w:rsid w:val="000E674F"/>
    <w:rsid w:val="0011724C"/>
    <w:rsid w:val="0017218A"/>
    <w:rsid w:val="00314A3C"/>
    <w:rsid w:val="0038184A"/>
    <w:rsid w:val="005E065E"/>
    <w:rsid w:val="00767C27"/>
    <w:rsid w:val="00A57B98"/>
    <w:rsid w:val="00CB0C24"/>
    <w:rsid w:val="00CB3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038C8"/>
  <w15:chartTrackingRefBased/>
  <w15:docId w15:val="{16758669-7261-4359-B2D0-96DD2F1B6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24C"/>
    <w:pPr>
      <w:spacing w:after="0" w:line="360" w:lineRule="auto"/>
    </w:pPr>
    <w:rPr>
      <w:rFonts w:ascii="Arial" w:eastAsia="Arial" w:hAnsi="Arial"/>
      <w:kern w:val="0"/>
      <w:sz w:val="22"/>
      <w:szCs w:val="22"/>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1724C"/>
    <w:pPr>
      <w:tabs>
        <w:tab w:val="center" w:pos="4680"/>
        <w:tab w:val="right" w:pos="9360"/>
      </w:tabs>
      <w:spacing w:line="240" w:lineRule="auto"/>
    </w:pPr>
  </w:style>
  <w:style w:type="character" w:customStyle="1" w:styleId="FooterChar">
    <w:name w:val="Footer Char"/>
    <w:basedOn w:val="DefaultParagraphFont"/>
    <w:link w:val="Footer"/>
    <w:uiPriority w:val="99"/>
    <w:rsid w:val="0011724C"/>
    <w:rPr>
      <w:rFonts w:ascii="Arial" w:eastAsia="Arial" w:hAnsi="Arial"/>
      <w:kern w:val="0"/>
      <w:sz w:val="22"/>
      <w:szCs w:val="22"/>
      <w14:ligatures w14:val="none"/>
    </w:rPr>
  </w:style>
  <w:style w:type="paragraph" w:customStyle="1" w:styleId="ReportTitle">
    <w:name w:val="Report Title"/>
    <w:basedOn w:val="Normal"/>
    <w:rsid w:val="0011724C"/>
    <w:pPr>
      <w:spacing w:after="360"/>
      <w:jc w:val="center"/>
    </w:pPr>
    <w:rPr>
      <w:b/>
      <w:color w:val="000000"/>
    </w:rPr>
  </w:style>
  <w:style w:type="paragraph" w:customStyle="1" w:styleId="ReportHeading">
    <w:name w:val="Report Heading"/>
    <w:basedOn w:val="Normal"/>
    <w:rsid w:val="0011724C"/>
    <w:pPr>
      <w:keepNext/>
      <w:spacing w:before="240" w:after="120"/>
    </w:pPr>
    <w:rPr>
      <w:b/>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2394</Words>
  <Characters>13651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Stephanie Chasteau</cp:lastModifiedBy>
  <cp:revision>5</cp:revision>
  <dcterms:created xsi:type="dcterms:W3CDTF">2026-07-17T11:43:00Z</dcterms:created>
  <dcterms:modified xsi:type="dcterms:W3CDTF">2026-08-08T10:34:00Z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8e813390-03ac-4d08-a784-d44a67b3b710</vt:lpwstr>
  </property>
</Properties>
</file>