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CE65A" w14:textId="5E287AC0" w:rsidR="00BE3A31" w:rsidRPr="00BE3A31" w:rsidRDefault="00BE3A31" w:rsidP="00BE3A31">
      <w:pPr>
        <w:pBdr>
          <w:top w:val="nil"/>
          <w:left w:val="nil"/>
          <w:bottom w:val="nil"/>
          <w:right w:val="nil"/>
          <w:between w:val="nil"/>
        </w:pBdr>
        <w:spacing w:line="360" w:lineRule="auto"/>
        <w:rPr>
          <w:bCs/>
          <w:color w:val="000000"/>
          <w:sz w:val="24"/>
          <w:szCs w:val="24"/>
        </w:rPr>
      </w:pPr>
      <w:r>
        <w:rPr>
          <w:bCs/>
          <w:color w:val="000000"/>
          <w:sz w:val="24"/>
          <w:szCs w:val="24"/>
        </w:rPr>
        <w:t>Anton Imbrea 2125640</w:t>
      </w:r>
    </w:p>
    <w:p w14:paraId="799D657A" w14:textId="77777777" w:rsidR="00BE3A31" w:rsidRDefault="00BE3A31">
      <w:pPr>
        <w:pBdr>
          <w:top w:val="nil"/>
          <w:left w:val="nil"/>
          <w:bottom w:val="nil"/>
          <w:right w:val="nil"/>
          <w:between w:val="nil"/>
        </w:pBdr>
        <w:spacing w:line="360" w:lineRule="auto"/>
        <w:jc w:val="center"/>
        <w:rPr>
          <w:b/>
          <w:color w:val="000000"/>
          <w:sz w:val="32"/>
          <w:szCs w:val="32"/>
          <w:u w:val="single"/>
        </w:rPr>
      </w:pPr>
    </w:p>
    <w:p w14:paraId="24258915" w14:textId="77777777" w:rsidR="00BE3A31" w:rsidRDefault="00BE3A31">
      <w:pPr>
        <w:pBdr>
          <w:top w:val="nil"/>
          <w:left w:val="nil"/>
          <w:bottom w:val="nil"/>
          <w:right w:val="nil"/>
          <w:between w:val="nil"/>
        </w:pBdr>
        <w:spacing w:line="360" w:lineRule="auto"/>
        <w:jc w:val="center"/>
        <w:rPr>
          <w:b/>
          <w:color w:val="000000"/>
          <w:sz w:val="32"/>
          <w:szCs w:val="32"/>
          <w:u w:val="single"/>
        </w:rPr>
      </w:pPr>
    </w:p>
    <w:p w14:paraId="1C46B9B6" w14:textId="77777777" w:rsidR="00BE3A31" w:rsidRDefault="00BE3A31">
      <w:pPr>
        <w:pBdr>
          <w:top w:val="nil"/>
          <w:left w:val="nil"/>
          <w:bottom w:val="nil"/>
          <w:right w:val="nil"/>
          <w:between w:val="nil"/>
        </w:pBdr>
        <w:spacing w:line="360" w:lineRule="auto"/>
        <w:jc w:val="center"/>
        <w:rPr>
          <w:b/>
          <w:color w:val="000000"/>
          <w:sz w:val="32"/>
          <w:szCs w:val="32"/>
          <w:u w:val="single"/>
        </w:rPr>
      </w:pPr>
    </w:p>
    <w:p w14:paraId="5A679B9F" w14:textId="77777777" w:rsidR="00BE3A31" w:rsidRDefault="00BE3A31">
      <w:pPr>
        <w:pBdr>
          <w:top w:val="nil"/>
          <w:left w:val="nil"/>
          <w:bottom w:val="nil"/>
          <w:right w:val="nil"/>
          <w:between w:val="nil"/>
        </w:pBdr>
        <w:spacing w:line="360" w:lineRule="auto"/>
        <w:jc w:val="center"/>
        <w:rPr>
          <w:b/>
          <w:color w:val="000000"/>
          <w:sz w:val="32"/>
          <w:szCs w:val="32"/>
          <w:u w:val="single"/>
        </w:rPr>
      </w:pPr>
    </w:p>
    <w:p w14:paraId="06D292C9" w14:textId="77777777" w:rsidR="00BE3A31" w:rsidRDefault="00BE3A31">
      <w:pPr>
        <w:pBdr>
          <w:top w:val="nil"/>
          <w:left w:val="nil"/>
          <w:bottom w:val="nil"/>
          <w:right w:val="nil"/>
          <w:between w:val="nil"/>
        </w:pBdr>
        <w:spacing w:line="360" w:lineRule="auto"/>
        <w:jc w:val="center"/>
        <w:rPr>
          <w:b/>
          <w:color w:val="000000"/>
          <w:sz w:val="32"/>
          <w:szCs w:val="32"/>
          <w:u w:val="single"/>
        </w:rPr>
      </w:pPr>
    </w:p>
    <w:p w14:paraId="13B6A8C9" w14:textId="51F9F496" w:rsidR="00BE3A31" w:rsidRDefault="00BE3A31">
      <w:pPr>
        <w:pBdr>
          <w:top w:val="nil"/>
          <w:left w:val="nil"/>
          <w:bottom w:val="nil"/>
          <w:right w:val="nil"/>
          <w:between w:val="nil"/>
        </w:pBdr>
        <w:spacing w:line="360" w:lineRule="auto"/>
        <w:jc w:val="center"/>
        <w:rPr>
          <w:b/>
          <w:color w:val="000000"/>
          <w:sz w:val="32"/>
          <w:szCs w:val="32"/>
          <w:u w:val="single"/>
        </w:rPr>
      </w:pPr>
    </w:p>
    <w:p w14:paraId="7D29115B" w14:textId="77777777" w:rsidR="00BE3A31" w:rsidRDefault="00BE3A31">
      <w:pPr>
        <w:pBdr>
          <w:top w:val="nil"/>
          <w:left w:val="nil"/>
          <w:bottom w:val="nil"/>
          <w:right w:val="nil"/>
          <w:between w:val="nil"/>
        </w:pBdr>
        <w:spacing w:line="360" w:lineRule="auto"/>
        <w:jc w:val="center"/>
        <w:rPr>
          <w:b/>
          <w:color w:val="000000"/>
          <w:sz w:val="32"/>
          <w:szCs w:val="32"/>
          <w:u w:val="single"/>
        </w:rPr>
      </w:pPr>
    </w:p>
    <w:p w14:paraId="03EF8D6C" w14:textId="77777777" w:rsidR="00BE3A31" w:rsidRDefault="00BE3A31">
      <w:pPr>
        <w:pBdr>
          <w:top w:val="nil"/>
          <w:left w:val="nil"/>
          <w:bottom w:val="nil"/>
          <w:right w:val="nil"/>
          <w:between w:val="nil"/>
        </w:pBdr>
        <w:spacing w:line="360" w:lineRule="auto"/>
        <w:jc w:val="center"/>
        <w:rPr>
          <w:b/>
          <w:color w:val="000000"/>
          <w:sz w:val="32"/>
          <w:szCs w:val="32"/>
          <w:u w:val="single"/>
        </w:rPr>
      </w:pPr>
    </w:p>
    <w:p w14:paraId="75D7D569" w14:textId="25E3F2F2" w:rsidR="00C22400" w:rsidRDefault="00FC336C">
      <w:pPr>
        <w:pBdr>
          <w:top w:val="nil"/>
          <w:left w:val="nil"/>
          <w:bottom w:val="nil"/>
          <w:right w:val="nil"/>
          <w:between w:val="nil"/>
        </w:pBdr>
        <w:spacing w:line="360" w:lineRule="auto"/>
        <w:jc w:val="center"/>
        <w:rPr>
          <w:b/>
          <w:color w:val="000000"/>
          <w:sz w:val="32"/>
          <w:szCs w:val="32"/>
          <w:u w:val="single"/>
        </w:rPr>
      </w:pPr>
      <w:r>
        <w:rPr>
          <w:b/>
          <w:color w:val="000000"/>
          <w:sz w:val="32"/>
          <w:szCs w:val="32"/>
          <w:u w:val="single"/>
        </w:rPr>
        <w:t>Legal Process</w:t>
      </w:r>
    </w:p>
    <w:p w14:paraId="74232463" w14:textId="77777777" w:rsidR="00C22400" w:rsidRDefault="00C22400">
      <w:pPr>
        <w:pBdr>
          <w:top w:val="nil"/>
          <w:left w:val="nil"/>
          <w:bottom w:val="nil"/>
          <w:right w:val="nil"/>
          <w:between w:val="nil"/>
        </w:pBdr>
        <w:spacing w:line="360" w:lineRule="auto"/>
        <w:jc w:val="center"/>
        <w:rPr>
          <w:b/>
          <w:color w:val="000000"/>
          <w:sz w:val="32"/>
          <w:szCs w:val="32"/>
          <w:u w:val="single"/>
        </w:rPr>
      </w:pPr>
    </w:p>
    <w:p w14:paraId="0337E4ED" w14:textId="77777777" w:rsidR="00C22400" w:rsidRDefault="00FC336C">
      <w:pPr>
        <w:pBdr>
          <w:top w:val="nil"/>
          <w:left w:val="nil"/>
          <w:bottom w:val="nil"/>
          <w:right w:val="nil"/>
          <w:between w:val="nil"/>
        </w:pBdr>
        <w:spacing w:line="360" w:lineRule="auto"/>
        <w:jc w:val="center"/>
        <w:rPr>
          <w:i/>
          <w:color w:val="000000"/>
          <w:sz w:val="26"/>
          <w:szCs w:val="26"/>
        </w:rPr>
      </w:pPr>
      <w:r>
        <w:br w:type="page"/>
      </w:r>
    </w:p>
    <w:p w14:paraId="12560E6C" w14:textId="77777777" w:rsidR="00C22400" w:rsidRDefault="00FC336C">
      <w:pPr>
        <w:pBdr>
          <w:top w:val="nil"/>
          <w:left w:val="nil"/>
          <w:bottom w:val="nil"/>
          <w:right w:val="nil"/>
          <w:between w:val="nil"/>
        </w:pBdr>
        <w:spacing w:line="360" w:lineRule="auto"/>
        <w:jc w:val="center"/>
        <w:rPr>
          <w:b/>
          <w:color w:val="000000"/>
          <w:sz w:val="24"/>
          <w:szCs w:val="24"/>
          <w:u w:val="single"/>
        </w:rPr>
      </w:pPr>
      <w:r>
        <w:rPr>
          <w:b/>
          <w:color w:val="000000"/>
          <w:sz w:val="24"/>
          <w:szCs w:val="24"/>
          <w:u w:val="single"/>
        </w:rPr>
        <w:lastRenderedPageBreak/>
        <w:t>Table of Contents</w:t>
      </w:r>
    </w:p>
    <w:sdt>
      <w:sdtPr>
        <w:id w:val="86850391"/>
        <w:docPartObj>
          <w:docPartGallery w:val="Table of Contents"/>
          <w:docPartUnique/>
        </w:docPartObj>
      </w:sdtPr>
      <w:sdtContent>
        <w:p w14:paraId="0A74132A" w14:textId="77777777" w:rsidR="00C22400" w:rsidRDefault="00C22400" w:rsidP="00012CA4">
          <w:pPr>
            <w:widowControl w:val="0"/>
            <w:pBdr>
              <w:top w:val="nil"/>
              <w:left w:val="nil"/>
              <w:bottom w:val="nil"/>
              <w:right w:val="nil"/>
              <w:between w:val="nil"/>
            </w:pBdr>
            <w:tabs>
              <w:tab w:val="right" w:pos="9025"/>
            </w:tabs>
            <w:spacing w:before="60" w:line="360" w:lineRule="auto"/>
            <w:rPr>
              <w:color w:val="000000"/>
              <w:sz w:val="24"/>
              <w:szCs w:val="24"/>
            </w:rPr>
          </w:pPr>
          <w:r>
            <w:fldChar w:fldCharType="begin"/>
          </w:r>
          <w:r w:rsidR="00FC336C">
            <w:instrText xml:space="preserve"> TOC \h \u \z </w:instrText>
          </w:r>
          <w:r>
            <w:fldChar w:fldCharType="separate"/>
          </w:r>
          <w:r>
            <w:fldChar w:fldCharType="begin"/>
          </w:r>
          <w:r w:rsidR="00FC336C">
            <w:instrText xml:space="preserve"> HYPERLINK \l "_heading=h.gjdgxs" </w:instrText>
          </w:r>
          <w:r>
            <w:fldChar w:fldCharType="separate"/>
          </w:r>
          <w:r w:rsidR="00FC336C">
            <w:rPr>
              <w:color w:val="000000"/>
              <w:sz w:val="24"/>
              <w:szCs w:val="24"/>
            </w:rPr>
            <w:t>“Introduction”</w:t>
          </w:r>
          <w:r w:rsidR="00FC336C">
            <w:rPr>
              <w:color w:val="000000"/>
              <w:sz w:val="24"/>
              <w:szCs w:val="24"/>
            </w:rPr>
            <w:tab/>
            <w:t>3</w:t>
          </w:r>
        </w:p>
        <w:p w14:paraId="220FF924" w14:textId="77777777" w:rsidR="00C22400" w:rsidRDefault="00C22400" w:rsidP="00012CA4">
          <w:pPr>
            <w:widowControl w:val="0"/>
            <w:pBdr>
              <w:top w:val="nil"/>
              <w:left w:val="nil"/>
              <w:bottom w:val="nil"/>
              <w:right w:val="nil"/>
              <w:between w:val="nil"/>
            </w:pBdr>
            <w:tabs>
              <w:tab w:val="right" w:pos="9025"/>
            </w:tabs>
            <w:spacing w:before="60" w:line="360" w:lineRule="auto"/>
            <w:rPr>
              <w:color w:val="000000"/>
              <w:sz w:val="24"/>
              <w:szCs w:val="24"/>
            </w:rPr>
          </w:pPr>
          <w:r>
            <w:fldChar w:fldCharType="end"/>
          </w:r>
          <w:r>
            <w:fldChar w:fldCharType="begin"/>
          </w:r>
          <w:r w:rsidR="00FC336C">
            <w:instrText xml:space="preserve"> HYPERLINK \l "_heading=h.30j0zll" </w:instrText>
          </w:r>
          <w:r>
            <w:fldChar w:fldCharType="separate"/>
          </w:r>
          <w:r w:rsidR="00FC336C">
            <w:rPr>
              <w:color w:val="000000"/>
              <w:sz w:val="24"/>
              <w:szCs w:val="24"/>
            </w:rPr>
            <w:t>“Common Law”</w:t>
          </w:r>
          <w:r w:rsidR="00FC336C">
            <w:rPr>
              <w:color w:val="000000"/>
              <w:sz w:val="24"/>
              <w:szCs w:val="24"/>
            </w:rPr>
            <w:tab/>
            <w:t>4</w:t>
          </w:r>
        </w:p>
        <w:p w14:paraId="59D5AD79" w14:textId="77777777" w:rsidR="00C22400" w:rsidRDefault="00C22400" w:rsidP="00012CA4">
          <w:pPr>
            <w:widowControl w:val="0"/>
            <w:pBdr>
              <w:top w:val="nil"/>
              <w:left w:val="nil"/>
              <w:bottom w:val="nil"/>
              <w:right w:val="nil"/>
              <w:between w:val="nil"/>
            </w:pBdr>
            <w:tabs>
              <w:tab w:val="right" w:pos="9025"/>
            </w:tabs>
            <w:spacing w:before="60" w:line="360" w:lineRule="auto"/>
            <w:rPr>
              <w:color w:val="000000"/>
              <w:sz w:val="24"/>
              <w:szCs w:val="24"/>
            </w:rPr>
          </w:pPr>
          <w:r>
            <w:fldChar w:fldCharType="end"/>
          </w:r>
          <w:r>
            <w:fldChar w:fldCharType="begin"/>
          </w:r>
          <w:r w:rsidR="00FC336C">
            <w:instrText xml:space="preserve"> HYPERLINK \l "_heading=h.1fob9te" </w:instrText>
          </w:r>
          <w:r>
            <w:fldChar w:fldCharType="separate"/>
          </w:r>
          <w:r w:rsidR="00FC336C">
            <w:rPr>
              <w:color w:val="000000"/>
              <w:sz w:val="24"/>
              <w:szCs w:val="24"/>
            </w:rPr>
            <w:t>“Civil Law”</w:t>
          </w:r>
          <w:r w:rsidR="00FC336C">
            <w:rPr>
              <w:color w:val="000000"/>
              <w:sz w:val="24"/>
              <w:szCs w:val="24"/>
            </w:rPr>
            <w:tab/>
            <w:t>4</w:t>
          </w:r>
        </w:p>
        <w:p w14:paraId="756CDB29" w14:textId="77777777" w:rsidR="00C22400" w:rsidRDefault="00C22400" w:rsidP="00012CA4">
          <w:pPr>
            <w:widowControl w:val="0"/>
            <w:pBdr>
              <w:top w:val="nil"/>
              <w:left w:val="nil"/>
              <w:bottom w:val="nil"/>
              <w:right w:val="nil"/>
              <w:between w:val="nil"/>
            </w:pBdr>
            <w:tabs>
              <w:tab w:val="right" w:pos="9025"/>
            </w:tabs>
            <w:spacing w:before="60" w:line="360" w:lineRule="auto"/>
            <w:rPr>
              <w:color w:val="000000"/>
              <w:sz w:val="24"/>
              <w:szCs w:val="24"/>
            </w:rPr>
          </w:pPr>
          <w:r>
            <w:fldChar w:fldCharType="end"/>
          </w:r>
          <w:r>
            <w:fldChar w:fldCharType="begin"/>
          </w:r>
          <w:r w:rsidR="00FC336C">
            <w:instrText xml:space="preserve"> HYPERLINK \l "_heading=h.3znysh7" </w:instrText>
          </w:r>
          <w:r>
            <w:fldChar w:fldCharType="separate"/>
          </w:r>
          <w:r w:rsidR="00FC336C">
            <w:rPr>
              <w:color w:val="000000"/>
              <w:sz w:val="24"/>
              <w:szCs w:val="24"/>
            </w:rPr>
            <w:t>“Difference between Common and Civil Law”</w:t>
          </w:r>
          <w:r w:rsidR="00FC336C">
            <w:rPr>
              <w:color w:val="000000"/>
              <w:sz w:val="24"/>
              <w:szCs w:val="24"/>
            </w:rPr>
            <w:tab/>
            <w:t>5</w:t>
          </w:r>
        </w:p>
        <w:p w14:paraId="6C20BCC9" w14:textId="77777777" w:rsidR="00C22400" w:rsidRDefault="00C22400" w:rsidP="00012CA4">
          <w:pPr>
            <w:widowControl w:val="0"/>
            <w:pBdr>
              <w:top w:val="nil"/>
              <w:left w:val="nil"/>
              <w:bottom w:val="nil"/>
              <w:right w:val="nil"/>
              <w:between w:val="nil"/>
            </w:pBdr>
            <w:tabs>
              <w:tab w:val="right" w:pos="9025"/>
            </w:tabs>
            <w:spacing w:before="60" w:line="360" w:lineRule="auto"/>
            <w:rPr>
              <w:color w:val="000000"/>
              <w:sz w:val="24"/>
              <w:szCs w:val="24"/>
            </w:rPr>
          </w:pPr>
          <w:r>
            <w:fldChar w:fldCharType="end"/>
          </w:r>
          <w:r>
            <w:fldChar w:fldCharType="begin"/>
          </w:r>
          <w:r w:rsidR="00FC336C">
            <w:instrText xml:space="preserve"> HYPERLINK \l "_heading=h.2et92p0" </w:instrText>
          </w:r>
          <w:r>
            <w:fldChar w:fldCharType="separate"/>
          </w:r>
          <w:r w:rsidR="00FC336C">
            <w:rPr>
              <w:color w:val="000000"/>
              <w:sz w:val="24"/>
              <w:szCs w:val="24"/>
            </w:rPr>
            <w:t>“History of common law”</w:t>
          </w:r>
          <w:r w:rsidR="00FC336C">
            <w:rPr>
              <w:color w:val="000000"/>
              <w:sz w:val="24"/>
              <w:szCs w:val="24"/>
            </w:rPr>
            <w:tab/>
            <w:t>6</w:t>
          </w:r>
        </w:p>
        <w:p w14:paraId="3EF765D4" w14:textId="77777777" w:rsidR="00C22400" w:rsidRDefault="00C22400" w:rsidP="00012CA4">
          <w:pPr>
            <w:widowControl w:val="0"/>
            <w:pBdr>
              <w:top w:val="nil"/>
              <w:left w:val="nil"/>
              <w:bottom w:val="nil"/>
              <w:right w:val="nil"/>
              <w:between w:val="nil"/>
            </w:pBdr>
            <w:tabs>
              <w:tab w:val="right" w:pos="9025"/>
            </w:tabs>
            <w:spacing w:before="60" w:line="360" w:lineRule="auto"/>
            <w:rPr>
              <w:color w:val="000000"/>
              <w:sz w:val="24"/>
              <w:szCs w:val="24"/>
            </w:rPr>
          </w:pPr>
          <w:r>
            <w:fldChar w:fldCharType="end"/>
          </w:r>
          <w:r>
            <w:fldChar w:fldCharType="begin"/>
          </w:r>
          <w:r w:rsidR="00FC336C">
            <w:instrText xml:space="preserve"> HYPERLINK \l "_heading=h.tyjcwt" </w:instrText>
          </w:r>
          <w:r>
            <w:fldChar w:fldCharType="separate"/>
          </w:r>
          <w:r w:rsidR="00FC336C">
            <w:rPr>
              <w:color w:val="000000"/>
              <w:sz w:val="24"/>
              <w:szCs w:val="24"/>
            </w:rPr>
            <w:t>“Examples of the common law working in practice”</w:t>
          </w:r>
          <w:r w:rsidR="00FC336C">
            <w:rPr>
              <w:color w:val="000000"/>
              <w:sz w:val="24"/>
              <w:szCs w:val="24"/>
            </w:rPr>
            <w:tab/>
            <w:t>6</w:t>
          </w:r>
        </w:p>
        <w:p w14:paraId="340A44C4" w14:textId="77777777" w:rsidR="00C22400" w:rsidRDefault="00C22400" w:rsidP="00012CA4">
          <w:pPr>
            <w:widowControl w:val="0"/>
            <w:pBdr>
              <w:top w:val="nil"/>
              <w:left w:val="nil"/>
              <w:bottom w:val="nil"/>
              <w:right w:val="nil"/>
              <w:between w:val="nil"/>
            </w:pBdr>
            <w:tabs>
              <w:tab w:val="right" w:pos="9025"/>
            </w:tabs>
            <w:spacing w:before="60" w:line="360" w:lineRule="auto"/>
            <w:rPr>
              <w:color w:val="000000"/>
              <w:sz w:val="24"/>
              <w:szCs w:val="24"/>
            </w:rPr>
          </w:pPr>
          <w:r>
            <w:fldChar w:fldCharType="end"/>
          </w:r>
          <w:r>
            <w:fldChar w:fldCharType="begin"/>
          </w:r>
          <w:r w:rsidR="00FC336C">
            <w:instrText xml:space="preserve"> HYPERLINK \l "_heading=h.3dy6vkm" </w:instrText>
          </w:r>
          <w:r>
            <w:fldChar w:fldCharType="separate"/>
          </w:r>
          <w:r w:rsidR="00FC336C">
            <w:rPr>
              <w:color w:val="000000"/>
              <w:sz w:val="24"/>
              <w:szCs w:val="24"/>
            </w:rPr>
            <w:t>Conclusion</w:t>
          </w:r>
          <w:r w:rsidR="00FC336C">
            <w:rPr>
              <w:color w:val="000000"/>
              <w:sz w:val="24"/>
              <w:szCs w:val="24"/>
            </w:rPr>
            <w:tab/>
            <w:t>7</w:t>
          </w:r>
        </w:p>
        <w:p w14:paraId="08FCE960" w14:textId="77777777" w:rsidR="00C22400" w:rsidRDefault="00C22400" w:rsidP="00012CA4">
          <w:pPr>
            <w:widowControl w:val="0"/>
            <w:pBdr>
              <w:top w:val="nil"/>
              <w:left w:val="nil"/>
              <w:bottom w:val="nil"/>
              <w:right w:val="nil"/>
              <w:between w:val="nil"/>
            </w:pBdr>
            <w:tabs>
              <w:tab w:val="right" w:pos="9025"/>
            </w:tabs>
            <w:spacing w:before="60" w:line="360" w:lineRule="auto"/>
            <w:rPr>
              <w:color w:val="000000"/>
              <w:sz w:val="24"/>
              <w:szCs w:val="24"/>
            </w:rPr>
          </w:pPr>
          <w:r>
            <w:fldChar w:fldCharType="end"/>
          </w:r>
          <w:hyperlink w:anchor="_heading=h.1t3h5sf">
            <w:r w:rsidR="00FC336C">
              <w:rPr>
                <w:color w:val="000000"/>
                <w:sz w:val="24"/>
                <w:szCs w:val="24"/>
              </w:rPr>
              <w:t>References</w:t>
            </w:r>
            <w:r w:rsidR="00FC336C">
              <w:rPr>
                <w:color w:val="000000"/>
                <w:sz w:val="24"/>
                <w:szCs w:val="24"/>
              </w:rPr>
              <w:tab/>
              <w:t>8</w:t>
            </w:r>
          </w:hyperlink>
          <w:r>
            <w:fldChar w:fldCharType="end"/>
          </w:r>
        </w:p>
      </w:sdtContent>
    </w:sdt>
    <w:p w14:paraId="6991B701" w14:textId="77777777" w:rsidR="00C22400" w:rsidRDefault="00FC336C">
      <w:pPr>
        <w:pBdr>
          <w:top w:val="nil"/>
          <w:left w:val="nil"/>
          <w:bottom w:val="nil"/>
          <w:right w:val="nil"/>
          <w:between w:val="nil"/>
        </w:pBdr>
        <w:spacing w:line="360" w:lineRule="auto"/>
        <w:jc w:val="center"/>
        <w:rPr>
          <w:b/>
          <w:color w:val="000000"/>
          <w:sz w:val="24"/>
          <w:szCs w:val="24"/>
          <w:u w:val="single"/>
        </w:rPr>
      </w:pPr>
      <w:r>
        <w:br w:type="page"/>
      </w:r>
    </w:p>
    <w:p w14:paraId="162684DF" w14:textId="77777777" w:rsidR="00C22400" w:rsidRDefault="00FC336C">
      <w:pPr>
        <w:pStyle w:val="Heading1"/>
        <w:rPr>
          <w:rFonts w:ascii="Arial" w:eastAsia="Arial" w:hAnsi="Arial" w:cs="Arial"/>
        </w:rPr>
      </w:pPr>
      <w:bookmarkStart w:id="0" w:name="_heading=h.gjdgxs" w:colFirst="0" w:colLast="0"/>
      <w:bookmarkEnd w:id="0"/>
      <w:r>
        <w:rPr>
          <w:rFonts w:ascii="Arial" w:eastAsia="Arial" w:hAnsi="Arial" w:cs="Arial"/>
        </w:rPr>
        <w:lastRenderedPageBreak/>
        <w:t>“Introduction”</w:t>
      </w:r>
    </w:p>
    <w:p w14:paraId="5EC41AE1" w14:textId="77777777" w:rsidR="00C22400" w:rsidRDefault="00FC336C">
      <w:pPr>
        <w:pBdr>
          <w:top w:val="nil"/>
          <w:left w:val="nil"/>
          <w:bottom w:val="nil"/>
          <w:right w:val="nil"/>
          <w:between w:val="nil"/>
        </w:pBdr>
        <w:spacing w:line="360" w:lineRule="auto"/>
        <w:jc w:val="both"/>
        <w:rPr>
          <w:b/>
          <w:color w:val="000000"/>
          <w:sz w:val="24"/>
          <w:szCs w:val="24"/>
        </w:rPr>
      </w:pPr>
      <w:r>
        <w:rPr>
          <w:color w:val="000000"/>
          <w:sz w:val="24"/>
          <w:szCs w:val="24"/>
        </w:rPr>
        <w:t xml:space="preserve">This report will provide an in-depth discussion of the relevant principles and laws of the English Legal System. It will also explain the importance and implication associated with the legislation and further provide a contrasting description of the different types of law prevalent in the country. This discussion will involve the common law and the civil, their nature and their area of practice and application. Moreover, the differences between both these laws and their attributes and impacts on common people will also be uncovered. Further, the report will move on to provide a brief history of the common law in the UK and will conclude with examples of the law in practice. </w:t>
      </w:r>
      <w:r>
        <w:br w:type="page"/>
      </w:r>
    </w:p>
    <w:p w14:paraId="24480899" w14:textId="77777777" w:rsidR="00C22400" w:rsidRDefault="00FC336C">
      <w:pPr>
        <w:pStyle w:val="Heading1"/>
        <w:rPr>
          <w:rFonts w:ascii="Arial" w:eastAsia="Arial" w:hAnsi="Arial" w:cs="Arial"/>
        </w:rPr>
      </w:pPr>
      <w:bookmarkStart w:id="1" w:name="_heading=h.30j0zll" w:colFirst="0" w:colLast="0"/>
      <w:bookmarkEnd w:id="1"/>
      <w:r>
        <w:rPr>
          <w:rFonts w:ascii="Arial" w:eastAsia="Arial" w:hAnsi="Arial" w:cs="Arial"/>
        </w:rPr>
        <w:lastRenderedPageBreak/>
        <w:t>“Common Law”</w:t>
      </w:r>
    </w:p>
    <w:p w14:paraId="7A7EADC5" w14:textId="77777777" w:rsidR="00C22400" w:rsidRDefault="00FC336C">
      <w:pPr>
        <w:pBdr>
          <w:top w:val="nil"/>
          <w:left w:val="nil"/>
          <w:bottom w:val="nil"/>
          <w:right w:val="nil"/>
          <w:between w:val="nil"/>
        </w:pBdr>
        <w:spacing w:line="360" w:lineRule="auto"/>
        <w:jc w:val="both"/>
        <w:rPr>
          <w:color w:val="000000"/>
          <w:sz w:val="24"/>
          <w:szCs w:val="24"/>
        </w:rPr>
      </w:pPr>
      <w:r>
        <w:rPr>
          <w:sz w:val="24"/>
          <w:szCs w:val="24"/>
        </w:rPr>
        <w:t>T</w:t>
      </w:r>
      <w:r>
        <w:rPr>
          <w:color w:val="000000"/>
          <w:sz w:val="24"/>
          <w:szCs w:val="24"/>
        </w:rPr>
        <w:t xml:space="preserve">he </w:t>
      </w:r>
      <w:r>
        <w:rPr>
          <w:sz w:val="24"/>
          <w:szCs w:val="24"/>
        </w:rPr>
        <w:t>“</w:t>
      </w:r>
      <w:r>
        <w:rPr>
          <w:color w:val="000000"/>
          <w:sz w:val="24"/>
          <w:szCs w:val="24"/>
        </w:rPr>
        <w:t>English legal system</w:t>
      </w:r>
      <w:r>
        <w:rPr>
          <w:sz w:val="24"/>
          <w:szCs w:val="24"/>
        </w:rPr>
        <w:t>”</w:t>
      </w:r>
      <w:r>
        <w:rPr>
          <w:color w:val="000000"/>
          <w:sz w:val="24"/>
          <w:szCs w:val="24"/>
        </w:rPr>
        <w:t xml:space="preserve"> and the different types of laws and jurisdictions can only</w:t>
      </w:r>
      <w:r>
        <w:rPr>
          <w:sz w:val="24"/>
          <w:szCs w:val="24"/>
        </w:rPr>
        <w:t xml:space="preserve"> be understood by first outlining </w:t>
      </w:r>
      <w:r>
        <w:rPr>
          <w:color w:val="000000"/>
          <w:sz w:val="24"/>
          <w:szCs w:val="24"/>
        </w:rPr>
        <w:t xml:space="preserve">the sources of law which are classified as primary and secondary. The primary sources include legislation such as </w:t>
      </w:r>
      <w:r>
        <w:rPr>
          <w:sz w:val="24"/>
          <w:szCs w:val="24"/>
        </w:rPr>
        <w:t>“</w:t>
      </w:r>
      <w:r>
        <w:rPr>
          <w:color w:val="000000"/>
          <w:sz w:val="24"/>
          <w:szCs w:val="24"/>
        </w:rPr>
        <w:t>statutory instruments, Acts of Parliament of statutes</w:t>
      </w:r>
      <w:r>
        <w:rPr>
          <w:sz w:val="24"/>
          <w:szCs w:val="24"/>
        </w:rPr>
        <w:t>”</w:t>
      </w:r>
      <w:r>
        <w:rPr>
          <w:color w:val="000000"/>
          <w:sz w:val="24"/>
          <w:szCs w:val="24"/>
        </w:rPr>
        <w:t xml:space="preserve">, etc. Moreover, </w:t>
      </w:r>
      <w:r>
        <w:rPr>
          <w:sz w:val="24"/>
          <w:szCs w:val="24"/>
        </w:rPr>
        <w:t>“c</w:t>
      </w:r>
      <w:r>
        <w:rPr>
          <w:color w:val="000000"/>
          <w:sz w:val="24"/>
          <w:szCs w:val="24"/>
        </w:rPr>
        <w:t>ase laws</w:t>
      </w:r>
      <w:r>
        <w:rPr>
          <w:sz w:val="24"/>
          <w:szCs w:val="24"/>
        </w:rPr>
        <w:t>”</w:t>
      </w:r>
      <w:r>
        <w:rPr>
          <w:color w:val="000000"/>
          <w:sz w:val="24"/>
          <w:szCs w:val="24"/>
        </w:rPr>
        <w:t xml:space="preserve"> are also a primary source of law which uses existing decisions or “records of previous cases” and applies the findings to form new laws. The secondary sources, on the other hand, are found in commentaries and textbooks </w:t>
      </w:r>
      <w:r>
        <w:rPr>
          <w:sz w:val="24"/>
          <w:szCs w:val="24"/>
        </w:rPr>
        <w:t xml:space="preserve">drafted </w:t>
      </w:r>
      <w:r>
        <w:rPr>
          <w:color w:val="000000"/>
          <w:sz w:val="24"/>
          <w:szCs w:val="24"/>
        </w:rPr>
        <w:t xml:space="preserve">by legal writers or </w:t>
      </w:r>
      <w:r>
        <w:rPr>
          <w:sz w:val="24"/>
          <w:szCs w:val="24"/>
        </w:rPr>
        <w:t xml:space="preserve">the thoughts </w:t>
      </w:r>
      <w:r>
        <w:rPr>
          <w:color w:val="000000"/>
          <w:sz w:val="24"/>
          <w:szCs w:val="24"/>
        </w:rPr>
        <w:t>of experts</w:t>
      </w:r>
      <w:r>
        <w:rPr>
          <w:sz w:val="24"/>
          <w:szCs w:val="24"/>
        </w:rPr>
        <w:t xml:space="preserve"> in the field of law</w:t>
      </w:r>
      <w:r>
        <w:rPr>
          <w:color w:val="000000"/>
          <w:sz w:val="24"/>
          <w:szCs w:val="24"/>
        </w:rPr>
        <w:t xml:space="preserve"> as well as from </w:t>
      </w:r>
      <w:r>
        <w:rPr>
          <w:sz w:val="24"/>
          <w:szCs w:val="24"/>
        </w:rPr>
        <w:t xml:space="preserve">“precedents” </w:t>
      </w:r>
      <w:r>
        <w:rPr>
          <w:color w:val="000000"/>
          <w:sz w:val="24"/>
          <w:szCs w:val="24"/>
        </w:rPr>
        <w:t xml:space="preserve">from other </w:t>
      </w:r>
      <w:r>
        <w:rPr>
          <w:sz w:val="24"/>
          <w:szCs w:val="24"/>
        </w:rPr>
        <w:t xml:space="preserve">courts </w:t>
      </w:r>
      <w:r>
        <w:rPr>
          <w:color w:val="000000"/>
          <w:sz w:val="24"/>
          <w:szCs w:val="24"/>
        </w:rPr>
        <w:t xml:space="preserve">(Partington, 2021). These sources of law can or cannot be considered by judges in the court while making decisions. The </w:t>
      </w:r>
      <w:r>
        <w:rPr>
          <w:b/>
          <w:i/>
          <w:sz w:val="24"/>
          <w:szCs w:val="24"/>
        </w:rPr>
        <w:t>“</w:t>
      </w:r>
      <w:r>
        <w:rPr>
          <w:b/>
          <w:i/>
          <w:color w:val="000000"/>
          <w:sz w:val="24"/>
          <w:szCs w:val="24"/>
        </w:rPr>
        <w:t>common law</w:t>
      </w:r>
      <w:r>
        <w:rPr>
          <w:b/>
          <w:i/>
          <w:sz w:val="24"/>
          <w:szCs w:val="24"/>
        </w:rPr>
        <w:t>”</w:t>
      </w:r>
      <w:r>
        <w:rPr>
          <w:b/>
          <w:i/>
          <w:color w:val="000000"/>
          <w:sz w:val="24"/>
          <w:szCs w:val="24"/>
        </w:rPr>
        <w:t xml:space="preserve"> </w:t>
      </w:r>
      <w:r>
        <w:rPr>
          <w:color w:val="000000"/>
          <w:sz w:val="24"/>
          <w:szCs w:val="24"/>
        </w:rPr>
        <w:t xml:space="preserve">is declarations made by judges and they are </w:t>
      </w:r>
      <w:r>
        <w:rPr>
          <w:sz w:val="24"/>
          <w:szCs w:val="24"/>
        </w:rPr>
        <w:t>obtained</w:t>
      </w:r>
      <w:r>
        <w:rPr>
          <w:color w:val="000000"/>
          <w:sz w:val="24"/>
          <w:szCs w:val="24"/>
        </w:rPr>
        <w:t xml:space="preserve"> from </w:t>
      </w:r>
      <w:r>
        <w:rPr>
          <w:sz w:val="24"/>
          <w:szCs w:val="24"/>
        </w:rPr>
        <w:t>“</w:t>
      </w:r>
      <w:r>
        <w:rPr>
          <w:color w:val="000000"/>
          <w:sz w:val="24"/>
          <w:szCs w:val="24"/>
        </w:rPr>
        <w:t>precedent and custom</w:t>
      </w:r>
      <w:r>
        <w:rPr>
          <w:sz w:val="24"/>
          <w:szCs w:val="24"/>
        </w:rPr>
        <w:t>”</w:t>
      </w:r>
      <w:r>
        <w:rPr>
          <w:color w:val="000000"/>
          <w:sz w:val="24"/>
          <w:szCs w:val="24"/>
        </w:rPr>
        <w:t xml:space="preserve">. It was first </w:t>
      </w:r>
      <w:r>
        <w:rPr>
          <w:sz w:val="24"/>
          <w:szCs w:val="24"/>
        </w:rPr>
        <w:t xml:space="preserve">found </w:t>
      </w:r>
      <w:r>
        <w:rPr>
          <w:color w:val="000000"/>
          <w:sz w:val="24"/>
          <w:szCs w:val="24"/>
        </w:rPr>
        <w:t xml:space="preserve">in the 12th century through the reforms </w:t>
      </w:r>
      <w:r>
        <w:rPr>
          <w:sz w:val="24"/>
          <w:szCs w:val="24"/>
        </w:rPr>
        <w:t>in</w:t>
      </w:r>
      <w:r>
        <w:rPr>
          <w:color w:val="000000"/>
          <w:sz w:val="24"/>
          <w:szCs w:val="24"/>
        </w:rPr>
        <w:t xml:space="preserve"> legi</w:t>
      </w:r>
      <w:r>
        <w:rPr>
          <w:sz w:val="24"/>
          <w:szCs w:val="24"/>
        </w:rPr>
        <w:t>slation introduced by</w:t>
      </w:r>
      <w:r>
        <w:rPr>
          <w:color w:val="000000"/>
          <w:sz w:val="24"/>
          <w:szCs w:val="24"/>
        </w:rPr>
        <w:t xml:space="preserve"> </w:t>
      </w:r>
      <w:r>
        <w:rPr>
          <w:sz w:val="24"/>
          <w:szCs w:val="24"/>
        </w:rPr>
        <w:t>“</w:t>
      </w:r>
      <w:r>
        <w:rPr>
          <w:color w:val="000000"/>
          <w:sz w:val="24"/>
          <w:szCs w:val="24"/>
        </w:rPr>
        <w:t>King Henry II</w:t>
      </w:r>
      <w:r>
        <w:rPr>
          <w:sz w:val="24"/>
          <w:szCs w:val="24"/>
        </w:rPr>
        <w:t>”</w:t>
      </w:r>
      <w:r>
        <w:rPr>
          <w:color w:val="000000"/>
          <w:sz w:val="24"/>
          <w:szCs w:val="24"/>
        </w:rPr>
        <w:t xml:space="preserve"> and was applied to everyone in the country equally, thereby receiving its name as common law (Harding, 2019). </w:t>
      </w:r>
    </w:p>
    <w:p w14:paraId="68DD56C0" w14:textId="77777777" w:rsidR="00C22400" w:rsidRDefault="00FC336C">
      <w:pPr>
        <w:pBdr>
          <w:top w:val="nil"/>
          <w:left w:val="nil"/>
          <w:bottom w:val="nil"/>
          <w:right w:val="nil"/>
          <w:between w:val="nil"/>
        </w:pBdr>
        <w:spacing w:line="360" w:lineRule="auto"/>
        <w:jc w:val="both"/>
        <w:rPr>
          <w:color w:val="000000"/>
          <w:sz w:val="24"/>
          <w:szCs w:val="24"/>
        </w:rPr>
      </w:pPr>
      <w:r>
        <w:rPr>
          <w:color w:val="000000"/>
          <w:sz w:val="24"/>
          <w:szCs w:val="24"/>
        </w:rPr>
        <w:t xml:space="preserve">Common laws are precedents and they are used in court based on previous cases and decisions made in the “courts of record” or as called in Latin </w:t>
      </w:r>
      <w:r>
        <w:rPr>
          <w:b/>
          <w:i/>
          <w:color w:val="000000"/>
          <w:sz w:val="24"/>
          <w:szCs w:val="24"/>
        </w:rPr>
        <w:t xml:space="preserve">“stare decisis” </w:t>
      </w:r>
      <w:r>
        <w:rPr>
          <w:color w:val="000000"/>
          <w:sz w:val="24"/>
          <w:szCs w:val="24"/>
        </w:rPr>
        <w:t xml:space="preserve">(Baker, 2019). Under the </w:t>
      </w:r>
      <w:r>
        <w:rPr>
          <w:sz w:val="24"/>
          <w:szCs w:val="24"/>
        </w:rPr>
        <w:t>“</w:t>
      </w:r>
      <w:r>
        <w:rPr>
          <w:color w:val="000000"/>
          <w:sz w:val="24"/>
          <w:szCs w:val="24"/>
        </w:rPr>
        <w:t>common law</w:t>
      </w:r>
      <w:r>
        <w:rPr>
          <w:sz w:val="24"/>
          <w:szCs w:val="24"/>
        </w:rPr>
        <w:t>”</w:t>
      </w:r>
      <w:r>
        <w:rPr>
          <w:color w:val="000000"/>
          <w:sz w:val="24"/>
          <w:szCs w:val="24"/>
        </w:rPr>
        <w:t xml:space="preserve">, </w:t>
      </w:r>
      <w:r>
        <w:rPr>
          <w:sz w:val="24"/>
          <w:szCs w:val="24"/>
        </w:rPr>
        <w:t>“</w:t>
      </w:r>
      <w:r>
        <w:rPr>
          <w:color w:val="000000"/>
          <w:sz w:val="24"/>
          <w:szCs w:val="24"/>
        </w:rPr>
        <w:t>substantive</w:t>
      </w:r>
      <w:r>
        <w:rPr>
          <w:sz w:val="24"/>
          <w:szCs w:val="24"/>
        </w:rPr>
        <w:t>”</w:t>
      </w:r>
      <w:r>
        <w:rPr>
          <w:color w:val="000000"/>
          <w:sz w:val="24"/>
          <w:szCs w:val="24"/>
        </w:rPr>
        <w:t xml:space="preserve"> rules such as the offences of theft, murder and more as well as </w:t>
      </w:r>
      <w:r>
        <w:rPr>
          <w:sz w:val="24"/>
          <w:szCs w:val="24"/>
        </w:rPr>
        <w:t>“</w:t>
      </w:r>
      <w:r>
        <w:rPr>
          <w:color w:val="000000"/>
          <w:sz w:val="24"/>
          <w:szCs w:val="24"/>
        </w:rPr>
        <w:t>procedural</w:t>
      </w:r>
      <w:r>
        <w:rPr>
          <w:sz w:val="24"/>
          <w:szCs w:val="24"/>
        </w:rPr>
        <w:t>”</w:t>
      </w:r>
      <w:r>
        <w:rPr>
          <w:color w:val="000000"/>
          <w:sz w:val="24"/>
          <w:szCs w:val="24"/>
        </w:rPr>
        <w:t xml:space="preserve"> rules such as court procedures and more are derived. The </w:t>
      </w:r>
      <w:r>
        <w:rPr>
          <w:sz w:val="24"/>
          <w:szCs w:val="24"/>
        </w:rPr>
        <w:t>“</w:t>
      </w:r>
      <w:r>
        <w:rPr>
          <w:color w:val="000000"/>
          <w:sz w:val="24"/>
          <w:szCs w:val="24"/>
        </w:rPr>
        <w:t>common law</w:t>
      </w:r>
      <w:r>
        <w:rPr>
          <w:sz w:val="24"/>
          <w:szCs w:val="24"/>
        </w:rPr>
        <w:t>”</w:t>
      </w:r>
      <w:r>
        <w:rPr>
          <w:color w:val="000000"/>
          <w:sz w:val="24"/>
          <w:szCs w:val="24"/>
        </w:rPr>
        <w:t xml:space="preserve"> can and may be replaced or superseded through legislation, which is superior and holds the power to take over the </w:t>
      </w:r>
      <w:r>
        <w:rPr>
          <w:sz w:val="24"/>
          <w:szCs w:val="24"/>
        </w:rPr>
        <w:t>“</w:t>
      </w:r>
      <w:r>
        <w:rPr>
          <w:color w:val="000000"/>
          <w:sz w:val="24"/>
          <w:szCs w:val="24"/>
        </w:rPr>
        <w:t>common law</w:t>
      </w:r>
      <w:r>
        <w:rPr>
          <w:sz w:val="24"/>
          <w:szCs w:val="24"/>
        </w:rPr>
        <w:t>”</w:t>
      </w:r>
      <w:r>
        <w:rPr>
          <w:color w:val="000000"/>
          <w:sz w:val="24"/>
          <w:szCs w:val="24"/>
        </w:rPr>
        <w:t xml:space="preserve">. However, if the laws are derived from a statute, only Parliament has the power to change them (Partington, 2021). Therefore, there are some limitations to the extent to which judges can change common laws with creative legislation. </w:t>
      </w:r>
    </w:p>
    <w:p w14:paraId="0E55EB14" w14:textId="77777777" w:rsidR="00C22400" w:rsidRDefault="00FC336C">
      <w:pPr>
        <w:pStyle w:val="Heading1"/>
        <w:rPr>
          <w:rFonts w:ascii="Arial" w:eastAsia="Arial" w:hAnsi="Arial" w:cs="Arial"/>
        </w:rPr>
      </w:pPr>
      <w:bookmarkStart w:id="2" w:name="_heading=h.1fob9te" w:colFirst="0" w:colLast="0"/>
      <w:bookmarkEnd w:id="2"/>
      <w:r>
        <w:rPr>
          <w:rFonts w:ascii="Arial" w:eastAsia="Arial" w:hAnsi="Arial" w:cs="Arial"/>
        </w:rPr>
        <w:t>“Civil Law”</w:t>
      </w:r>
    </w:p>
    <w:p w14:paraId="11282440" w14:textId="77777777" w:rsidR="00C22400" w:rsidRDefault="00FC336C">
      <w:pPr>
        <w:pBdr>
          <w:top w:val="nil"/>
          <w:left w:val="nil"/>
          <w:bottom w:val="nil"/>
          <w:right w:val="nil"/>
          <w:between w:val="nil"/>
        </w:pBdr>
        <w:spacing w:line="360" w:lineRule="auto"/>
        <w:jc w:val="both"/>
        <w:rPr>
          <w:color w:val="000000"/>
          <w:sz w:val="24"/>
          <w:szCs w:val="24"/>
        </w:rPr>
      </w:pPr>
      <w:r>
        <w:rPr>
          <w:color w:val="000000"/>
          <w:sz w:val="24"/>
          <w:szCs w:val="24"/>
        </w:rPr>
        <w:t xml:space="preserve">The system of law comprises a legal system that is derived based on a code of laws which is in contrast to the </w:t>
      </w:r>
      <w:r>
        <w:rPr>
          <w:sz w:val="24"/>
          <w:szCs w:val="24"/>
        </w:rPr>
        <w:t>“</w:t>
      </w:r>
      <w:r>
        <w:rPr>
          <w:color w:val="000000"/>
          <w:sz w:val="24"/>
          <w:szCs w:val="24"/>
        </w:rPr>
        <w:t>common law system</w:t>
      </w:r>
      <w:r>
        <w:rPr>
          <w:sz w:val="24"/>
          <w:szCs w:val="24"/>
        </w:rPr>
        <w:t>”</w:t>
      </w:r>
      <w:r>
        <w:rPr>
          <w:color w:val="000000"/>
          <w:sz w:val="24"/>
          <w:szCs w:val="24"/>
        </w:rPr>
        <w:t xml:space="preserve"> that is derived </w:t>
      </w:r>
      <w:r>
        <w:rPr>
          <w:sz w:val="24"/>
          <w:szCs w:val="24"/>
        </w:rPr>
        <w:t>from</w:t>
      </w:r>
      <w:r>
        <w:rPr>
          <w:color w:val="000000"/>
          <w:sz w:val="24"/>
          <w:szCs w:val="24"/>
        </w:rPr>
        <w:t xml:space="preserve"> the doctrine of precedent (McLeod, 2020). It can be defined in contrast to three different alternatives;</w:t>
      </w:r>
    </w:p>
    <w:p w14:paraId="4C0377C0" w14:textId="77777777" w:rsidR="00C22400" w:rsidRDefault="00FC336C">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Civil in contrast to criminal law</w:t>
      </w:r>
    </w:p>
    <w:p w14:paraId="3C15EC0C" w14:textId="77777777" w:rsidR="00C22400" w:rsidRDefault="00FC336C">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Civil as secular law which is not influenced by any form of religious law</w:t>
      </w:r>
    </w:p>
    <w:p w14:paraId="300D6665" w14:textId="77777777" w:rsidR="00C22400" w:rsidRDefault="00FC336C">
      <w:pPr>
        <w:numPr>
          <w:ilvl w:val="0"/>
          <w:numId w:val="1"/>
        </w:numPr>
        <w:pBdr>
          <w:top w:val="nil"/>
          <w:left w:val="nil"/>
          <w:bottom w:val="nil"/>
          <w:right w:val="nil"/>
          <w:between w:val="nil"/>
        </w:pBdr>
        <w:spacing w:line="360" w:lineRule="auto"/>
        <w:jc w:val="both"/>
        <w:rPr>
          <w:color w:val="000000"/>
          <w:sz w:val="24"/>
          <w:szCs w:val="24"/>
        </w:rPr>
      </w:pPr>
      <w:r>
        <w:rPr>
          <w:color w:val="000000"/>
          <w:sz w:val="24"/>
          <w:szCs w:val="24"/>
        </w:rPr>
        <w:t xml:space="preserve">Civil law as a legal system, which does not depend on precedent and custom like the common law, but rather is derived from a code of law. </w:t>
      </w:r>
    </w:p>
    <w:p w14:paraId="0D1E08F6" w14:textId="77777777" w:rsidR="00C22400" w:rsidRDefault="00FC336C">
      <w:pPr>
        <w:pBdr>
          <w:top w:val="nil"/>
          <w:left w:val="nil"/>
          <w:bottom w:val="nil"/>
          <w:right w:val="nil"/>
          <w:between w:val="nil"/>
        </w:pBdr>
        <w:spacing w:line="360" w:lineRule="auto"/>
        <w:jc w:val="both"/>
        <w:rPr>
          <w:color w:val="000000"/>
          <w:sz w:val="24"/>
          <w:szCs w:val="24"/>
        </w:rPr>
      </w:pPr>
      <w:r>
        <w:rPr>
          <w:color w:val="000000"/>
          <w:sz w:val="24"/>
          <w:szCs w:val="24"/>
        </w:rPr>
        <w:lastRenderedPageBreak/>
        <w:t xml:space="preserve">There are different types of civil laws such as </w:t>
      </w:r>
      <w:r>
        <w:rPr>
          <w:b/>
          <w:i/>
          <w:color w:val="000000"/>
          <w:sz w:val="24"/>
          <w:szCs w:val="24"/>
        </w:rPr>
        <w:t xml:space="preserve">“contract, tort, company law, revenue law, intellectual property law,  media and communications law and family law and court of protection” </w:t>
      </w:r>
      <w:r>
        <w:rPr>
          <w:color w:val="000000"/>
          <w:sz w:val="24"/>
          <w:szCs w:val="24"/>
        </w:rPr>
        <w:t>(Tardi, 2020)</w:t>
      </w:r>
      <w:r>
        <w:rPr>
          <w:b/>
          <w:i/>
          <w:color w:val="000000"/>
          <w:sz w:val="24"/>
          <w:szCs w:val="24"/>
        </w:rPr>
        <w:t xml:space="preserve">. </w:t>
      </w:r>
      <w:r>
        <w:rPr>
          <w:color w:val="000000"/>
          <w:sz w:val="24"/>
          <w:szCs w:val="24"/>
        </w:rPr>
        <w:t xml:space="preserve">Contracts are agreements that are either in written or oral form between businesses or individuals. Any dispute arising over a breach of contract falls under civil law. A tort is a legal wrongdoing that occurs when a duty is broken and it involves claims to be made such as for negligence, misuse of private information, defamation and more. Company laws are regulations and guidelines formed for business companies and corporations (Parliament, 2023). Revenue laws involve disputes and conflicts arising out of the assessment of duties and taxes levied on individuals and organisations. IP law involves guidelines and legal frameworks associated with rights and duties that concern copyright, trademarks, patents and more (McLeod, 2020). The publication and broadcast of content by media organisations are governed by the media and communications law. Family law is concerned with cases involving the protection of children, matrimonial finances issues, marriage and divorce and more. </w:t>
      </w:r>
    </w:p>
    <w:p w14:paraId="544A77CB" w14:textId="77777777" w:rsidR="00C22400" w:rsidRDefault="00FC336C">
      <w:pPr>
        <w:pStyle w:val="Heading1"/>
        <w:rPr>
          <w:rFonts w:ascii="Arial" w:eastAsia="Arial" w:hAnsi="Arial" w:cs="Arial"/>
        </w:rPr>
      </w:pPr>
      <w:bookmarkStart w:id="3" w:name="_heading=h.3znysh7" w:colFirst="0" w:colLast="0"/>
      <w:bookmarkEnd w:id="3"/>
      <w:r>
        <w:rPr>
          <w:rFonts w:ascii="Arial" w:eastAsia="Arial" w:hAnsi="Arial" w:cs="Arial"/>
        </w:rPr>
        <w:t>“Difference between Common and Civil Law”</w:t>
      </w:r>
    </w:p>
    <w:p w14:paraId="47E289F3" w14:textId="77777777" w:rsidR="00C22400" w:rsidRDefault="00FC336C">
      <w:pPr>
        <w:pBdr>
          <w:top w:val="nil"/>
          <w:left w:val="nil"/>
          <w:bottom w:val="nil"/>
          <w:right w:val="nil"/>
          <w:between w:val="nil"/>
        </w:pBdr>
        <w:spacing w:line="360" w:lineRule="auto"/>
        <w:jc w:val="both"/>
        <w:rPr>
          <w:color w:val="000000"/>
          <w:sz w:val="24"/>
          <w:szCs w:val="24"/>
        </w:rPr>
      </w:pPr>
      <w:r>
        <w:rPr>
          <w:color w:val="000000"/>
          <w:sz w:val="24"/>
          <w:szCs w:val="24"/>
        </w:rPr>
        <w:t xml:space="preserve">The countries following the common law system use case laws that are derived from published judicial hearings and opinions as their primary source of law to make decisions. On the other hand, the countries following the civil law system are more inclined towards a legal code of practice or conduct that is either written or orally communicated for making decisions and handing out judgements (Schäfer and Ott, 2022). In order to have a deeper insight into both these systems of law and outline the differences efficiently, the historical underpinnings of both these laws can be studied. The common law can be traced back to England when the monarchy used to issue formal orders or "writs" for laying down justice. Although, this was not adequate to cover every case and so courts were established to review the complaints and provide remedial measures from a range of sources of authority. These decisions over time became precedential opinions that courts and judges started using for current cases and it turned into the common law. On the </w:t>
      </w:r>
      <w:r>
        <w:rPr>
          <w:sz w:val="24"/>
          <w:szCs w:val="24"/>
        </w:rPr>
        <w:t>contrary</w:t>
      </w:r>
      <w:r>
        <w:rPr>
          <w:color w:val="000000"/>
          <w:sz w:val="24"/>
          <w:szCs w:val="24"/>
        </w:rPr>
        <w:t xml:space="preserve">, </w:t>
      </w:r>
      <w:r>
        <w:rPr>
          <w:sz w:val="24"/>
          <w:szCs w:val="24"/>
        </w:rPr>
        <w:t>“</w:t>
      </w:r>
      <w:r>
        <w:rPr>
          <w:color w:val="000000"/>
          <w:sz w:val="24"/>
          <w:szCs w:val="24"/>
        </w:rPr>
        <w:t>civil law</w:t>
      </w:r>
      <w:r>
        <w:rPr>
          <w:sz w:val="24"/>
          <w:szCs w:val="24"/>
        </w:rPr>
        <w:t>”</w:t>
      </w:r>
      <w:r>
        <w:rPr>
          <w:color w:val="000000"/>
          <w:sz w:val="24"/>
          <w:szCs w:val="24"/>
        </w:rPr>
        <w:t xml:space="preserve"> </w:t>
      </w:r>
      <w:r>
        <w:rPr>
          <w:sz w:val="24"/>
          <w:szCs w:val="24"/>
        </w:rPr>
        <w:t>was first heard of during</w:t>
      </w:r>
      <w:r>
        <w:rPr>
          <w:color w:val="000000"/>
          <w:sz w:val="24"/>
          <w:szCs w:val="24"/>
        </w:rPr>
        <w:t xml:space="preserve"> the time of the </w:t>
      </w:r>
      <w:r>
        <w:rPr>
          <w:sz w:val="24"/>
          <w:szCs w:val="24"/>
        </w:rPr>
        <w:t>“</w:t>
      </w:r>
      <w:r>
        <w:rPr>
          <w:color w:val="000000"/>
          <w:sz w:val="24"/>
          <w:szCs w:val="24"/>
        </w:rPr>
        <w:t>Roman Emperor Justinian</w:t>
      </w:r>
      <w:r>
        <w:rPr>
          <w:sz w:val="24"/>
          <w:szCs w:val="24"/>
        </w:rPr>
        <w:t>”</w:t>
      </w:r>
      <w:r>
        <w:rPr>
          <w:color w:val="000000"/>
          <w:sz w:val="24"/>
          <w:szCs w:val="24"/>
        </w:rPr>
        <w:t xml:space="preserve"> in 600 C.E. (</w:t>
      </w:r>
      <w:proofErr w:type="spellStart"/>
      <w:r>
        <w:rPr>
          <w:color w:val="000000"/>
          <w:sz w:val="24"/>
          <w:szCs w:val="24"/>
        </w:rPr>
        <w:t>Chouaibi</w:t>
      </w:r>
      <w:proofErr w:type="spellEnd"/>
      <w:r>
        <w:rPr>
          <w:color w:val="000000"/>
          <w:sz w:val="24"/>
          <w:szCs w:val="24"/>
        </w:rPr>
        <w:t xml:space="preserve"> </w:t>
      </w:r>
      <w:r>
        <w:rPr>
          <w:i/>
          <w:color w:val="000000"/>
          <w:sz w:val="24"/>
          <w:szCs w:val="24"/>
        </w:rPr>
        <w:t xml:space="preserve">et al., </w:t>
      </w:r>
      <w:r>
        <w:rPr>
          <w:color w:val="000000"/>
          <w:sz w:val="24"/>
          <w:szCs w:val="24"/>
        </w:rPr>
        <w:t xml:space="preserve">2022). </w:t>
      </w:r>
      <w:r>
        <w:rPr>
          <w:sz w:val="24"/>
          <w:szCs w:val="24"/>
        </w:rPr>
        <w:t>“</w:t>
      </w:r>
      <w:r>
        <w:rPr>
          <w:color w:val="000000"/>
          <w:sz w:val="24"/>
          <w:szCs w:val="24"/>
        </w:rPr>
        <w:t>Code of laws</w:t>
      </w:r>
      <w:r>
        <w:rPr>
          <w:sz w:val="24"/>
          <w:szCs w:val="24"/>
        </w:rPr>
        <w:t>”</w:t>
      </w:r>
      <w:r>
        <w:rPr>
          <w:color w:val="000000"/>
          <w:sz w:val="24"/>
          <w:szCs w:val="24"/>
        </w:rPr>
        <w:t xml:space="preserve"> was bound together to be used as legal guidelines and frameworks which evolved over many centuries and in different countries to be termed as </w:t>
      </w:r>
      <w:r>
        <w:rPr>
          <w:sz w:val="24"/>
          <w:szCs w:val="24"/>
        </w:rPr>
        <w:t>“</w:t>
      </w:r>
      <w:r>
        <w:rPr>
          <w:color w:val="000000"/>
          <w:sz w:val="24"/>
          <w:szCs w:val="24"/>
        </w:rPr>
        <w:t>civil law</w:t>
      </w:r>
      <w:r>
        <w:rPr>
          <w:sz w:val="24"/>
          <w:szCs w:val="24"/>
        </w:rPr>
        <w:t>”</w:t>
      </w:r>
      <w:r>
        <w:rPr>
          <w:color w:val="000000"/>
          <w:sz w:val="24"/>
          <w:szCs w:val="24"/>
        </w:rPr>
        <w:t xml:space="preserve"> with different nations having their own sets of laws. </w:t>
      </w:r>
    </w:p>
    <w:p w14:paraId="58D31BFF" w14:textId="77777777" w:rsidR="00C22400" w:rsidRDefault="00FC336C">
      <w:pPr>
        <w:pBdr>
          <w:top w:val="nil"/>
          <w:left w:val="nil"/>
          <w:bottom w:val="nil"/>
          <w:right w:val="nil"/>
          <w:between w:val="nil"/>
        </w:pBdr>
        <w:spacing w:line="360" w:lineRule="auto"/>
        <w:jc w:val="both"/>
        <w:rPr>
          <w:color w:val="000000"/>
          <w:sz w:val="24"/>
          <w:szCs w:val="24"/>
        </w:rPr>
      </w:pPr>
      <w:r>
        <w:rPr>
          <w:color w:val="000000"/>
          <w:sz w:val="24"/>
          <w:szCs w:val="24"/>
        </w:rPr>
        <w:lastRenderedPageBreak/>
        <w:t xml:space="preserve">The countries with the </w:t>
      </w:r>
      <w:r>
        <w:rPr>
          <w:sz w:val="24"/>
          <w:szCs w:val="24"/>
        </w:rPr>
        <w:t>“</w:t>
      </w:r>
      <w:r>
        <w:rPr>
          <w:color w:val="000000"/>
          <w:sz w:val="24"/>
          <w:szCs w:val="24"/>
        </w:rPr>
        <w:t>common law system</w:t>
      </w:r>
      <w:r>
        <w:rPr>
          <w:sz w:val="24"/>
          <w:szCs w:val="24"/>
        </w:rPr>
        <w:t>”</w:t>
      </w:r>
      <w:r>
        <w:rPr>
          <w:color w:val="000000"/>
          <w:sz w:val="24"/>
          <w:szCs w:val="24"/>
        </w:rPr>
        <w:t xml:space="preserve"> have lawyers playing a central role where they prepare presentations to be presented before the judge and also examine witnesses. The judges preside over the hearings and use the codes of law to make the appropriate judgements and arrive at remedial conclusions. On the contrary, countries with a civil law system have judges who are usually known as “investigators” and they are responsible for examining witnesses and findings remedies by themselves (Baker, 2020). The role of lawyers is less central, however, they still represent the clients and their interests during proceedings. Their main tasks in a civil law system include preparing legal pleadings, advising clients regarding the points of law and more. Moreover, in such a legal system, “quasi-legal professionals” serve individuals or businesses that may not be highly qualified with the drafting of contracts, preparation of wills and other non-litigation legal tasks (Schäfer and Ott, 2022). </w:t>
      </w:r>
    </w:p>
    <w:p w14:paraId="35E5F4FB" w14:textId="77777777" w:rsidR="00C22400" w:rsidRDefault="00FC336C">
      <w:pPr>
        <w:pStyle w:val="Heading1"/>
        <w:rPr>
          <w:rFonts w:ascii="Arial" w:eastAsia="Arial" w:hAnsi="Arial" w:cs="Arial"/>
        </w:rPr>
      </w:pPr>
      <w:bookmarkStart w:id="4" w:name="_heading=h.2et92p0" w:colFirst="0" w:colLast="0"/>
      <w:bookmarkEnd w:id="4"/>
      <w:r>
        <w:rPr>
          <w:rFonts w:ascii="Arial" w:eastAsia="Arial" w:hAnsi="Arial" w:cs="Arial"/>
        </w:rPr>
        <w:t>“History of common law”</w:t>
      </w:r>
    </w:p>
    <w:p w14:paraId="51F417E0" w14:textId="77777777" w:rsidR="00C22400" w:rsidRDefault="00FC336C">
      <w:pPr>
        <w:pBdr>
          <w:top w:val="nil"/>
          <w:left w:val="nil"/>
          <w:bottom w:val="nil"/>
          <w:right w:val="nil"/>
          <w:between w:val="nil"/>
        </w:pBdr>
        <w:spacing w:line="360" w:lineRule="auto"/>
        <w:jc w:val="both"/>
        <w:rPr>
          <w:color w:val="000000"/>
          <w:sz w:val="24"/>
          <w:szCs w:val="24"/>
        </w:rPr>
      </w:pPr>
      <w:r>
        <w:rPr>
          <w:color w:val="000000"/>
          <w:sz w:val="24"/>
          <w:szCs w:val="24"/>
        </w:rPr>
        <w:t>The origin of the common law can be</w:t>
      </w:r>
      <w:r>
        <w:rPr>
          <w:sz w:val="24"/>
          <w:szCs w:val="24"/>
        </w:rPr>
        <w:t xml:space="preserve"> found during </w:t>
      </w:r>
      <w:r>
        <w:rPr>
          <w:color w:val="000000"/>
          <w:sz w:val="24"/>
          <w:szCs w:val="24"/>
        </w:rPr>
        <w:t xml:space="preserve">the </w:t>
      </w:r>
      <w:r>
        <w:rPr>
          <w:sz w:val="24"/>
          <w:szCs w:val="24"/>
        </w:rPr>
        <w:t>“</w:t>
      </w:r>
      <w:r>
        <w:rPr>
          <w:color w:val="000000"/>
          <w:sz w:val="24"/>
          <w:szCs w:val="24"/>
        </w:rPr>
        <w:t>early Middle Ages</w:t>
      </w:r>
      <w:r>
        <w:rPr>
          <w:sz w:val="24"/>
          <w:szCs w:val="24"/>
        </w:rPr>
        <w:t>”</w:t>
      </w:r>
      <w:r>
        <w:rPr>
          <w:color w:val="000000"/>
          <w:sz w:val="24"/>
          <w:szCs w:val="24"/>
        </w:rPr>
        <w:t xml:space="preserve"> in the “King’s Court” or “Curia Regis”. Similar to the other legal systems of that time, it also did not have substantive rules and rights and rather worked with procedural rules and remedies (Harding, 2019). These remedies transformed into modern legal </w:t>
      </w:r>
      <w:r>
        <w:rPr>
          <w:sz w:val="24"/>
          <w:szCs w:val="24"/>
        </w:rPr>
        <w:t xml:space="preserve">frameworks </w:t>
      </w:r>
      <w:r>
        <w:rPr>
          <w:color w:val="000000"/>
          <w:sz w:val="24"/>
          <w:szCs w:val="24"/>
        </w:rPr>
        <w:t xml:space="preserve">where rights are given more priority over procedures. The </w:t>
      </w:r>
      <w:r>
        <w:rPr>
          <w:sz w:val="24"/>
          <w:szCs w:val="24"/>
        </w:rPr>
        <w:t>“</w:t>
      </w:r>
      <w:r>
        <w:rPr>
          <w:color w:val="000000"/>
          <w:sz w:val="24"/>
          <w:szCs w:val="24"/>
        </w:rPr>
        <w:t>English common law</w:t>
      </w:r>
      <w:r>
        <w:rPr>
          <w:sz w:val="24"/>
          <w:szCs w:val="24"/>
        </w:rPr>
        <w:t>”</w:t>
      </w:r>
      <w:r>
        <w:rPr>
          <w:color w:val="000000"/>
          <w:sz w:val="24"/>
          <w:szCs w:val="24"/>
        </w:rPr>
        <w:t xml:space="preserve"> continued to be primarily formed and derived from the judges instead of legislators until the late 19th century (Tardi, 2020). The time after the Norman Conquest of 1066 was of great importance for the </w:t>
      </w:r>
      <w:r>
        <w:rPr>
          <w:sz w:val="24"/>
          <w:szCs w:val="24"/>
        </w:rPr>
        <w:t>formulation</w:t>
      </w:r>
      <w:r>
        <w:rPr>
          <w:color w:val="000000"/>
          <w:sz w:val="24"/>
          <w:szCs w:val="24"/>
        </w:rPr>
        <w:t xml:space="preserve"> of the </w:t>
      </w:r>
      <w:r>
        <w:rPr>
          <w:sz w:val="24"/>
          <w:szCs w:val="24"/>
        </w:rPr>
        <w:t>“</w:t>
      </w:r>
      <w:r>
        <w:rPr>
          <w:color w:val="000000"/>
          <w:sz w:val="24"/>
          <w:szCs w:val="24"/>
        </w:rPr>
        <w:t>common law</w:t>
      </w:r>
      <w:r>
        <w:rPr>
          <w:sz w:val="24"/>
          <w:szCs w:val="24"/>
        </w:rPr>
        <w:t>”</w:t>
      </w:r>
      <w:r>
        <w:rPr>
          <w:color w:val="000000"/>
          <w:sz w:val="24"/>
          <w:szCs w:val="24"/>
        </w:rPr>
        <w:t xml:space="preserve"> of England. The legal reforms </w:t>
      </w:r>
      <w:r>
        <w:rPr>
          <w:sz w:val="24"/>
          <w:szCs w:val="24"/>
        </w:rPr>
        <w:t>that were introduced by</w:t>
      </w:r>
      <w:r>
        <w:rPr>
          <w:color w:val="000000"/>
          <w:sz w:val="24"/>
          <w:szCs w:val="24"/>
        </w:rPr>
        <w:t xml:space="preserve"> </w:t>
      </w:r>
      <w:r>
        <w:rPr>
          <w:sz w:val="24"/>
          <w:szCs w:val="24"/>
        </w:rPr>
        <w:t>“</w:t>
      </w:r>
      <w:r>
        <w:rPr>
          <w:color w:val="000000"/>
          <w:sz w:val="24"/>
          <w:szCs w:val="24"/>
        </w:rPr>
        <w:t>King Henry II in the 12th century</w:t>
      </w:r>
      <w:r>
        <w:rPr>
          <w:sz w:val="24"/>
          <w:szCs w:val="24"/>
        </w:rPr>
        <w:t>”</w:t>
      </w:r>
      <w:r>
        <w:rPr>
          <w:color w:val="000000"/>
          <w:sz w:val="24"/>
          <w:szCs w:val="24"/>
        </w:rPr>
        <w:t xml:space="preserve"> gave a shallow structure and formation to the common law as it was equally applied to every citizen of the country despite being a commoner or a Royal (McLeod, 2020). Over the years, precedential opinions have been relied upon to decide on cases and derive appropriate remedies and these cases are also being corrected, if the situation arises, through a statute. </w:t>
      </w:r>
    </w:p>
    <w:p w14:paraId="1C44CC49" w14:textId="77777777" w:rsidR="00C22400" w:rsidRDefault="00FC336C">
      <w:pPr>
        <w:pStyle w:val="Heading1"/>
        <w:rPr>
          <w:rFonts w:ascii="Arial" w:eastAsia="Arial" w:hAnsi="Arial" w:cs="Arial"/>
        </w:rPr>
      </w:pPr>
      <w:bookmarkStart w:id="5" w:name="_heading=h.tyjcwt" w:colFirst="0" w:colLast="0"/>
      <w:bookmarkEnd w:id="5"/>
      <w:r>
        <w:rPr>
          <w:rFonts w:ascii="Arial" w:eastAsia="Arial" w:hAnsi="Arial" w:cs="Arial"/>
        </w:rPr>
        <w:t>“Examples of the common law working in practice”</w:t>
      </w:r>
    </w:p>
    <w:p w14:paraId="165DD32E" w14:textId="77777777" w:rsidR="00C22400" w:rsidRDefault="00FC336C">
      <w:pPr>
        <w:pBdr>
          <w:top w:val="nil"/>
          <w:left w:val="nil"/>
          <w:bottom w:val="nil"/>
          <w:right w:val="nil"/>
          <w:between w:val="nil"/>
        </w:pBdr>
        <w:spacing w:line="360" w:lineRule="auto"/>
        <w:jc w:val="both"/>
        <w:rPr>
          <w:b/>
          <w:color w:val="000000"/>
          <w:sz w:val="24"/>
          <w:szCs w:val="24"/>
        </w:rPr>
      </w:pPr>
      <w:r>
        <w:rPr>
          <w:color w:val="000000"/>
          <w:sz w:val="24"/>
          <w:szCs w:val="24"/>
        </w:rPr>
        <w:t xml:space="preserve">Common law has been in practice in the UK for many centuries as there have been numerous cases where judges have used precedential opinions and case laws to determine the outcome of current pleading. The acts of murder, theft and many such criminal offences fall under the common law as every citizen is deemed equal. Similarly, the human rights of individuals are also deemed necessary for any person </w:t>
      </w:r>
      <w:r>
        <w:rPr>
          <w:color w:val="000000"/>
          <w:sz w:val="24"/>
          <w:szCs w:val="24"/>
        </w:rPr>
        <w:lastRenderedPageBreak/>
        <w:t>under the jurisdiction and give them the right to face trial before being convicted on any ground whatsoever. A recent example of such as case appeared in 2016 when Gina Miller made a claim against the UK government asking that Article 50 could not be triggered. This made it necessary for Brexit could not to be decided upon by the government unanimously without an act of parliament. In 2017, the Supreme Court referred to precedential opinion from the 1610 case of proclamations and rule in the favour of Gina Miller (MILLER and Polakow-</w:t>
      </w:r>
      <w:proofErr w:type="spellStart"/>
      <w:r>
        <w:rPr>
          <w:color w:val="000000"/>
          <w:sz w:val="24"/>
          <w:szCs w:val="24"/>
        </w:rPr>
        <w:t>Suransky</w:t>
      </w:r>
      <w:proofErr w:type="spellEnd"/>
      <w:r>
        <w:rPr>
          <w:color w:val="000000"/>
          <w:sz w:val="24"/>
          <w:szCs w:val="24"/>
        </w:rPr>
        <w:t xml:space="preserve">, 2019). Thus, the English common law is still evolving and being used in practice in the country on several occasions. </w:t>
      </w:r>
      <w:r>
        <w:br w:type="page"/>
      </w:r>
    </w:p>
    <w:p w14:paraId="287B4A34" w14:textId="77777777" w:rsidR="00C22400" w:rsidRDefault="00FC336C">
      <w:pPr>
        <w:pStyle w:val="Heading1"/>
        <w:rPr>
          <w:rFonts w:ascii="Arial" w:eastAsia="Arial" w:hAnsi="Arial" w:cs="Arial"/>
        </w:rPr>
      </w:pPr>
      <w:bookmarkStart w:id="6" w:name="_heading=h.3dy6vkm" w:colFirst="0" w:colLast="0"/>
      <w:bookmarkEnd w:id="6"/>
      <w:r>
        <w:rPr>
          <w:rFonts w:ascii="Arial" w:eastAsia="Arial" w:hAnsi="Arial" w:cs="Arial"/>
        </w:rPr>
        <w:lastRenderedPageBreak/>
        <w:t>Conclusion</w:t>
      </w:r>
    </w:p>
    <w:p w14:paraId="1CDA731A" w14:textId="77777777" w:rsidR="00C22400" w:rsidRDefault="00FC336C">
      <w:pPr>
        <w:pBdr>
          <w:top w:val="nil"/>
          <w:left w:val="nil"/>
          <w:bottom w:val="nil"/>
          <w:right w:val="nil"/>
          <w:between w:val="nil"/>
        </w:pBdr>
        <w:spacing w:line="360" w:lineRule="auto"/>
        <w:jc w:val="both"/>
        <w:rPr>
          <w:b/>
          <w:color w:val="000000"/>
          <w:sz w:val="24"/>
          <w:szCs w:val="24"/>
        </w:rPr>
      </w:pPr>
      <w:r>
        <w:rPr>
          <w:color w:val="000000"/>
          <w:sz w:val="24"/>
          <w:szCs w:val="24"/>
        </w:rPr>
        <w:t xml:space="preserve">The above report has provided a detailed explanation of both common and civil law. The common law is the legal framework and decisions are made on the basis of precedential opinions. Civil law is based on a uniform code of conduct. The historical underpinnings provide a strong foundation regarding the formation and development of these laws. The example of the common law further strengthens the findings of the report. </w:t>
      </w:r>
      <w:r>
        <w:br w:type="page"/>
      </w:r>
    </w:p>
    <w:p w14:paraId="037E677E" w14:textId="77777777" w:rsidR="00C22400" w:rsidRDefault="00FC336C">
      <w:pPr>
        <w:pStyle w:val="Heading1"/>
        <w:rPr>
          <w:rFonts w:ascii="Arial" w:eastAsia="Arial" w:hAnsi="Arial" w:cs="Arial"/>
        </w:rPr>
      </w:pPr>
      <w:bookmarkStart w:id="7" w:name="_heading=h.1t3h5sf" w:colFirst="0" w:colLast="0"/>
      <w:bookmarkEnd w:id="7"/>
      <w:r>
        <w:rPr>
          <w:rFonts w:ascii="Arial" w:eastAsia="Arial" w:hAnsi="Arial" w:cs="Arial"/>
        </w:rPr>
        <w:lastRenderedPageBreak/>
        <w:t>References</w:t>
      </w:r>
    </w:p>
    <w:p w14:paraId="23550559" w14:textId="77777777" w:rsidR="00C22400" w:rsidRDefault="00FC336C">
      <w:pPr>
        <w:pBdr>
          <w:top w:val="nil"/>
          <w:left w:val="nil"/>
          <w:bottom w:val="nil"/>
          <w:right w:val="nil"/>
          <w:between w:val="nil"/>
        </w:pBdr>
        <w:spacing w:line="360" w:lineRule="auto"/>
        <w:jc w:val="both"/>
        <w:rPr>
          <w:color w:val="000000"/>
          <w:sz w:val="24"/>
          <w:szCs w:val="24"/>
        </w:rPr>
      </w:pPr>
      <w:r>
        <w:rPr>
          <w:color w:val="000000"/>
          <w:sz w:val="24"/>
          <w:szCs w:val="24"/>
        </w:rPr>
        <w:t>Baker, J.H., 2019. An introduction to English legal history. Oxford University Press.</w:t>
      </w:r>
    </w:p>
    <w:p w14:paraId="0FBAE022" w14:textId="77777777" w:rsidR="00C22400" w:rsidRDefault="00FC336C">
      <w:pPr>
        <w:pBdr>
          <w:top w:val="nil"/>
          <w:left w:val="nil"/>
          <w:bottom w:val="nil"/>
          <w:right w:val="nil"/>
          <w:between w:val="nil"/>
        </w:pBdr>
        <w:spacing w:line="360" w:lineRule="auto"/>
        <w:jc w:val="both"/>
        <w:rPr>
          <w:color w:val="000000"/>
          <w:sz w:val="24"/>
          <w:szCs w:val="24"/>
        </w:rPr>
      </w:pPr>
      <w:r>
        <w:rPr>
          <w:color w:val="000000"/>
          <w:sz w:val="24"/>
          <w:szCs w:val="24"/>
        </w:rPr>
        <w:t>Baker, J.H., 2020. Criminal courts and procedure at common law 1550–1800. In Crime in England 1550–1800 (pp. 15-48). Routledge.</w:t>
      </w:r>
    </w:p>
    <w:p w14:paraId="0F351FB1" w14:textId="77777777" w:rsidR="00C22400" w:rsidRDefault="00FC336C">
      <w:pPr>
        <w:pBdr>
          <w:top w:val="nil"/>
          <w:left w:val="nil"/>
          <w:bottom w:val="nil"/>
          <w:right w:val="nil"/>
          <w:between w:val="nil"/>
        </w:pBdr>
        <w:spacing w:line="360" w:lineRule="auto"/>
        <w:jc w:val="both"/>
        <w:rPr>
          <w:color w:val="000000"/>
          <w:sz w:val="24"/>
          <w:szCs w:val="24"/>
        </w:rPr>
      </w:pPr>
      <w:proofErr w:type="spellStart"/>
      <w:r>
        <w:rPr>
          <w:color w:val="000000"/>
          <w:sz w:val="24"/>
          <w:szCs w:val="24"/>
        </w:rPr>
        <w:t>Chouaibi</w:t>
      </w:r>
      <w:proofErr w:type="spellEnd"/>
      <w:r>
        <w:rPr>
          <w:color w:val="000000"/>
          <w:sz w:val="24"/>
          <w:szCs w:val="24"/>
        </w:rPr>
        <w:t xml:space="preserve">, S., </w:t>
      </w:r>
      <w:proofErr w:type="spellStart"/>
      <w:r>
        <w:rPr>
          <w:color w:val="000000"/>
          <w:sz w:val="24"/>
          <w:szCs w:val="24"/>
        </w:rPr>
        <w:t>Chouaibi</w:t>
      </w:r>
      <w:proofErr w:type="spellEnd"/>
      <w:r>
        <w:rPr>
          <w:color w:val="000000"/>
          <w:sz w:val="24"/>
          <w:szCs w:val="24"/>
        </w:rPr>
        <w:t xml:space="preserve">, J. and Rossi, M., 2022. ESG and corporate financial performance: The mediating role of green innovation: UK common law versus Germany civil law. </w:t>
      </w:r>
      <w:proofErr w:type="spellStart"/>
      <w:r>
        <w:rPr>
          <w:color w:val="000000"/>
          <w:sz w:val="24"/>
          <w:szCs w:val="24"/>
        </w:rPr>
        <w:t>EuroMed</w:t>
      </w:r>
      <w:proofErr w:type="spellEnd"/>
      <w:r>
        <w:rPr>
          <w:color w:val="000000"/>
          <w:sz w:val="24"/>
          <w:szCs w:val="24"/>
        </w:rPr>
        <w:t xml:space="preserve"> Journal of Business, 17(1), pp.46-71.</w:t>
      </w:r>
    </w:p>
    <w:p w14:paraId="040D8AA4" w14:textId="77777777" w:rsidR="00C22400" w:rsidRDefault="00FC336C">
      <w:pPr>
        <w:pBdr>
          <w:top w:val="nil"/>
          <w:left w:val="nil"/>
          <w:bottom w:val="nil"/>
          <w:right w:val="nil"/>
          <w:between w:val="nil"/>
        </w:pBdr>
        <w:spacing w:line="360" w:lineRule="auto"/>
        <w:jc w:val="both"/>
        <w:rPr>
          <w:color w:val="000000"/>
          <w:sz w:val="24"/>
          <w:szCs w:val="24"/>
        </w:rPr>
      </w:pPr>
      <w:r>
        <w:rPr>
          <w:color w:val="000000"/>
          <w:sz w:val="24"/>
          <w:szCs w:val="24"/>
        </w:rPr>
        <w:t>Harding, A., 2019. The law courts of medieval England. Routledge.</w:t>
      </w:r>
    </w:p>
    <w:p w14:paraId="168C780B" w14:textId="77777777" w:rsidR="00C22400" w:rsidRDefault="00FC336C">
      <w:pPr>
        <w:pBdr>
          <w:top w:val="nil"/>
          <w:left w:val="nil"/>
          <w:bottom w:val="nil"/>
          <w:right w:val="nil"/>
          <w:between w:val="nil"/>
        </w:pBdr>
        <w:spacing w:line="360" w:lineRule="auto"/>
        <w:jc w:val="both"/>
        <w:rPr>
          <w:color w:val="000000"/>
          <w:sz w:val="24"/>
          <w:szCs w:val="24"/>
        </w:rPr>
      </w:pPr>
      <w:r>
        <w:rPr>
          <w:color w:val="000000"/>
          <w:sz w:val="24"/>
          <w:szCs w:val="24"/>
        </w:rPr>
        <w:t>McLeod, I., 2020. Legal method. Bloomsbury Publishing.</w:t>
      </w:r>
    </w:p>
    <w:p w14:paraId="25E5F5E5" w14:textId="77777777" w:rsidR="00C22400" w:rsidRDefault="00FC336C">
      <w:pPr>
        <w:pBdr>
          <w:top w:val="nil"/>
          <w:left w:val="nil"/>
          <w:bottom w:val="nil"/>
          <w:right w:val="nil"/>
          <w:between w:val="nil"/>
        </w:pBdr>
        <w:spacing w:line="360" w:lineRule="auto"/>
        <w:jc w:val="both"/>
        <w:rPr>
          <w:color w:val="000000"/>
          <w:sz w:val="24"/>
          <w:szCs w:val="24"/>
        </w:rPr>
      </w:pPr>
      <w:r>
        <w:rPr>
          <w:color w:val="000000"/>
          <w:sz w:val="24"/>
          <w:szCs w:val="24"/>
        </w:rPr>
        <w:t>MILLER, G. and Polakow-</w:t>
      </w:r>
      <w:proofErr w:type="spellStart"/>
      <w:r>
        <w:rPr>
          <w:color w:val="000000"/>
          <w:sz w:val="24"/>
          <w:szCs w:val="24"/>
        </w:rPr>
        <w:t>Suransky</w:t>
      </w:r>
      <w:proofErr w:type="spellEnd"/>
      <w:r>
        <w:rPr>
          <w:color w:val="000000"/>
          <w:sz w:val="24"/>
          <w:szCs w:val="24"/>
        </w:rPr>
        <w:t>, S., 2019. The Bane of the Brexiteers. Foreign Policy, (231), pp.58-61.</w:t>
      </w:r>
    </w:p>
    <w:p w14:paraId="02171901" w14:textId="77777777" w:rsidR="00C22400" w:rsidRDefault="00FC336C">
      <w:pPr>
        <w:pBdr>
          <w:top w:val="nil"/>
          <w:left w:val="nil"/>
          <w:bottom w:val="nil"/>
          <w:right w:val="nil"/>
          <w:between w:val="nil"/>
        </w:pBdr>
        <w:spacing w:line="360" w:lineRule="auto"/>
        <w:jc w:val="both"/>
        <w:rPr>
          <w:color w:val="000000"/>
          <w:sz w:val="24"/>
          <w:szCs w:val="24"/>
        </w:rPr>
      </w:pPr>
      <w:r>
        <w:rPr>
          <w:color w:val="000000"/>
          <w:sz w:val="24"/>
          <w:szCs w:val="24"/>
        </w:rPr>
        <w:t xml:space="preserve">Parliament (2023) </w:t>
      </w:r>
      <w:r>
        <w:rPr>
          <w:i/>
          <w:color w:val="000000"/>
          <w:sz w:val="24"/>
          <w:szCs w:val="24"/>
        </w:rPr>
        <w:t>Crime, civil law, justice and rights - UK parliament</w:t>
      </w:r>
      <w:r>
        <w:rPr>
          <w:color w:val="000000"/>
          <w:sz w:val="24"/>
          <w:szCs w:val="24"/>
        </w:rPr>
        <w:t xml:space="preserve">, </w:t>
      </w:r>
      <w:r>
        <w:rPr>
          <w:i/>
          <w:color w:val="000000"/>
          <w:sz w:val="24"/>
          <w:szCs w:val="24"/>
        </w:rPr>
        <w:t>UK Parliament</w:t>
      </w:r>
      <w:r>
        <w:rPr>
          <w:color w:val="000000"/>
          <w:sz w:val="24"/>
          <w:szCs w:val="24"/>
        </w:rPr>
        <w:t xml:space="preserve">. Available at: https://www.parliament.uk/business/news/crime-civil-law-justice-and-rights/ (Accessed: March 3, 2023). </w:t>
      </w:r>
    </w:p>
    <w:p w14:paraId="4B26E16D" w14:textId="77777777" w:rsidR="00C22400" w:rsidRDefault="00FC336C">
      <w:pPr>
        <w:pBdr>
          <w:top w:val="nil"/>
          <w:left w:val="nil"/>
          <w:bottom w:val="nil"/>
          <w:right w:val="nil"/>
          <w:between w:val="nil"/>
        </w:pBdr>
        <w:spacing w:line="360" w:lineRule="auto"/>
        <w:jc w:val="both"/>
        <w:rPr>
          <w:color w:val="000000"/>
          <w:sz w:val="24"/>
          <w:szCs w:val="24"/>
        </w:rPr>
      </w:pPr>
      <w:r>
        <w:rPr>
          <w:color w:val="000000"/>
          <w:sz w:val="24"/>
          <w:szCs w:val="24"/>
        </w:rPr>
        <w:t>Partington, M., 2021. Introduction to the English legal system. Oxford University Press.</w:t>
      </w:r>
    </w:p>
    <w:p w14:paraId="2DA2F6EE" w14:textId="77777777" w:rsidR="00C22400" w:rsidRDefault="00FC336C">
      <w:pPr>
        <w:pBdr>
          <w:top w:val="nil"/>
          <w:left w:val="nil"/>
          <w:bottom w:val="nil"/>
          <w:right w:val="nil"/>
          <w:between w:val="nil"/>
        </w:pBdr>
        <w:spacing w:line="360" w:lineRule="auto"/>
        <w:jc w:val="both"/>
        <w:rPr>
          <w:color w:val="000000"/>
          <w:sz w:val="24"/>
          <w:szCs w:val="24"/>
        </w:rPr>
      </w:pPr>
      <w:r>
        <w:rPr>
          <w:color w:val="000000"/>
          <w:sz w:val="24"/>
          <w:szCs w:val="24"/>
        </w:rPr>
        <w:t>Schäfer, H.B. and Ott, C., 2022. The economic analysis of civil law. Edward Elgar Publishing.</w:t>
      </w:r>
    </w:p>
    <w:p w14:paraId="5FE7DB41" w14:textId="77777777" w:rsidR="00C22400" w:rsidRDefault="00FC336C">
      <w:pPr>
        <w:pBdr>
          <w:top w:val="nil"/>
          <w:left w:val="nil"/>
          <w:bottom w:val="nil"/>
          <w:right w:val="nil"/>
          <w:between w:val="nil"/>
        </w:pBdr>
        <w:spacing w:line="360" w:lineRule="auto"/>
        <w:jc w:val="both"/>
        <w:rPr>
          <w:color w:val="000000"/>
          <w:sz w:val="24"/>
          <w:szCs w:val="24"/>
        </w:rPr>
      </w:pPr>
      <w:r>
        <w:rPr>
          <w:color w:val="000000"/>
          <w:sz w:val="24"/>
          <w:szCs w:val="24"/>
        </w:rPr>
        <w:t>Tardi, G., 2020. An Introduction to English legal history edited by Sir John Baker, Oxford University Press, 2019, 704 pp.,£ 44.95 (paperback), ISBN 978-0-19-881261-6.</w:t>
      </w:r>
    </w:p>
    <w:sectPr w:rsidR="00C22400" w:rsidSect="00C22400">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09E9A" w14:textId="77777777" w:rsidR="00E12017" w:rsidRDefault="00E12017" w:rsidP="00C22400">
      <w:pPr>
        <w:spacing w:line="240" w:lineRule="auto"/>
      </w:pPr>
      <w:r>
        <w:separator/>
      </w:r>
    </w:p>
  </w:endnote>
  <w:endnote w:type="continuationSeparator" w:id="0">
    <w:p w14:paraId="52E6F993" w14:textId="77777777" w:rsidR="00E12017" w:rsidRDefault="00E12017" w:rsidP="00C224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F7796" w14:textId="77777777" w:rsidR="00C22400" w:rsidRDefault="00C22400">
    <w:pPr>
      <w:pBdr>
        <w:top w:val="nil"/>
        <w:left w:val="nil"/>
        <w:bottom w:val="nil"/>
        <w:right w:val="nil"/>
        <w:between w:val="nil"/>
      </w:pBdr>
      <w:jc w:val="right"/>
      <w:rPr>
        <w:color w:val="000000"/>
      </w:rPr>
    </w:pPr>
    <w:r>
      <w:rPr>
        <w:color w:val="000000"/>
      </w:rPr>
      <w:fldChar w:fldCharType="begin"/>
    </w:r>
    <w:r w:rsidR="00FC336C">
      <w:rPr>
        <w:color w:val="000000"/>
      </w:rPr>
      <w:instrText>PAGE</w:instrText>
    </w:r>
    <w:r>
      <w:rPr>
        <w:color w:val="000000"/>
      </w:rPr>
      <w:fldChar w:fldCharType="separate"/>
    </w:r>
    <w:r w:rsidR="00650C0A">
      <w:rPr>
        <w:noProof/>
        <w:color w:val="000000"/>
      </w:rPr>
      <w:t>2</w:t>
    </w:r>
    <w:r>
      <w:rPr>
        <w:color w:val="000000"/>
      </w:rPr>
      <w:fldChar w:fldCharType="end"/>
    </w:r>
  </w:p>
  <w:p w14:paraId="526B84D7" w14:textId="77777777" w:rsidR="00C22400" w:rsidRDefault="00C22400">
    <w:pPr>
      <w:widowControl w:val="0"/>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DD50B" w14:textId="77777777" w:rsidR="00E12017" w:rsidRDefault="00E12017" w:rsidP="00C22400">
      <w:pPr>
        <w:spacing w:line="240" w:lineRule="auto"/>
      </w:pPr>
      <w:r>
        <w:separator/>
      </w:r>
    </w:p>
  </w:footnote>
  <w:footnote w:type="continuationSeparator" w:id="0">
    <w:p w14:paraId="31C3B87F" w14:textId="77777777" w:rsidR="00E12017" w:rsidRDefault="00E12017" w:rsidP="00C2240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AB45DD"/>
    <w:multiLevelType w:val="multilevel"/>
    <w:tmpl w:val="D188FE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14744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22400"/>
    <w:rsid w:val="00012CA4"/>
    <w:rsid w:val="00107852"/>
    <w:rsid w:val="00650C0A"/>
    <w:rsid w:val="00BE3A31"/>
    <w:rsid w:val="00C22400"/>
    <w:rsid w:val="00E12017"/>
    <w:rsid w:val="00FC3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D570"/>
  <w15:docId w15:val="{EE8DA51D-6250-41BB-96CF-BEDA5E91E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EE8"/>
  </w:style>
  <w:style w:type="paragraph" w:styleId="Heading1">
    <w:name w:val="heading 1"/>
    <w:basedOn w:val="Normal2"/>
    <w:next w:val="Normal2"/>
    <w:rsid w:val="00E3110D"/>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2"/>
    <w:next w:val="Normal2"/>
    <w:rsid w:val="00E3110D"/>
    <w:pPr>
      <w:keepNext/>
      <w:keepLines/>
      <w:spacing w:before="360" w:after="120"/>
      <w:outlineLvl w:val="1"/>
    </w:pPr>
    <w:rPr>
      <w:sz w:val="32"/>
      <w:szCs w:val="32"/>
    </w:rPr>
  </w:style>
  <w:style w:type="paragraph" w:styleId="Heading3">
    <w:name w:val="heading 3"/>
    <w:basedOn w:val="Normal2"/>
    <w:next w:val="Normal2"/>
    <w:rsid w:val="00E3110D"/>
    <w:pPr>
      <w:keepNext/>
      <w:keepLines/>
      <w:spacing w:before="320" w:after="80"/>
      <w:outlineLvl w:val="2"/>
    </w:pPr>
    <w:rPr>
      <w:color w:val="434343"/>
      <w:sz w:val="28"/>
      <w:szCs w:val="28"/>
    </w:rPr>
  </w:style>
  <w:style w:type="paragraph" w:styleId="Heading4">
    <w:name w:val="heading 4"/>
    <w:basedOn w:val="Normal2"/>
    <w:next w:val="Normal2"/>
    <w:rsid w:val="00E3110D"/>
    <w:pPr>
      <w:keepNext/>
      <w:keepLines/>
      <w:spacing w:before="280" w:after="80"/>
      <w:outlineLvl w:val="3"/>
    </w:pPr>
    <w:rPr>
      <w:color w:val="666666"/>
      <w:sz w:val="24"/>
      <w:szCs w:val="24"/>
    </w:rPr>
  </w:style>
  <w:style w:type="paragraph" w:styleId="Heading5">
    <w:name w:val="heading 5"/>
    <w:basedOn w:val="Normal2"/>
    <w:next w:val="Normal2"/>
    <w:rsid w:val="00E3110D"/>
    <w:pPr>
      <w:keepNext/>
      <w:keepLines/>
      <w:spacing w:before="240" w:after="80"/>
      <w:outlineLvl w:val="4"/>
    </w:pPr>
    <w:rPr>
      <w:color w:val="666666"/>
    </w:rPr>
  </w:style>
  <w:style w:type="paragraph" w:styleId="Heading6">
    <w:name w:val="heading 6"/>
    <w:basedOn w:val="Normal2"/>
    <w:next w:val="Normal2"/>
    <w:rsid w:val="00E3110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22400"/>
  </w:style>
  <w:style w:type="paragraph" w:styleId="Title">
    <w:name w:val="Title"/>
    <w:basedOn w:val="Normal2"/>
    <w:next w:val="Normal2"/>
    <w:rsid w:val="00E3110D"/>
    <w:pPr>
      <w:keepNext/>
      <w:keepLines/>
      <w:spacing w:after="60"/>
    </w:pPr>
    <w:rPr>
      <w:sz w:val="52"/>
      <w:szCs w:val="52"/>
    </w:rPr>
  </w:style>
  <w:style w:type="paragraph" w:customStyle="1" w:styleId="Normal2">
    <w:name w:val="Normal2"/>
    <w:rsid w:val="00E3110D"/>
  </w:style>
  <w:style w:type="paragraph" w:styleId="Subtitle">
    <w:name w:val="Subtitle"/>
    <w:basedOn w:val="Normal"/>
    <w:next w:val="Normal"/>
    <w:rsid w:val="00C22400"/>
    <w:pPr>
      <w:keepNext/>
      <w:keepLines/>
      <w:pBdr>
        <w:top w:val="nil"/>
        <w:left w:val="nil"/>
        <w:bottom w:val="nil"/>
        <w:right w:val="nil"/>
        <w:between w:val="nil"/>
      </w:pBdr>
      <w:spacing w:after="320"/>
    </w:pPr>
    <w:rPr>
      <w:color w:val="666666"/>
      <w:sz w:val="30"/>
      <w:szCs w:val="30"/>
    </w:rPr>
  </w:style>
  <w:style w:type="paragraph" w:styleId="BalloonText">
    <w:name w:val="Balloon Text"/>
    <w:basedOn w:val="Normal"/>
    <w:link w:val="BalloonTextChar"/>
    <w:uiPriority w:val="99"/>
    <w:semiHidden/>
    <w:unhideWhenUsed/>
    <w:rsid w:val="00E4120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2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Z4UqTZOEtQIsi7WJaHVAsHDBXg==">AMUW2mVrXVHZE5Stq+pVqzoTZcPy+qTUizjS0KW3GjTuynXin7rojIpR/uFNCS47X606znfftK2TNHv4GSNfSbyRFglFDEKfmZTvJZ6npe65+fUOcr0prcDrNLRPVlL0JqvKxO3GTkxcFMP1g71QlNLGIDz7waP5R0dTnpLCgDPL4gtHlRhPQG9lVEEk9jv+/pR0rcaVIv0GK07mPAbho0gDrZh0TEWGkuD4HMxtKGGMui9CtfIhLqY=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1665</Words>
  <Characters>9494</Characters>
  <Application>Microsoft Office Word</Application>
  <DocSecurity>0</DocSecurity>
  <Lines>79</Lines>
  <Paragraphs>22</Paragraphs>
  <ScaleCrop>false</ScaleCrop>
  <Company/>
  <LinksUpToDate>false</LinksUpToDate>
  <CharactersWithSpaces>11137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Madalina Imbrea (2127378)</cp:lastModifiedBy>
  <cp:revision>5</cp:revision>
  <dcterms:created xsi:type="dcterms:W3CDTF">2023-03-03T12:19:00Z</dcterms:created>
  <dcterms:modified xsi:type="dcterms:W3CDTF">2023-03-06T13:43:00Z</dcterms:modified>
</cp:coreProperties>
</file>