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16B53" w14:textId="77777777" w:rsidR="007A2118" w:rsidRDefault="007A2118" w:rsidP="00256CEC">
      <w:pPr>
        <w:spacing w:line="360" w:lineRule="auto"/>
        <w:jc w:val="both"/>
        <w:rPr>
          <w:rFonts w:asciiTheme="minorBidi" w:hAnsiTheme="minorBidi"/>
          <w:b/>
          <w:bCs/>
        </w:rPr>
      </w:pPr>
    </w:p>
    <w:p w14:paraId="2F44F0BA" w14:textId="32F6A036" w:rsidR="007A2118" w:rsidRPr="007A2118" w:rsidRDefault="007A2118" w:rsidP="007A2118">
      <w:pPr>
        <w:spacing w:line="360" w:lineRule="auto"/>
        <w:jc w:val="center"/>
        <w:rPr>
          <w:rFonts w:asciiTheme="minorBidi" w:hAnsiTheme="minorBidi"/>
          <w:b/>
          <w:bCs/>
        </w:rPr>
      </w:pPr>
      <w:r w:rsidRPr="007A2118">
        <w:rPr>
          <w:rFonts w:asciiTheme="minorBidi" w:hAnsiTheme="minorBidi"/>
          <w:b/>
          <w:bCs/>
        </w:rPr>
        <w:t>Title Page</w:t>
      </w:r>
    </w:p>
    <w:p w14:paraId="16EA901A" w14:textId="77777777" w:rsidR="007A2118" w:rsidRDefault="007A2118" w:rsidP="00256CEC">
      <w:pPr>
        <w:spacing w:line="360" w:lineRule="auto"/>
        <w:jc w:val="both"/>
        <w:rPr>
          <w:rFonts w:asciiTheme="minorBidi" w:hAnsiTheme="minorBidi"/>
          <w:b/>
          <w:bCs/>
        </w:rPr>
      </w:pPr>
    </w:p>
    <w:p w14:paraId="3FB77DC9" w14:textId="757CAE23" w:rsidR="007A2118" w:rsidRDefault="007A2118" w:rsidP="00256CEC">
      <w:pPr>
        <w:spacing w:line="360" w:lineRule="auto"/>
        <w:jc w:val="both"/>
        <w:rPr>
          <w:rFonts w:asciiTheme="minorBidi" w:hAnsiTheme="minorBidi"/>
          <w:b/>
          <w:bCs/>
        </w:rPr>
        <w:sectPr w:rsidR="007A2118" w:rsidSect="00156034">
          <w:pgSz w:w="12240" w:h="15840"/>
          <w:pgMar w:top="1440" w:right="1440" w:bottom="1440" w:left="1440" w:header="720" w:footer="720" w:gutter="0"/>
          <w:cols w:space="720"/>
          <w:docGrid w:linePitch="360"/>
        </w:sectPr>
      </w:pPr>
    </w:p>
    <w:p w14:paraId="6ED38CEB" w14:textId="77777777" w:rsidR="00256CEC" w:rsidRPr="007A2118" w:rsidRDefault="00256CEC" w:rsidP="007A2118">
      <w:pPr>
        <w:pStyle w:val="Heading1"/>
      </w:pPr>
      <w:r w:rsidRPr="007A2118">
        <w:lastRenderedPageBreak/>
        <w:t>INTRODUCTION</w:t>
      </w:r>
    </w:p>
    <w:p w14:paraId="44D1F4DA" w14:textId="77777777" w:rsidR="00256CEC" w:rsidRPr="00256CEC" w:rsidRDefault="00256CEC" w:rsidP="00093F6C">
      <w:pPr>
        <w:spacing w:line="360" w:lineRule="auto"/>
        <w:jc w:val="both"/>
        <w:rPr>
          <w:rFonts w:ascii="Arial" w:hAnsi="Arial" w:cs="Arial"/>
        </w:rPr>
      </w:pPr>
      <w:r w:rsidRPr="00256CEC">
        <w:rPr>
          <w:rFonts w:ascii="Arial" w:hAnsi="Arial" w:cs="Arial"/>
        </w:rPr>
        <w:t xml:space="preserve">According to the World Health Organisation (2022), the world is facing serious problems in meeting the challenges of demographic shifts. Despite the status of the development, all countries of the world are experiencing rapid growth in the ageing population (United Nations, 2022). However, according to WHO (2022), approximately, 80% of the aged population will be living in middle and low-income countries. In addition, the older population (60 years and above) has outnumbered the global young populace (under 5) in 2020 which portrays the seriousness of the problem. However, the statistics from the developed and high-income nations also </w:t>
      </w:r>
      <w:r w:rsidR="00223594">
        <w:rPr>
          <w:rFonts w:ascii="Arial" w:hAnsi="Arial" w:cs="Arial"/>
        </w:rPr>
        <w:t>indicate solemnity of the issue</w:t>
      </w:r>
      <w:r w:rsidRPr="00256CEC">
        <w:rPr>
          <w:rFonts w:ascii="Arial" w:hAnsi="Arial" w:cs="Arial"/>
        </w:rPr>
        <w:t xml:space="preserve">. Along the same line, Europe, including the United Kingdom is facing a change in the demographic shift towards an increasing ageing population. In 2023, there were 11 million aged individuals only in England, whereas </w:t>
      </w:r>
      <w:r w:rsidR="00223594">
        <w:rPr>
          <w:rFonts w:ascii="Arial" w:hAnsi="Arial" w:cs="Arial"/>
        </w:rPr>
        <w:t>the second-highest older population has been reported in Wales with more females (Office of the National Statistics, 2023)</w:t>
      </w:r>
      <w:r w:rsidRPr="00256CEC">
        <w:rPr>
          <w:rFonts w:ascii="Arial" w:hAnsi="Arial" w:cs="Arial"/>
        </w:rPr>
        <w:t xml:space="preserve">. </w:t>
      </w:r>
    </w:p>
    <w:p w14:paraId="45AB352C" w14:textId="77777777" w:rsidR="00256CEC" w:rsidRPr="00256CEC" w:rsidRDefault="00256CEC" w:rsidP="00093F6C">
      <w:pPr>
        <w:spacing w:line="360" w:lineRule="auto"/>
        <w:jc w:val="both"/>
        <w:rPr>
          <w:rFonts w:ascii="Arial" w:hAnsi="Arial" w:cs="Arial"/>
        </w:rPr>
      </w:pPr>
      <w:r w:rsidRPr="00256CEC">
        <w:rPr>
          <w:rFonts w:ascii="Arial" w:hAnsi="Arial" w:cs="Arial"/>
        </w:rPr>
        <w:t>The entire scenario of a growing ageing population has changed the health and social care of the UK, needing to put greater emphasis on effective older care</w:t>
      </w:r>
      <w:r w:rsidR="00DD1783">
        <w:rPr>
          <w:rFonts w:ascii="Arial" w:hAnsi="Arial" w:cs="Arial"/>
        </w:rPr>
        <w:t xml:space="preserve"> (Winchester, 2023)</w:t>
      </w:r>
      <w:r w:rsidRPr="00256CEC">
        <w:rPr>
          <w:rFonts w:ascii="Arial" w:hAnsi="Arial" w:cs="Arial"/>
        </w:rPr>
        <w:t>. The government has initiated different care plans under healthcare acts over the past decades. However, the current trends of growth expect a critical evaluation of the initiatives to ensure opportunities for improvement. To fulfil this purpose, this essay critically evaluates the local, national, and global provision of services available to the older person from the context of the United Kingdom. The evaluation will also include the current service provision from statutory, private, and voluntary organisations of the UK, along with a discussion on the changes in the provision of older care services over the past decades and the reason behind the changes. The evaluation will also produce some recommendations for improvement.</w:t>
      </w:r>
    </w:p>
    <w:p w14:paraId="5423BAFD" w14:textId="1181DC72" w:rsidR="00256CEC" w:rsidRPr="00BA3C2E" w:rsidRDefault="00256CEC" w:rsidP="007A2118">
      <w:pPr>
        <w:pStyle w:val="Heading1"/>
      </w:pPr>
      <w:r w:rsidRPr="00BA3C2E">
        <w:t>H</w:t>
      </w:r>
      <w:r w:rsidR="00970E7F" w:rsidRPr="00BA3C2E">
        <w:t>ISTORICAL PERSPECTIVE OF THE HEALTHCARE PROVISION FOR ELDERLY POPULACE—a GLOBAL AND UK-BASED EVALUATIVE TIMELINE FOR 100 YEARS</w:t>
      </w:r>
    </w:p>
    <w:p w14:paraId="79C96C39" w14:textId="77777777" w:rsidR="00256CEC" w:rsidRPr="00256CEC" w:rsidRDefault="00256CEC" w:rsidP="00093F6C">
      <w:pPr>
        <w:spacing w:line="360" w:lineRule="auto"/>
        <w:jc w:val="both"/>
        <w:rPr>
          <w:rFonts w:ascii="Arial" w:hAnsi="Arial" w:cs="Arial"/>
        </w:rPr>
      </w:pPr>
      <w:r w:rsidRPr="00256CEC">
        <w:rPr>
          <w:rFonts w:ascii="Arial" w:hAnsi="Arial" w:cs="Arial"/>
        </w:rPr>
        <w:t xml:space="preserve">The provision of older care in the UK has remained a hot-debated issue in the local and national settings of the government. It has also remained important for researchers and policy-makers in the elderly field (Denham, 2016).  Therefore, before stepping towards the evaluation of the contemporary provision of older care, it is important to discuss the evolution of elderly healthcare from the UK and global perspective. </w:t>
      </w:r>
    </w:p>
    <w:p w14:paraId="3F49D1A0" w14:textId="5DFF3ABE" w:rsidR="00256CEC" w:rsidRPr="00256CEC" w:rsidRDefault="00256CEC" w:rsidP="00093F6C">
      <w:pPr>
        <w:spacing w:line="360" w:lineRule="auto"/>
        <w:jc w:val="both"/>
        <w:rPr>
          <w:rFonts w:ascii="Arial" w:hAnsi="Arial" w:cs="Arial"/>
        </w:rPr>
      </w:pPr>
      <w:r w:rsidRPr="00256CEC">
        <w:rPr>
          <w:rFonts w:ascii="Arial" w:hAnsi="Arial" w:cs="Arial"/>
        </w:rPr>
        <w:lastRenderedPageBreak/>
        <w:t xml:space="preserve">The focus on older healthcare gained attraction </w:t>
      </w:r>
      <w:r w:rsidR="00BA3C2E">
        <w:rPr>
          <w:rFonts w:ascii="Arial" w:hAnsi="Arial" w:cs="Arial"/>
        </w:rPr>
        <w:t>in</w:t>
      </w:r>
      <w:r w:rsidRPr="00256CEC">
        <w:rPr>
          <w:rFonts w:ascii="Arial" w:hAnsi="Arial" w:cs="Arial"/>
        </w:rPr>
        <w:t xml:space="preserve"> the early years of the 20th century; however, medical practitioners only emphasised keeping them healthy with sensible food, active lifestyle, exercise, and moisture (Denham, 2016). In other words, the concept of effective care was still missing in the early years of the 20th century. However, with time, the numbers of the older population increased</w:t>
      </w:r>
      <w:r w:rsidR="00BA3C2E">
        <w:rPr>
          <w:rFonts w:ascii="Arial" w:hAnsi="Arial" w:cs="Arial"/>
        </w:rPr>
        <w:t>,</w:t>
      </w:r>
      <w:r w:rsidRPr="00256CEC">
        <w:rPr>
          <w:rFonts w:ascii="Arial" w:hAnsi="Arial" w:cs="Arial"/>
        </w:rPr>
        <w:t xml:space="preserve"> stressing the provision of social and health care services for them. With this approach, the focus increased on the aspect of institutionalisation, which focused on the approach of centralised care, but away from society and family members. This model was initiated in the United States, but due to the lack of sustainability, criticism, and the need for improvement; it shifted to the United Kingdom</w:t>
      </w:r>
      <w:r w:rsidR="00DD1783">
        <w:rPr>
          <w:rFonts w:ascii="Arial" w:hAnsi="Arial" w:cs="Arial"/>
        </w:rPr>
        <w:t xml:space="preserve"> (Denham, 2016)</w:t>
      </w:r>
      <w:r w:rsidRPr="00256CEC">
        <w:rPr>
          <w:rFonts w:ascii="Arial" w:hAnsi="Arial" w:cs="Arial"/>
        </w:rPr>
        <w:t>.</w:t>
      </w:r>
    </w:p>
    <w:p w14:paraId="0DFBB7FA" w14:textId="1E57E119" w:rsidR="00256CEC" w:rsidRPr="00256CEC" w:rsidRDefault="00256CEC" w:rsidP="00093F6C">
      <w:pPr>
        <w:spacing w:line="360" w:lineRule="auto"/>
        <w:jc w:val="both"/>
        <w:rPr>
          <w:rFonts w:ascii="Arial" w:hAnsi="Arial" w:cs="Arial"/>
        </w:rPr>
      </w:pPr>
      <w:r w:rsidRPr="00256CEC">
        <w:rPr>
          <w:rFonts w:ascii="Arial" w:hAnsi="Arial" w:cs="Arial"/>
        </w:rPr>
        <w:t xml:space="preserve">In the United Kingdom, the facets of elderly care already prevailed since the 16th century. It was closely associated with a religious approach, whereas only voluntary organisations, such as workhouses worked in the field. However, for numerous decades, until the shift to institutionalised model, chronically sick elderly patients </w:t>
      </w:r>
      <w:r w:rsidR="00BA3C2E">
        <w:rPr>
          <w:rFonts w:ascii="Arial" w:hAnsi="Arial" w:cs="Arial"/>
        </w:rPr>
        <w:t>had</w:t>
      </w:r>
      <w:r w:rsidRPr="00256CEC">
        <w:rPr>
          <w:rFonts w:ascii="Arial" w:hAnsi="Arial" w:cs="Arial"/>
        </w:rPr>
        <w:t xml:space="preserve"> no access to healthcare organisations</w:t>
      </w:r>
      <w:r w:rsidR="00BA3C2E">
        <w:rPr>
          <w:rFonts w:ascii="Arial" w:hAnsi="Arial" w:cs="Arial"/>
        </w:rPr>
        <w:t xml:space="preserve"> </w:t>
      </w:r>
      <w:r w:rsidR="00BA3C2E" w:rsidRPr="00256CEC">
        <w:rPr>
          <w:rFonts w:ascii="Arial" w:hAnsi="Arial" w:cs="Arial"/>
        </w:rPr>
        <w:t>(Munson, 2024)</w:t>
      </w:r>
      <w:r w:rsidRPr="00256CEC">
        <w:rPr>
          <w:rFonts w:ascii="Arial" w:hAnsi="Arial" w:cs="Arial"/>
        </w:rPr>
        <w:t xml:space="preserve">. Until the 19th century, the UK has no (or little) legislation for health and social care of the elderly population. The older male population was forced to work for 11 hours each day to manage their financial wellness, whereas females were obliged to work in nursing homes without prior training (Munson, 2024). The mid-20th century has been recognised as the era in which the UK acknowledged the responsibility of the state government for the provision of social and health care for the older population. In 1908, the Old Age Pension Action was introduced to improve the financial well-being of elders above 70 years of age. Further improvement in financial well-being was made through the initiation of The Widows, Orphans, and Old Age Contributory Pensions Act in 1925. The evaluation of these legislations revealed that the UK was </w:t>
      </w:r>
      <w:r w:rsidR="00BA3C2E">
        <w:rPr>
          <w:rFonts w:ascii="Arial" w:hAnsi="Arial" w:cs="Arial"/>
        </w:rPr>
        <w:t>following a</w:t>
      </w:r>
      <w:r w:rsidRPr="00256CEC">
        <w:rPr>
          <w:rFonts w:ascii="Arial" w:hAnsi="Arial" w:cs="Arial"/>
        </w:rPr>
        <w:t xml:space="preserve"> positive </w:t>
      </w:r>
      <w:r w:rsidR="00BA3C2E">
        <w:rPr>
          <w:rFonts w:ascii="Arial" w:hAnsi="Arial" w:cs="Arial"/>
        </w:rPr>
        <w:t>approach</w:t>
      </w:r>
      <w:r w:rsidRPr="00256CEC">
        <w:rPr>
          <w:rFonts w:ascii="Arial" w:hAnsi="Arial" w:cs="Arial"/>
        </w:rPr>
        <w:t xml:space="preserve"> for social care of the older population. However, healthcare still had serious concerns due to the lack of specialized services and legislation</w:t>
      </w:r>
      <w:r w:rsidR="007D0B6D">
        <w:rPr>
          <w:rFonts w:ascii="Arial" w:hAnsi="Arial" w:cs="Arial"/>
        </w:rPr>
        <w:t xml:space="preserve"> (</w:t>
      </w:r>
      <w:r w:rsidR="007D0B6D" w:rsidRPr="007D0B6D">
        <w:rPr>
          <w:rFonts w:ascii="Arial" w:hAnsi="Arial" w:cs="Arial"/>
        </w:rPr>
        <w:t>Manthorpe and Samsi, 2016</w:t>
      </w:r>
      <w:r w:rsidR="007D0B6D">
        <w:rPr>
          <w:rFonts w:ascii="Arial" w:hAnsi="Arial" w:cs="Arial"/>
        </w:rPr>
        <w:t>)</w:t>
      </w:r>
      <w:r w:rsidRPr="00256CEC">
        <w:rPr>
          <w:rFonts w:ascii="Arial" w:hAnsi="Arial" w:cs="Arial"/>
        </w:rPr>
        <w:t xml:space="preserve">. </w:t>
      </w:r>
    </w:p>
    <w:p w14:paraId="0CCDA4ED" w14:textId="2C6350AD" w:rsidR="00256CEC" w:rsidRPr="00256CEC" w:rsidRDefault="00256CEC" w:rsidP="00093F6C">
      <w:pPr>
        <w:spacing w:line="360" w:lineRule="auto"/>
        <w:jc w:val="both"/>
        <w:rPr>
          <w:rFonts w:ascii="Arial" w:hAnsi="Arial" w:cs="Arial"/>
        </w:rPr>
      </w:pPr>
      <w:r w:rsidRPr="00256CEC">
        <w:rPr>
          <w:rFonts w:ascii="Arial" w:hAnsi="Arial" w:cs="Arial"/>
        </w:rPr>
        <w:t xml:space="preserve">Due to the lack of legislation and effective policies, the parliament passed the Nursing Homes Registration Act in 1927, which was followed by Scotland in 1938. The act aimed to ensure effective healthcare service for all patients, including maternity services. It depicted that it was not specialised for older care. It means that the act was beneficial for other vulnerable groups of society, such as pregnant women, injured, and poor populations, but not specific for the elder populace's mental health, caregiving, mobility, etc. </w:t>
      </w:r>
    </w:p>
    <w:p w14:paraId="483CC6ED" w14:textId="77777777" w:rsidR="00256CEC" w:rsidRPr="00256CEC" w:rsidRDefault="00256CEC" w:rsidP="00093F6C">
      <w:pPr>
        <w:spacing w:line="360" w:lineRule="auto"/>
        <w:jc w:val="both"/>
        <w:rPr>
          <w:rFonts w:ascii="Arial" w:hAnsi="Arial" w:cs="Arial"/>
        </w:rPr>
      </w:pPr>
      <w:r w:rsidRPr="00256CEC">
        <w:rPr>
          <w:rFonts w:ascii="Arial" w:hAnsi="Arial" w:cs="Arial"/>
        </w:rPr>
        <w:lastRenderedPageBreak/>
        <w:t xml:space="preserve">Until the Second World War, the situation of new policies and legislation for older care was found as poor (Munson, 2024). On one hand, the government did not introduce improved older care policies and legislation because of the complete focus on war, soldiers, and the economy. However, in the late 1950s, the UK revolutionised its policies for demolishing old workhouses and improving the standard of older care by building care homes. It indicated that the government started taking responsibility by offering equal access to care homes to the older population. The policies also resulted in the establishment of the Nuffield Trust and the advent of the National Health Service (NHS) which became the parent organisation of local and private healthcare organisations for elderly care. </w:t>
      </w:r>
    </w:p>
    <w:p w14:paraId="5EA86017" w14:textId="77777777" w:rsidR="00256CEC" w:rsidRPr="00256CEC" w:rsidRDefault="00256CEC" w:rsidP="00093F6C">
      <w:pPr>
        <w:spacing w:line="360" w:lineRule="auto"/>
        <w:jc w:val="both"/>
        <w:rPr>
          <w:rFonts w:ascii="Arial" w:hAnsi="Arial" w:cs="Arial"/>
        </w:rPr>
      </w:pPr>
      <w:r w:rsidRPr="00256CEC">
        <w:rPr>
          <w:rFonts w:ascii="Arial" w:hAnsi="Arial" w:cs="Arial"/>
        </w:rPr>
        <w:t>In addition, the NHS and Community Care Act in 1993, the Care Standard Act of 2002, and the Health and Social Care Act of 2008 set new standards for older care and the formation of the Care Quality Commission. It depicted that early 21st century, the government of the UK changed towards the holistic approach of person-centred care that is highly improved in offering health and social care to the elders. However, within the UK, Wales has been found to stand out among all Kingdoms by establishing Healthcare and Social Services Inspectorate Wales (CSSIW) in 2002, which has changed into Care Inspectorate Wales in 2018</w:t>
      </w:r>
      <w:r w:rsidR="00970E7F">
        <w:rPr>
          <w:rFonts w:ascii="Arial" w:hAnsi="Arial" w:cs="Arial"/>
        </w:rPr>
        <w:t xml:space="preserve"> (Munson, 2024)</w:t>
      </w:r>
      <w:r w:rsidRPr="00256CEC">
        <w:rPr>
          <w:rFonts w:ascii="Arial" w:hAnsi="Arial" w:cs="Arial"/>
        </w:rPr>
        <w:t xml:space="preserve">. </w:t>
      </w:r>
    </w:p>
    <w:p w14:paraId="2015A0E7" w14:textId="16154AD4" w:rsidR="00256CEC" w:rsidRPr="00256CEC" w:rsidRDefault="00256CEC" w:rsidP="00BA3C2E">
      <w:pPr>
        <w:spacing w:line="360" w:lineRule="auto"/>
        <w:jc w:val="both"/>
        <w:rPr>
          <w:rFonts w:ascii="Arial" w:hAnsi="Arial" w:cs="Arial"/>
        </w:rPr>
      </w:pPr>
      <w:r w:rsidRPr="00256CEC">
        <w:rPr>
          <w:rFonts w:ascii="Arial" w:hAnsi="Arial" w:cs="Arial"/>
        </w:rPr>
        <w:t>However, numerous delays have also been made by the UK government in implementing the changes in legislation to improve older care. The Care Act 2014 was first delayed until 2016, then 2020, and then for an indefinite timeframe. Proposals for adult social care funding in 2017 were also postponed, whereas the £5.4bn “Build Back Better: Our Plan for Social Care was also delayed which limited the provision of new care policies until 2022</w:t>
      </w:r>
      <w:r w:rsidR="00461843">
        <w:rPr>
          <w:rFonts w:ascii="Arial" w:hAnsi="Arial" w:cs="Arial"/>
        </w:rPr>
        <w:t xml:space="preserve"> (Winchester, 2023)</w:t>
      </w:r>
      <w:r w:rsidRPr="00256CEC">
        <w:rPr>
          <w:rFonts w:ascii="Arial" w:hAnsi="Arial" w:cs="Arial"/>
        </w:rPr>
        <w:t xml:space="preserve">. </w:t>
      </w:r>
    </w:p>
    <w:p w14:paraId="78CA7DFB" w14:textId="77777777" w:rsidR="00256CEC" w:rsidRPr="00BA3C2E" w:rsidRDefault="00256CEC" w:rsidP="007A2118">
      <w:pPr>
        <w:pStyle w:val="Heading1"/>
      </w:pPr>
      <w:r w:rsidRPr="00BA3C2E">
        <w:t>E</w:t>
      </w:r>
      <w:r w:rsidR="006D68C2" w:rsidRPr="00BA3C2E">
        <w:t>VALUATION OF THE LOCAL AND NATIONAL HEALTHCARE PROVISION FOR OLDER ADULTS IN THE CURRENT ERA</w:t>
      </w:r>
    </w:p>
    <w:p w14:paraId="0B4FEBA4" w14:textId="77777777" w:rsidR="00256CEC" w:rsidRPr="00256CEC" w:rsidRDefault="00256CEC" w:rsidP="00093F6C">
      <w:pPr>
        <w:spacing w:line="360" w:lineRule="auto"/>
        <w:jc w:val="both"/>
        <w:rPr>
          <w:rFonts w:ascii="Arial" w:hAnsi="Arial" w:cs="Arial"/>
        </w:rPr>
      </w:pPr>
      <w:r w:rsidRPr="00256CEC">
        <w:rPr>
          <w:rFonts w:ascii="Arial" w:hAnsi="Arial" w:cs="Arial"/>
        </w:rPr>
        <w:t>Over time, the UK has experienced (and achieved) numerous milestones and is recognised as the key contributor to the health and social care of the elderly population</w:t>
      </w:r>
      <w:r w:rsidR="005D1A35">
        <w:rPr>
          <w:rFonts w:ascii="Arial" w:hAnsi="Arial" w:cs="Arial"/>
        </w:rPr>
        <w:t xml:space="preserve"> (Carey, 2022)</w:t>
      </w:r>
      <w:r w:rsidRPr="00256CEC">
        <w:rPr>
          <w:rFonts w:ascii="Arial" w:hAnsi="Arial" w:cs="Arial"/>
        </w:rPr>
        <w:t xml:space="preserve">. The assessment and evaluation of the past changes in the legislation and policies indicated the growing importance of social and health care for elder individuals. In addition, the UK, through the statuary (NHS, NICE, etc) and non-statuary bodies (private and non-profit) has been striving to develop effective and individual policies for better older care. Some of them include the treatment of elders through medication and the development of special wards with more than 70 thousand beds in NHS hospitals and care homes. </w:t>
      </w:r>
    </w:p>
    <w:p w14:paraId="140FA3F5" w14:textId="54A8B8B2" w:rsidR="00256CEC" w:rsidRPr="00256CEC" w:rsidRDefault="00256CEC" w:rsidP="00093F6C">
      <w:pPr>
        <w:spacing w:line="360" w:lineRule="auto"/>
        <w:jc w:val="both"/>
        <w:rPr>
          <w:rFonts w:ascii="Arial" w:hAnsi="Arial" w:cs="Arial"/>
        </w:rPr>
      </w:pPr>
      <w:r w:rsidRPr="00256CEC">
        <w:rPr>
          <w:rFonts w:ascii="Arial" w:hAnsi="Arial" w:cs="Arial"/>
        </w:rPr>
        <w:lastRenderedPageBreak/>
        <w:t>In addition, the NHS is divided into national boundaries of the UK, such as NHS England, NHS Scotland, NHS Wales, and NHS Ireland. All of them work under the central body, but they have also devised separate legislations and policies to offer free-of-cost services to the permanent residents of the country, specifically on local grounds. The foundation of health care at the national and local has been found in person-</w:t>
      </w:r>
      <w:proofErr w:type="spellStart"/>
      <w:r w:rsidRPr="00256CEC">
        <w:rPr>
          <w:rFonts w:ascii="Arial" w:hAnsi="Arial" w:cs="Arial"/>
        </w:rPr>
        <w:t>centered</w:t>
      </w:r>
      <w:proofErr w:type="spellEnd"/>
      <w:r w:rsidRPr="00256CEC">
        <w:rPr>
          <w:rFonts w:ascii="Arial" w:hAnsi="Arial" w:cs="Arial"/>
        </w:rPr>
        <w:t xml:space="preserve"> care. The NHS emphasized the joint work between local and national bodies for optimal care of the older population by offering the guiding principles in 2001 through the National Service Framework for Older People. It aimed to provide indiscriminate and equally accessible care services to the elderly population. Some of the angles that the framework focused on included mental health care, prevention from strokes, general care, prevention from falls, improving mobility, and evidence-based care with a person-centred approach.</w:t>
      </w:r>
      <w:r w:rsidR="0060719A">
        <w:rPr>
          <w:rFonts w:ascii="Arial" w:hAnsi="Arial" w:cs="Arial"/>
        </w:rPr>
        <w:t xml:space="preserve"> T</w:t>
      </w:r>
      <w:r w:rsidRPr="00256CEC">
        <w:rPr>
          <w:rFonts w:ascii="Arial" w:hAnsi="Arial" w:cs="Arial"/>
        </w:rPr>
        <w:t>he adoption of person-</w:t>
      </w:r>
      <w:proofErr w:type="spellStart"/>
      <w:r w:rsidRPr="00256CEC">
        <w:rPr>
          <w:rFonts w:ascii="Arial" w:hAnsi="Arial" w:cs="Arial"/>
        </w:rPr>
        <w:t>centered</w:t>
      </w:r>
      <w:proofErr w:type="spellEnd"/>
      <w:r w:rsidRPr="00256CEC">
        <w:rPr>
          <w:rFonts w:ascii="Arial" w:hAnsi="Arial" w:cs="Arial"/>
        </w:rPr>
        <w:t xml:space="preserve"> care approach established a sense of priority for the well-being of the older population through innovative intervention strategies (Peek, Higgins, and Milson-Hawke, 2007; Shephard, Wood, and Hood, 2017)</w:t>
      </w:r>
      <w:r w:rsidR="00AE1846">
        <w:rPr>
          <w:rFonts w:ascii="Arial" w:hAnsi="Arial" w:cs="Arial"/>
        </w:rPr>
        <w:t xml:space="preserve">. </w:t>
      </w:r>
      <w:r w:rsidRPr="00256CEC">
        <w:rPr>
          <w:rFonts w:ascii="Arial" w:hAnsi="Arial" w:cs="Arial"/>
        </w:rPr>
        <w:t>For this purpose, an Equality act was published and implemented in 2010 that emphasised on the provision of mental health services to the older adults</w:t>
      </w:r>
      <w:r w:rsidR="00EB6BBF">
        <w:rPr>
          <w:rFonts w:ascii="Arial" w:hAnsi="Arial" w:cs="Arial"/>
        </w:rPr>
        <w:t xml:space="preserve"> (Royal College of Physiatrists, 2011)</w:t>
      </w:r>
      <w:r w:rsidRPr="00256CEC">
        <w:rPr>
          <w:rFonts w:ascii="Arial" w:hAnsi="Arial" w:cs="Arial"/>
        </w:rPr>
        <w:t xml:space="preserve">.  </w:t>
      </w:r>
    </w:p>
    <w:p w14:paraId="3711BC61" w14:textId="77777777" w:rsidR="00256CEC" w:rsidRPr="00256CEC" w:rsidRDefault="00256CEC" w:rsidP="00093F6C">
      <w:pPr>
        <w:spacing w:line="360" w:lineRule="auto"/>
        <w:jc w:val="both"/>
        <w:rPr>
          <w:rFonts w:ascii="Arial" w:hAnsi="Arial" w:cs="Arial"/>
        </w:rPr>
      </w:pPr>
      <w:r w:rsidRPr="00256CEC">
        <w:rPr>
          <w:rFonts w:ascii="Arial" w:hAnsi="Arial" w:cs="Arial"/>
        </w:rPr>
        <w:t xml:space="preserve">Over time, the Equality Act has been modified in the newest plan known as the Health and Social Care Act </w:t>
      </w:r>
      <w:r w:rsidR="0065120D">
        <w:rPr>
          <w:rFonts w:ascii="Arial" w:hAnsi="Arial" w:cs="Arial"/>
        </w:rPr>
        <w:t>(</w:t>
      </w:r>
      <w:r w:rsidRPr="00256CEC">
        <w:rPr>
          <w:rFonts w:ascii="Arial" w:hAnsi="Arial" w:cs="Arial"/>
        </w:rPr>
        <w:t>2022</w:t>
      </w:r>
      <w:r w:rsidR="0065120D">
        <w:rPr>
          <w:rFonts w:ascii="Arial" w:hAnsi="Arial" w:cs="Arial"/>
        </w:rPr>
        <w:t>)</w:t>
      </w:r>
      <w:r w:rsidRPr="00256CEC">
        <w:rPr>
          <w:rFonts w:ascii="Arial" w:hAnsi="Arial" w:cs="Arial"/>
        </w:rPr>
        <w:t>, which has been implemented. This plan in the UK has broadened its health and social care plan for different types of elder care, such as for dementia, mobility challenges, financial well-being, end-of-life care, mental health, caregiving, and coordination. Chapter 2 of th</w:t>
      </w:r>
      <w:r w:rsidR="0065120D">
        <w:rPr>
          <w:rFonts w:ascii="Arial" w:hAnsi="Arial" w:cs="Arial"/>
        </w:rPr>
        <w:t>e Health and Social Care Act (</w:t>
      </w:r>
      <w:r w:rsidRPr="00256CEC">
        <w:rPr>
          <w:rFonts w:ascii="Arial" w:hAnsi="Arial" w:cs="Arial"/>
        </w:rPr>
        <w:t>2022</w:t>
      </w:r>
      <w:r w:rsidR="0065120D">
        <w:rPr>
          <w:rFonts w:ascii="Arial" w:hAnsi="Arial" w:cs="Arial"/>
        </w:rPr>
        <w:t>)</w:t>
      </w:r>
      <w:r w:rsidRPr="00256CEC">
        <w:rPr>
          <w:rFonts w:ascii="Arial" w:hAnsi="Arial" w:cs="Arial"/>
        </w:rPr>
        <w:t xml:space="preserve"> has covered different aspects of older care as part of the legislation, such as palliative care and end-of-life and effective planning and provision of health services for other older age challenges with communication. The evaluation of this legislation in the current provision of healthcare revealed the positive side within the UK. However, the other side exposes significant mismanagement in the provision from different aspects.</w:t>
      </w:r>
    </w:p>
    <w:p w14:paraId="3E74AEEE" w14:textId="77777777" w:rsidR="00256CEC" w:rsidRPr="00256CEC" w:rsidRDefault="00256CEC" w:rsidP="00093F6C">
      <w:pPr>
        <w:spacing w:line="360" w:lineRule="auto"/>
        <w:jc w:val="both"/>
        <w:rPr>
          <w:rFonts w:ascii="Arial" w:hAnsi="Arial" w:cs="Arial"/>
        </w:rPr>
      </w:pPr>
      <w:r w:rsidRPr="00256CEC">
        <w:rPr>
          <w:rFonts w:ascii="Arial" w:hAnsi="Arial" w:cs="Arial"/>
        </w:rPr>
        <w:t xml:space="preserve">One of them is the constant decline in public funding has not only increased long-term pressures on service provision, but also limited the access to healthcare and social services for the older populace of the UK (Schlepper and </w:t>
      </w:r>
      <w:proofErr w:type="spellStart"/>
      <w:r w:rsidRPr="00256CEC">
        <w:rPr>
          <w:rFonts w:ascii="Arial" w:hAnsi="Arial" w:cs="Arial"/>
        </w:rPr>
        <w:t>Doddsworth</w:t>
      </w:r>
      <w:proofErr w:type="spellEnd"/>
      <w:r w:rsidRPr="00256CEC">
        <w:rPr>
          <w:rFonts w:ascii="Arial" w:hAnsi="Arial" w:cs="Arial"/>
        </w:rPr>
        <w:t>, 2023). According to the data, 10% older population is failing to access social and healthcare services at the local and national level. Specifically, in terms of palliative services, approximately 100,000 older individuals die in the UK without accessing end-of-life services</w:t>
      </w:r>
      <w:r w:rsidR="009206B0">
        <w:rPr>
          <w:rFonts w:ascii="Arial" w:hAnsi="Arial" w:cs="Arial"/>
        </w:rPr>
        <w:t xml:space="preserve"> (Dudley and Mutebi, 2022)</w:t>
      </w:r>
      <w:r w:rsidRPr="00256CEC">
        <w:rPr>
          <w:rFonts w:ascii="Arial" w:hAnsi="Arial" w:cs="Arial"/>
        </w:rPr>
        <w:t>. Similarly, despite the dementia care policy in 2021, there is a significant decline in the accessibility of care</w:t>
      </w:r>
      <w:r w:rsidR="00C01FB9">
        <w:rPr>
          <w:rFonts w:ascii="Arial" w:hAnsi="Arial" w:cs="Arial"/>
        </w:rPr>
        <w:t xml:space="preserve"> (</w:t>
      </w:r>
      <w:r w:rsidR="00046360">
        <w:rPr>
          <w:rFonts w:ascii="Arial" w:hAnsi="Arial" w:cs="Arial"/>
        </w:rPr>
        <w:t>James et al., 2023</w:t>
      </w:r>
      <w:r w:rsidR="00C01FB9">
        <w:rPr>
          <w:rFonts w:ascii="Arial" w:hAnsi="Arial" w:cs="Arial"/>
        </w:rPr>
        <w:t>)</w:t>
      </w:r>
      <w:r w:rsidRPr="00256CEC">
        <w:rPr>
          <w:rFonts w:ascii="Arial" w:hAnsi="Arial" w:cs="Arial"/>
        </w:rPr>
        <w:t xml:space="preserve">. According to Age (2019) and Age (2023), regardless of more spending on social and </w:t>
      </w:r>
      <w:r w:rsidRPr="00256CEC">
        <w:rPr>
          <w:rFonts w:ascii="Arial" w:hAnsi="Arial" w:cs="Arial"/>
        </w:rPr>
        <w:lastRenderedPageBreak/>
        <w:t>healthcare for older adults between 2019 and 2022, 36 thousand fewer individuals have received long-term care on the national level. In a similar context, Carey (2022) asserts that the UK has nationally adopted the neoliberal approach. It has resulted in a highly conditional welfare system for older care in terms of financial restrictions. Simply put, despite national legislation and policies for older care, the Western policy system is adversely impacting older care in the UK by increasing the eligibility of treatment at higher levels. On the other hand, Hamblin (2022) argued that the current provision of health and social care for the older population indicates the generational gap, which needs to be covered through effective pension reforms.</w:t>
      </w:r>
    </w:p>
    <w:p w14:paraId="1D67A433" w14:textId="77777777" w:rsidR="00256CEC" w:rsidRPr="00256CEC" w:rsidRDefault="00256CEC" w:rsidP="00093F6C">
      <w:pPr>
        <w:spacing w:line="360" w:lineRule="auto"/>
        <w:jc w:val="both"/>
        <w:rPr>
          <w:rFonts w:ascii="Arial" w:hAnsi="Arial" w:cs="Arial"/>
        </w:rPr>
      </w:pPr>
      <w:r w:rsidRPr="00256CEC">
        <w:rPr>
          <w:rFonts w:ascii="Arial" w:hAnsi="Arial" w:cs="Arial"/>
        </w:rPr>
        <w:t xml:space="preserve">Locally, a range of differences have been found in the provision of health and social care among older adults in the UK. Regardless of national legislation, local governments employ more policies in this regard. In Wales, there has been continuous work on the provision of quality care to older adults despite an ever-increasing ageing population. The country aims to develop as a better place for older care while focusing on the socio-economic and environmental well-being of older adults. The country developed a strategy for older care by coordinating with the concerned populations and other community members. This aspect is in contrast with other parts of the UK, such as England, where there are higher concerns about the lack of communication with older adults (Tanner, Ray, and Ward, 2022). </w:t>
      </w:r>
    </w:p>
    <w:p w14:paraId="2C12F3CC" w14:textId="77777777" w:rsidR="00256CEC" w:rsidRPr="00256CEC" w:rsidRDefault="00256CEC" w:rsidP="00093F6C">
      <w:pPr>
        <w:spacing w:line="360" w:lineRule="auto"/>
        <w:jc w:val="both"/>
        <w:rPr>
          <w:rFonts w:ascii="Arial" w:hAnsi="Arial" w:cs="Arial"/>
        </w:rPr>
      </w:pPr>
      <w:r w:rsidRPr="00256CEC">
        <w:rPr>
          <w:rFonts w:ascii="Arial" w:hAnsi="Arial" w:cs="Arial"/>
        </w:rPr>
        <w:t>In addition, Wales has developed a comprehensive policy to meet the care needs of the older population in terms of mental health, dementia, care for activeness and mobility, and financial well-being</w:t>
      </w:r>
      <w:r w:rsidR="00EB6BBF">
        <w:rPr>
          <w:rFonts w:ascii="Arial" w:hAnsi="Arial" w:cs="Arial"/>
        </w:rPr>
        <w:t xml:space="preserve">, but there </w:t>
      </w:r>
      <w:proofErr w:type="gramStart"/>
      <w:r w:rsidR="00EB6BBF">
        <w:rPr>
          <w:rFonts w:ascii="Arial" w:hAnsi="Arial" w:cs="Arial"/>
        </w:rPr>
        <w:t>are</w:t>
      </w:r>
      <w:proofErr w:type="gramEnd"/>
      <w:r w:rsidR="00EB6BBF">
        <w:rPr>
          <w:rFonts w:ascii="Arial" w:hAnsi="Arial" w:cs="Arial"/>
        </w:rPr>
        <w:t xml:space="preserve"> evidence with the conflict with national policy (Hannigan, 2022</w:t>
      </w:r>
      <w:r w:rsidR="00D30263">
        <w:rPr>
          <w:rFonts w:ascii="Arial" w:hAnsi="Arial" w:cs="Arial"/>
        </w:rPr>
        <w:t>; Welsh Government, 2023</w:t>
      </w:r>
      <w:r w:rsidR="00EB6BBF">
        <w:rPr>
          <w:rFonts w:ascii="Arial" w:hAnsi="Arial" w:cs="Arial"/>
        </w:rPr>
        <w:t>)</w:t>
      </w:r>
      <w:r w:rsidRPr="00256CEC">
        <w:rPr>
          <w:rFonts w:ascii="Arial" w:hAnsi="Arial" w:cs="Arial"/>
        </w:rPr>
        <w:t>. However, the evaluation has revealed an increase in the number of older adults who are living below the mean poverty income, whereas the Wales government charges fees for most of the care services for older adults who have assets up to £50,000</w:t>
      </w:r>
      <w:r w:rsidR="00EB6BBF">
        <w:rPr>
          <w:rFonts w:ascii="Arial" w:hAnsi="Arial" w:cs="Arial"/>
        </w:rPr>
        <w:t xml:space="preserve"> (Alzheimer’s Society, 2024)</w:t>
      </w:r>
      <w:r w:rsidRPr="00256CEC">
        <w:rPr>
          <w:rFonts w:ascii="Arial" w:hAnsi="Arial" w:cs="Arial"/>
        </w:rPr>
        <w:t>. The country implements the pension credit policy; however, 50% of eligible couples and 37% of eligible singles have no access to financial well-being</w:t>
      </w:r>
      <w:r w:rsidR="005D1A35">
        <w:rPr>
          <w:rFonts w:ascii="Arial" w:hAnsi="Arial" w:cs="Arial"/>
        </w:rPr>
        <w:t xml:space="preserve"> (higher in England with two-third population) (Alcock et al., 2022)</w:t>
      </w:r>
      <w:r w:rsidRPr="00256CEC">
        <w:rPr>
          <w:rFonts w:ascii="Arial" w:hAnsi="Arial" w:cs="Arial"/>
        </w:rPr>
        <w:t xml:space="preserve">. </w:t>
      </w:r>
    </w:p>
    <w:p w14:paraId="6E1FA695" w14:textId="67C254FC" w:rsidR="00256CEC" w:rsidRPr="00256CEC" w:rsidRDefault="00256CEC" w:rsidP="00093F6C">
      <w:pPr>
        <w:spacing w:line="360" w:lineRule="auto"/>
        <w:jc w:val="both"/>
        <w:rPr>
          <w:rFonts w:ascii="Arial" w:hAnsi="Arial" w:cs="Arial"/>
        </w:rPr>
      </w:pPr>
      <w:r w:rsidRPr="00256CEC">
        <w:rPr>
          <w:rFonts w:ascii="Arial" w:hAnsi="Arial" w:cs="Arial"/>
        </w:rPr>
        <w:t>In addition, informal care is increasingly becoming important in Wales due to the growing health challenges among older adults</w:t>
      </w:r>
      <w:r w:rsidR="0061376A">
        <w:rPr>
          <w:rFonts w:ascii="Arial" w:hAnsi="Arial" w:cs="Arial"/>
        </w:rPr>
        <w:t xml:space="preserve"> (</w:t>
      </w:r>
      <w:r w:rsidR="0061376A" w:rsidRPr="0061376A">
        <w:rPr>
          <w:rFonts w:ascii="Arial" w:hAnsi="Arial" w:cs="Arial"/>
        </w:rPr>
        <w:t>The Older People’s Commissioner for Wales</w:t>
      </w:r>
      <w:r w:rsidR="0061376A">
        <w:rPr>
          <w:rFonts w:ascii="Arial" w:hAnsi="Arial" w:cs="Arial"/>
        </w:rPr>
        <w:t>, 2019)</w:t>
      </w:r>
      <w:r w:rsidRPr="00256CEC">
        <w:rPr>
          <w:rFonts w:ascii="Arial" w:hAnsi="Arial" w:cs="Arial"/>
        </w:rPr>
        <w:t>. The Welsh government has devised the Nest Scheme for prevention, but it consists of much confusion about strategies for preventative care and accessibility</w:t>
      </w:r>
      <w:r w:rsidR="00D30263">
        <w:rPr>
          <w:rFonts w:ascii="Arial" w:hAnsi="Arial" w:cs="Arial"/>
        </w:rPr>
        <w:t xml:space="preserve"> (Barker et al., 2021)</w:t>
      </w:r>
      <w:r w:rsidRPr="00256CEC">
        <w:rPr>
          <w:rFonts w:ascii="Arial" w:hAnsi="Arial" w:cs="Arial"/>
        </w:rPr>
        <w:t xml:space="preserve">.  Read et al. (2024) have found that preventative community development and social care for Welsh older adults is </w:t>
      </w:r>
      <w:r w:rsidRPr="00256CEC">
        <w:rPr>
          <w:rFonts w:ascii="Arial" w:hAnsi="Arial" w:cs="Arial"/>
        </w:rPr>
        <w:lastRenderedPageBreak/>
        <w:t>full of ambiguities because of the increasing focus on neoliberal ideas and practical obstacles in the provision due to the conflicts in the policies and activities for health and social care</w:t>
      </w:r>
      <w:r w:rsidR="0061376A">
        <w:rPr>
          <w:rFonts w:ascii="Arial" w:hAnsi="Arial" w:cs="Arial"/>
        </w:rPr>
        <w:t xml:space="preserve"> (Jones, 2023)</w:t>
      </w:r>
      <w:r w:rsidRPr="00256CEC">
        <w:rPr>
          <w:rFonts w:ascii="Arial" w:hAnsi="Arial" w:cs="Arial"/>
        </w:rPr>
        <w:t>.</w:t>
      </w:r>
    </w:p>
    <w:p w14:paraId="4F469B4A" w14:textId="40643B3B" w:rsidR="00256CEC" w:rsidRPr="00256CEC" w:rsidRDefault="00256CEC" w:rsidP="00093F6C">
      <w:pPr>
        <w:spacing w:line="360" w:lineRule="auto"/>
        <w:jc w:val="both"/>
        <w:rPr>
          <w:rFonts w:ascii="Arial" w:hAnsi="Arial" w:cs="Arial"/>
        </w:rPr>
      </w:pPr>
      <w:r w:rsidRPr="00256CEC">
        <w:rPr>
          <w:rFonts w:ascii="Arial" w:hAnsi="Arial" w:cs="Arial"/>
        </w:rPr>
        <w:t>One of the examples is the number of care homes that have not increased within Wales. The current care homes are facing a disrepair crisis in Wales, including gas and water leakages, moulding walls, and rotten floors, whereas many of the adults cannot even access them due to overburdening</w:t>
      </w:r>
      <w:r w:rsidR="00EB6BBF">
        <w:rPr>
          <w:rFonts w:ascii="Arial" w:hAnsi="Arial" w:cs="Arial"/>
        </w:rPr>
        <w:t xml:space="preserve"> (</w:t>
      </w:r>
      <w:r w:rsidR="0061376A">
        <w:rPr>
          <w:rFonts w:ascii="Arial" w:hAnsi="Arial" w:cs="Arial"/>
        </w:rPr>
        <w:t xml:space="preserve">Jones, 2023; </w:t>
      </w:r>
      <w:r w:rsidR="00EB6BBF">
        <w:rPr>
          <w:rFonts w:ascii="Arial" w:hAnsi="Arial" w:cs="Arial"/>
        </w:rPr>
        <w:t>Ricketts, 2023)</w:t>
      </w:r>
      <w:r w:rsidRPr="00256CEC">
        <w:rPr>
          <w:rFonts w:ascii="Arial" w:hAnsi="Arial" w:cs="Arial"/>
        </w:rPr>
        <w:t xml:space="preserve">. Therefore, Wales </w:t>
      </w:r>
      <w:r w:rsidR="00EF6543">
        <w:rPr>
          <w:rFonts w:ascii="Arial" w:hAnsi="Arial" w:cs="Arial"/>
        </w:rPr>
        <w:t xml:space="preserve">left in check </w:t>
      </w:r>
      <w:r w:rsidRPr="00256CEC">
        <w:rPr>
          <w:rFonts w:ascii="Arial" w:hAnsi="Arial" w:cs="Arial"/>
        </w:rPr>
        <w:t>in the provision of prevention despite national policy. In addition, only a few care homes are connected to the main gas project of Great Britain, whereas other older adults have to pay more for other types of fuel. It shows a wide policy gap in the country</w:t>
      </w:r>
      <w:r w:rsidR="0061376A">
        <w:rPr>
          <w:rFonts w:ascii="Arial" w:hAnsi="Arial" w:cs="Arial"/>
        </w:rPr>
        <w:t xml:space="preserve"> (Jones, 2023)</w:t>
      </w:r>
      <w:r w:rsidRPr="00256CEC">
        <w:rPr>
          <w:rFonts w:ascii="Arial" w:hAnsi="Arial" w:cs="Arial"/>
        </w:rPr>
        <w:t>. Additionally, the COVID-19 expenditures have moved the concentration away from older care in the current era. The Welsh government offers the provision and accessibility of various services through digital tools. However, older adults emphasize the use of traditional means of information which is a diminishing policy in Wales</w:t>
      </w:r>
      <w:r w:rsidR="0061376A">
        <w:rPr>
          <w:rFonts w:ascii="Arial" w:hAnsi="Arial" w:cs="Arial"/>
        </w:rPr>
        <w:t xml:space="preserve"> (Jones, 2023)</w:t>
      </w:r>
      <w:r w:rsidRPr="00256CEC">
        <w:rPr>
          <w:rFonts w:ascii="Arial" w:hAnsi="Arial" w:cs="Arial"/>
        </w:rPr>
        <w:t>.</w:t>
      </w:r>
    </w:p>
    <w:p w14:paraId="62C034C8" w14:textId="7C82267D" w:rsidR="00C41A3F" w:rsidRDefault="00256CEC" w:rsidP="00093F6C">
      <w:pPr>
        <w:spacing w:line="360" w:lineRule="auto"/>
        <w:jc w:val="both"/>
        <w:rPr>
          <w:rFonts w:ascii="Arial" w:hAnsi="Arial" w:cs="Arial"/>
        </w:rPr>
      </w:pPr>
      <w:r w:rsidRPr="00256CEC">
        <w:rPr>
          <w:rFonts w:ascii="Arial" w:hAnsi="Arial" w:cs="Arial"/>
        </w:rPr>
        <w:t>Comparing Wales with the context of England, Scotland, and Ireland, health and social care policies are more similar between Scotland and England. In terms of mental health, end-of-life care, and end-of-life, both, England and Scotland have initiated policies, such as the Mental Health Bill of England and the Mental Health Strategy of Scotland</w:t>
      </w:r>
      <w:r w:rsidR="00DD1783">
        <w:rPr>
          <w:rFonts w:ascii="Arial" w:hAnsi="Arial" w:cs="Arial"/>
        </w:rPr>
        <w:t xml:space="preserve"> (</w:t>
      </w:r>
      <w:proofErr w:type="spellStart"/>
      <w:r w:rsidR="00DD1783">
        <w:rPr>
          <w:rFonts w:ascii="Arial" w:hAnsi="Arial" w:cs="Arial"/>
        </w:rPr>
        <w:t>Ajula</w:t>
      </w:r>
      <w:proofErr w:type="spellEnd"/>
      <w:r w:rsidR="00DD1783">
        <w:rPr>
          <w:rFonts w:ascii="Arial" w:hAnsi="Arial" w:cs="Arial"/>
        </w:rPr>
        <w:t xml:space="preserve"> et al., 2019)</w:t>
      </w:r>
      <w:r w:rsidRPr="00256CEC">
        <w:rPr>
          <w:rFonts w:ascii="Arial" w:hAnsi="Arial" w:cs="Arial"/>
        </w:rPr>
        <w:t>. In addition, both countries intend to shift older care policies to the communities inste</w:t>
      </w:r>
      <w:r w:rsidR="00DD1783">
        <w:rPr>
          <w:rFonts w:ascii="Arial" w:hAnsi="Arial" w:cs="Arial"/>
        </w:rPr>
        <w:t>ad of burdening the governments (</w:t>
      </w:r>
      <w:proofErr w:type="spellStart"/>
      <w:r w:rsidR="00DD1783">
        <w:rPr>
          <w:rFonts w:ascii="Arial" w:hAnsi="Arial" w:cs="Arial"/>
        </w:rPr>
        <w:t>Ajula</w:t>
      </w:r>
      <w:proofErr w:type="spellEnd"/>
      <w:r w:rsidR="00DD1783">
        <w:rPr>
          <w:rFonts w:ascii="Arial" w:hAnsi="Arial" w:cs="Arial"/>
        </w:rPr>
        <w:t xml:space="preserve"> et al., 2019)</w:t>
      </w:r>
      <w:r w:rsidRPr="00256CEC">
        <w:rPr>
          <w:rFonts w:ascii="Arial" w:hAnsi="Arial" w:cs="Arial"/>
        </w:rPr>
        <w:t xml:space="preserve"> In Scotland, Ireland, and Wales, there are more policies for free care. However, England offers the least free care and intends to increase the age of free care from now on. On the other hand, late hospital discharges are higher in Scotland as compared to England, which also reveals the policy gap between immediate care and discharges</w:t>
      </w:r>
      <w:r w:rsidR="00DD1783">
        <w:rPr>
          <w:rFonts w:ascii="Arial" w:hAnsi="Arial" w:cs="Arial"/>
        </w:rPr>
        <w:t xml:space="preserve"> (</w:t>
      </w:r>
      <w:proofErr w:type="spellStart"/>
      <w:r w:rsidR="00DD1783">
        <w:rPr>
          <w:rFonts w:ascii="Arial" w:hAnsi="Arial" w:cs="Arial"/>
        </w:rPr>
        <w:t>Ajula</w:t>
      </w:r>
      <w:proofErr w:type="spellEnd"/>
      <w:r w:rsidR="00DD1783">
        <w:rPr>
          <w:rFonts w:ascii="Arial" w:hAnsi="Arial" w:cs="Arial"/>
        </w:rPr>
        <w:t xml:space="preserve"> et al., 2019)</w:t>
      </w:r>
      <w:r w:rsidRPr="00256CEC">
        <w:rPr>
          <w:rFonts w:ascii="Arial" w:hAnsi="Arial" w:cs="Arial"/>
        </w:rPr>
        <w:t>. In addition, according to the current data, England is the richest country in the UK</w:t>
      </w:r>
      <w:r w:rsidR="00F770A3">
        <w:rPr>
          <w:rFonts w:ascii="Arial" w:hAnsi="Arial" w:cs="Arial"/>
        </w:rPr>
        <w:t>, but care</w:t>
      </w:r>
      <w:r w:rsidR="00223594">
        <w:rPr>
          <w:rFonts w:ascii="Arial" w:hAnsi="Arial" w:cs="Arial"/>
        </w:rPr>
        <w:t xml:space="preserve"> homes are in worst condition (Barker et al., 2021)</w:t>
      </w:r>
      <w:r w:rsidRPr="00256CEC">
        <w:rPr>
          <w:rFonts w:ascii="Arial" w:hAnsi="Arial" w:cs="Arial"/>
        </w:rPr>
        <w:t>. Dalton (2021) identified that Wales, Ireland, and Scotland spend more on per-head older health care than England. This scenario depicts that the UK has seen enlightened provision of health and social care for some time. However, due to the continuous, yet delayed changes in the legislations and policies</w:t>
      </w:r>
      <w:r w:rsidR="00667A14">
        <w:rPr>
          <w:rFonts w:ascii="Arial" w:hAnsi="Arial" w:cs="Arial"/>
        </w:rPr>
        <w:t xml:space="preserve"> (Winchester, 2023)</w:t>
      </w:r>
      <w:r w:rsidRPr="00256CEC">
        <w:rPr>
          <w:rFonts w:ascii="Arial" w:hAnsi="Arial" w:cs="Arial"/>
        </w:rPr>
        <w:t>, COVID-19, and escalated inclination towards neoliberalism has declined the provision of care to older adults in all countries of the UK</w:t>
      </w:r>
      <w:r w:rsidR="00667A14">
        <w:rPr>
          <w:rFonts w:ascii="Arial" w:hAnsi="Arial" w:cs="Arial"/>
        </w:rPr>
        <w:t xml:space="preserve"> (Carey, 2022)</w:t>
      </w:r>
      <w:r w:rsidRPr="00256CEC">
        <w:rPr>
          <w:rFonts w:ascii="Arial" w:hAnsi="Arial" w:cs="Arial"/>
        </w:rPr>
        <w:t>.</w:t>
      </w:r>
      <w:r w:rsidR="00C41A3F">
        <w:rPr>
          <w:rFonts w:ascii="Arial" w:hAnsi="Arial" w:cs="Arial"/>
        </w:rPr>
        <w:br w:type="page"/>
      </w:r>
    </w:p>
    <w:p w14:paraId="02B5C0C4" w14:textId="77777777" w:rsidR="00256CEC" w:rsidRPr="006D68C2" w:rsidRDefault="00256CEC" w:rsidP="007A2118">
      <w:pPr>
        <w:pStyle w:val="Heading1"/>
      </w:pPr>
      <w:r w:rsidRPr="006D68C2">
        <w:lastRenderedPageBreak/>
        <w:t>C</w:t>
      </w:r>
      <w:r w:rsidR="006D68C2" w:rsidRPr="006D68C2">
        <w:t>OMPARING THE UK HEALTH AND SOCIAL CARE PROVISION WITH SOME OTHER NATIONS</w:t>
      </w:r>
    </w:p>
    <w:p w14:paraId="11B0C618" w14:textId="27F7C4F4" w:rsidR="00256CEC" w:rsidRPr="00256CEC" w:rsidRDefault="00256CEC" w:rsidP="00093F6C">
      <w:pPr>
        <w:spacing w:line="360" w:lineRule="auto"/>
        <w:jc w:val="both"/>
        <w:rPr>
          <w:rFonts w:ascii="Arial" w:hAnsi="Arial" w:cs="Arial"/>
        </w:rPr>
      </w:pPr>
      <w:r w:rsidRPr="00256CEC">
        <w:rPr>
          <w:rFonts w:ascii="Arial" w:hAnsi="Arial" w:cs="Arial"/>
        </w:rPr>
        <w:t xml:space="preserve">The review of the research and data has revealed that </w:t>
      </w:r>
      <w:proofErr w:type="gramStart"/>
      <w:r w:rsidRPr="00256CEC">
        <w:rPr>
          <w:rFonts w:ascii="Arial" w:hAnsi="Arial" w:cs="Arial"/>
        </w:rPr>
        <w:t>similar to</w:t>
      </w:r>
      <w:proofErr w:type="gramEnd"/>
      <w:r w:rsidRPr="00256CEC">
        <w:rPr>
          <w:rFonts w:ascii="Arial" w:hAnsi="Arial" w:cs="Arial"/>
        </w:rPr>
        <w:t xml:space="preserve"> the United Kingdom, the United States is also facing challenges and complexities despite changes in the legislation and policies for older care. These challenges include declining financial support for long-term older care</w:t>
      </w:r>
      <w:r w:rsidR="002E0884">
        <w:rPr>
          <w:rFonts w:ascii="Arial" w:hAnsi="Arial" w:cs="Arial"/>
        </w:rPr>
        <w:t xml:space="preserve"> (Little and Morley, 2022)</w:t>
      </w:r>
      <w:r w:rsidRPr="00256CEC">
        <w:rPr>
          <w:rFonts w:ascii="Arial" w:hAnsi="Arial" w:cs="Arial"/>
        </w:rPr>
        <w:t>. The shortage of staff</w:t>
      </w:r>
      <w:r w:rsidR="00AE1846">
        <w:rPr>
          <w:rFonts w:ascii="Arial" w:hAnsi="Arial" w:cs="Arial"/>
        </w:rPr>
        <w:t xml:space="preserve"> and beds</w:t>
      </w:r>
      <w:r w:rsidRPr="00256CEC">
        <w:rPr>
          <w:rFonts w:ascii="Arial" w:hAnsi="Arial" w:cs="Arial"/>
        </w:rPr>
        <w:t xml:space="preserve"> has also resulted in the implementation of policies related to the provision</w:t>
      </w:r>
      <w:r w:rsidR="00AE1846">
        <w:rPr>
          <w:rFonts w:ascii="Arial" w:hAnsi="Arial" w:cs="Arial"/>
        </w:rPr>
        <w:t xml:space="preserve"> (Arthur, 2023</w:t>
      </w:r>
      <w:r w:rsidR="00B86063">
        <w:rPr>
          <w:rFonts w:ascii="Arial" w:hAnsi="Arial" w:cs="Arial"/>
        </w:rPr>
        <w:t>; Johnson, 2023)</w:t>
      </w:r>
      <w:r w:rsidRPr="00256CEC">
        <w:rPr>
          <w:rFonts w:ascii="Arial" w:hAnsi="Arial" w:cs="Arial"/>
        </w:rPr>
        <w:t xml:space="preserve">. In other words, the key focus has moved more towards the modification of the funding model by moving the provision of care towards community settings. However, the funding from the government of the U.S. is </w:t>
      </w:r>
      <w:r w:rsidR="00C41A3F">
        <w:rPr>
          <w:rFonts w:ascii="Arial" w:hAnsi="Arial" w:cs="Arial"/>
        </w:rPr>
        <w:t>shifts</w:t>
      </w:r>
      <w:r w:rsidRPr="00256CEC">
        <w:rPr>
          <w:rFonts w:ascii="Arial" w:hAnsi="Arial" w:cs="Arial"/>
        </w:rPr>
        <w:t xml:space="preserve"> </w:t>
      </w:r>
      <w:r w:rsidR="00C41A3F">
        <w:rPr>
          <w:rFonts w:ascii="Arial" w:hAnsi="Arial" w:cs="Arial"/>
        </w:rPr>
        <w:t xml:space="preserve">towards </w:t>
      </w:r>
      <w:r w:rsidRPr="00256CEC">
        <w:rPr>
          <w:rFonts w:ascii="Arial" w:hAnsi="Arial" w:cs="Arial"/>
        </w:rPr>
        <w:t>innovative technologies for improving coordination between states for older care</w:t>
      </w:r>
      <w:r w:rsidR="002E0884">
        <w:rPr>
          <w:rFonts w:ascii="Arial" w:hAnsi="Arial" w:cs="Arial"/>
        </w:rPr>
        <w:t xml:space="preserve"> (Little and Morley, 2022)</w:t>
      </w:r>
      <w:r w:rsidRPr="00256CEC">
        <w:rPr>
          <w:rFonts w:ascii="Arial" w:hAnsi="Arial" w:cs="Arial"/>
        </w:rPr>
        <w:t>.</w:t>
      </w:r>
      <w:r w:rsidR="00C41A3F">
        <w:rPr>
          <w:rFonts w:ascii="Arial" w:hAnsi="Arial" w:cs="Arial"/>
        </w:rPr>
        <w:t xml:space="preserve"> I</w:t>
      </w:r>
      <w:r w:rsidRPr="00256CEC">
        <w:rPr>
          <w:rFonts w:ascii="Arial" w:hAnsi="Arial" w:cs="Arial"/>
        </w:rPr>
        <w:t xml:space="preserve">n the UK, such as in Wales, the purpose of using technologies is to provide information to the elderly population for which they hesitate. </w:t>
      </w:r>
      <w:r w:rsidR="002E0884">
        <w:rPr>
          <w:rFonts w:ascii="Arial" w:hAnsi="Arial" w:cs="Arial"/>
        </w:rPr>
        <w:t xml:space="preserve">In addition, </w:t>
      </w:r>
      <w:r w:rsidR="002E0884" w:rsidRPr="002E0884">
        <w:rPr>
          <w:rFonts w:ascii="Arial" w:hAnsi="Arial" w:cs="Arial"/>
        </w:rPr>
        <w:t>Program of All</w:t>
      </w:r>
      <w:r w:rsidR="002E0884">
        <w:rPr>
          <w:rFonts w:ascii="Arial" w:hAnsi="Arial" w:cs="Arial"/>
        </w:rPr>
        <w:t xml:space="preserve">-Inclusive Care for the Elderly (PACE) has been implemented by 32 states of the U.S, which include all types of care for older population (mental and physical), and </w:t>
      </w:r>
      <w:r w:rsidR="00EB6BBF">
        <w:rPr>
          <w:rFonts w:ascii="Arial" w:hAnsi="Arial" w:cs="Arial"/>
        </w:rPr>
        <w:t>recognised as more humane than other po</w:t>
      </w:r>
      <w:r w:rsidR="002E0884">
        <w:rPr>
          <w:rFonts w:ascii="Arial" w:hAnsi="Arial" w:cs="Arial"/>
        </w:rPr>
        <w:t>licies (</w:t>
      </w:r>
      <w:r w:rsidR="00EB6BBF">
        <w:rPr>
          <w:rFonts w:ascii="Arial" w:hAnsi="Arial" w:cs="Arial"/>
        </w:rPr>
        <w:t xml:space="preserve">Berry et al., 2023). </w:t>
      </w:r>
    </w:p>
    <w:p w14:paraId="45AC449D" w14:textId="77777777" w:rsidR="00256CEC" w:rsidRPr="00256CEC" w:rsidRDefault="00256CEC" w:rsidP="00093F6C">
      <w:pPr>
        <w:spacing w:line="360" w:lineRule="auto"/>
        <w:jc w:val="both"/>
        <w:rPr>
          <w:rFonts w:ascii="Arial" w:hAnsi="Arial" w:cs="Arial"/>
        </w:rPr>
      </w:pPr>
      <w:r w:rsidRPr="00256CEC">
        <w:rPr>
          <w:rFonts w:ascii="Arial" w:hAnsi="Arial" w:cs="Arial"/>
        </w:rPr>
        <w:t>In comparison to Switzerland, it has been found that Switzerland does offer more financial well-being to the older population despite the lack of pension policies.  In terms of health care, the quality of provision is better than in the UK, but costlier</w:t>
      </w:r>
      <w:r w:rsidR="00B8582A">
        <w:rPr>
          <w:rFonts w:ascii="Arial" w:hAnsi="Arial" w:cs="Arial"/>
        </w:rPr>
        <w:t xml:space="preserve"> (Lewis and </w:t>
      </w:r>
      <w:proofErr w:type="spellStart"/>
      <w:r w:rsidR="00B8582A">
        <w:rPr>
          <w:rFonts w:ascii="Arial" w:hAnsi="Arial" w:cs="Arial"/>
        </w:rPr>
        <w:t>Ollivaud</w:t>
      </w:r>
      <w:proofErr w:type="spellEnd"/>
      <w:r w:rsidR="00B8582A">
        <w:rPr>
          <w:rFonts w:ascii="Arial" w:hAnsi="Arial" w:cs="Arial"/>
        </w:rPr>
        <w:t>, 2020)</w:t>
      </w:r>
      <w:r w:rsidRPr="00256CEC">
        <w:rPr>
          <w:rFonts w:ascii="Arial" w:hAnsi="Arial" w:cs="Arial"/>
        </w:rPr>
        <w:t xml:space="preserve">. </w:t>
      </w:r>
    </w:p>
    <w:p w14:paraId="7CD106DC" w14:textId="59AA1643" w:rsidR="00C41A3F" w:rsidRDefault="00256CEC" w:rsidP="00093F6C">
      <w:pPr>
        <w:spacing w:line="360" w:lineRule="auto"/>
        <w:jc w:val="both"/>
        <w:rPr>
          <w:rFonts w:ascii="Arial" w:hAnsi="Arial" w:cs="Arial"/>
        </w:rPr>
      </w:pPr>
      <w:r w:rsidRPr="00256CEC">
        <w:rPr>
          <w:rFonts w:ascii="Arial" w:hAnsi="Arial" w:cs="Arial"/>
        </w:rPr>
        <w:t>Furthermore, the comparison with Germany reveals effective and highly improved policies and legislations in the country for older care. According to Curry, Schlepper, and Hemmings (2019), Germany faced similar older care challenges that have been currently faced by the UK and England. Germany’s long-term caring insurance system focuses on risk-pooling, transparency, and fairness, a national framework for evaluating eligibility according to needs instead of means, and schedules, yet equal benefits, stable care at local and national level, and fairness to pay for a better future</w:t>
      </w:r>
      <w:r w:rsidR="00B8582A">
        <w:rPr>
          <w:rFonts w:ascii="Arial" w:hAnsi="Arial" w:cs="Arial"/>
        </w:rPr>
        <w:t xml:space="preserve"> (</w:t>
      </w:r>
      <w:proofErr w:type="spellStart"/>
      <w:r w:rsidR="00B8582A">
        <w:rPr>
          <w:rFonts w:ascii="Arial" w:hAnsi="Arial" w:cs="Arial"/>
        </w:rPr>
        <w:t>Ponz</w:t>
      </w:r>
      <w:proofErr w:type="spellEnd"/>
      <w:r w:rsidR="00B8582A">
        <w:rPr>
          <w:rFonts w:ascii="Arial" w:hAnsi="Arial" w:cs="Arial"/>
        </w:rPr>
        <w:t xml:space="preserve"> and </w:t>
      </w:r>
      <w:proofErr w:type="spellStart"/>
      <w:r w:rsidR="00B8582A">
        <w:rPr>
          <w:rFonts w:ascii="Arial" w:hAnsi="Arial" w:cs="Arial"/>
        </w:rPr>
        <w:t>Schoenmackers</w:t>
      </w:r>
      <w:proofErr w:type="spellEnd"/>
      <w:r w:rsidR="00B8582A">
        <w:rPr>
          <w:rFonts w:ascii="Arial" w:hAnsi="Arial" w:cs="Arial"/>
        </w:rPr>
        <w:t>, 2021)</w:t>
      </w:r>
      <w:r w:rsidRPr="00256CEC">
        <w:rPr>
          <w:rFonts w:ascii="Arial" w:hAnsi="Arial" w:cs="Arial"/>
        </w:rPr>
        <w:t xml:space="preserve">. Most of the points have been missed at the national level of the UK, specifically due to the delays in policy implementation, increasing neoliberalism adaptability, and continuous changes in the political landscape. </w:t>
      </w:r>
      <w:r w:rsidR="00C41A3F">
        <w:rPr>
          <w:rFonts w:ascii="Arial" w:hAnsi="Arial" w:cs="Arial"/>
        </w:rPr>
        <w:br w:type="page"/>
      </w:r>
    </w:p>
    <w:p w14:paraId="7A011F3A" w14:textId="77777777" w:rsidR="006D68C2" w:rsidRPr="006D68C2" w:rsidRDefault="00256CEC" w:rsidP="007A2118">
      <w:pPr>
        <w:pStyle w:val="Heading1"/>
      </w:pPr>
      <w:r w:rsidRPr="006D68C2">
        <w:lastRenderedPageBreak/>
        <w:t>C</w:t>
      </w:r>
      <w:r w:rsidR="006D68C2" w:rsidRPr="006D68C2">
        <w:t xml:space="preserve">ONCLUSION AND RECOMMEDNATIONS </w:t>
      </w:r>
    </w:p>
    <w:p w14:paraId="1817F746" w14:textId="77777777" w:rsidR="00256CEC" w:rsidRPr="00256CEC" w:rsidRDefault="00256CEC" w:rsidP="006D68C2">
      <w:pPr>
        <w:spacing w:line="360" w:lineRule="auto"/>
        <w:jc w:val="both"/>
        <w:rPr>
          <w:rFonts w:ascii="Arial" w:hAnsi="Arial" w:cs="Arial"/>
        </w:rPr>
      </w:pPr>
      <w:r w:rsidRPr="00256CEC">
        <w:rPr>
          <w:rFonts w:ascii="Arial" w:hAnsi="Arial" w:cs="Arial"/>
        </w:rPr>
        <w:t>This evaluation has provided numerous pieces of evidence that showed a serious decline in the provision of health and social care for the UK elderly population. The timeline showed that the UK healthcare system remained a good example of older care for the world. However, the scenario has now completely changed. In particular, England, Wales, and Scotland have shown numerous gaps in the effective implementation of policies, which result in inaccessibility to care for the larger older population, compromised quality, and increased financial burden on communities and individuals. The recommendations to improve ageing care are as follows.</w:t>
      </w:r>
    </w:p>
    <w:p w14:paraId="6A75EE00" w14:textId="77777777" w:rsidR="00256CEC" w:rsidRPr="00256CEC" w:rsidRDefault="00256CEC" w:rsidP="00093F6C">
      <w:pPr>
        <w:spacing w:line="360" w:lineRule="auto"/>
        <w:jc w:val="both"/>
        <w:rPr>
          <w:rFonts w:ascii="Arial" w:hAnsi="Arial" w:cs="Arial"/>
        </w:rPr>
      </w:pPr>
      <w:r w:rsidRPr="00256CEC">
        <w:rPr>
          <w:rFonts w:ascii="Arial" w:hAnsi="Arial" w:cs="Arial"/>
        </w:rPr>
        <w:t>1. Instead of considering the problem as politically divisive, the UK and other countries should adopt a unified approach for the comprehensive formulation of health and social care legislation for older care. The implementation should not be delayed by involving in political controversies. Debates must be carried out in coordination with all stakeholders of the society. The local governments should also continuously speak about the problem and bring the issue to the agenda in every meeting.</w:t>
      </w:r>
    </w:p>
    <w:p w14:paraId="49387155" w14:textId="77777777" w:rsidR="00256CEC" w:rsidRPr="00256CEC" w:rsidRDefault="00256CEC" w:rsidP="00093F6C">
      <w:pPr>
        <w:spacing w:line="360" w:lineRule="auto"/>
        <w:jc w:val="both"/>
        <w:rPr>
          <w:rFonts w:ascii="Arial" w:hAnsi="Arial" w:cs="Arial"/>
        </w:rPr>
      </w:pPr>
      <w:r w:rsidRPr="00256CEC">
        <w:rPr>
          <w:rFonts w:ascii="Arial" w:hAnsi="Arial" w:cs="Arial"/>
        </w:rPr>
        <w:t xml:space="preserve">2. The older population and their families are the key stakeholders. No decision should be taken without their involvement. In addition, policies should be separately devised and implemented for financial well-being, mental health, dementia, long-term care, end-of-life, and activeness. </w:t>
      </w:r>
    </w:p>
    <w:p w14:paraId="1560A2F9" w14:textId="77777777" w:rsidR="00256CEC" w:rsidRPr="00256CEC" w:rsidRDefault="00256CEC" w:rsidP="00093F6C">
      <w:pPr>
        <w:spacing w:line="360" w:lineRule="auto"/>
        <w:jc w:val="both"/>
        <w:rPr>
          <w:rFonts w:ascii="Arial" w:hAnsi="Arial" w:cs="Arial"/>
        </w:rPr>
      </w:pPr>
      <w:r w:rsidRPr="00256CEC">
        <w:rPr>
          <w:rFonts w:ascii="Arial" w:hAnsi="Arial" w:cs="Arial"/>
        </w:rPr>
        <w:t>3. The Welsh government should immediately improve the condition of care homes by providing refurnishing funds</w:t>
      </w:r>
      <w:r w:rsidR="00046360">
        <w:rPr>
          <w:rFonts w:ascii="Arial" w:hAnsi="Arial" w:cs="Arial"/>
        </w:rPr>
        <w:t xml:space="preserve"> and long-term support (Abdi et al., 2019)</w:t>
      </w:r>
      <w:r w:rsidRPr="00256CEC">
        <w:rPr>
          <w:rFonts w:ascii="Arial" w:hAnsi="Arial" w:cs="Arial"/>
        </w:rPr>
        <w:t>.</w:t>
      </w:r>
    </w:p>
    <w:p w14:paraId="3758DCCF" w14:textId="77777777" w:rsidR="00256CEC" w:rsidRPr="00256CEC" w:rsidRDefault="00256CEC" w:rsidP="00093F6C">
      <w:pPr>
        <w:spacing w:line="360" w:lineRule="auto"/>
        <w:jc w:val="both"/>
        <w:rPr>
          <w:rFonts w:ascii="Arial" w:hAnsi="Arial" w:cs="Arial"/>
        </w:rPr>
      </w:pPr>
      <w:r w:rsidRPr="00256CEC">
        <w:rPr>
          <w:rFonts w:ascii="Arial" w:hAnsi="Arial" w:cs="Arial"/>
        </w:rPr>
        <w:t>4. It is important to avoid the adoption of neoliberalism for older care and implement a fair funding process for equal accessibility of health services for all individuals. In addition, like in Germany, the eligibility criteria should be based on needs instead of means and age.</w:t>
      </w:r>
      <w:r w:rsidR="00C01FB9">
        <w:rPr>
          <w:rFonts w:ascii="Arial" w:hAnsi="Arial" w:cs="Arial"/>
        </w:rPr>
        <w:t xml:space="preserve"> Timely and quality data should be collected for this purpose (Burton et al., 2022)</w:t>
      </w:r>
    </w:p>
    <w:p w14:paraId="671BCD6F" w14:textId="77777777" w:rsidR="006B0DA1" w:rsidRDefault="00256CEC" w:rsidP="00093F6C">
      <w:pPr>
        <w:spacing w:line="360" w:lineRule="auto"/>
        <w:jc w:val="both"/>
        <w:rPr>
          <w:rFonts w:ascii="Arial" w:hAnsi="Arial" w:cs="Arial"/>
        </w:rPr>
      </w:pPr>
      <w:r w:rsidRPr="00256CEC">
        <w:rPr>
          <w:rFonts w:ascii="Arial" w:hAnsi="Arial" w:cs="Arial"/>
        </w:rPr>
        <w:t>5. Private funding must be limited and a lesson should be learned from Germany which faced negative consequences for heavily relying on private insurance.</w:t>
      </w:r>
    </w:p>
    <w:p w14:paraId="30A50C2B" w14:textId="726D0B12" w:rsidR="007748D1" w:rsidRDefault="007748D1" w:rsidP="00093F6C">
      <w:pPr>
        <w:spacing w:line="360" w:lineRule="auto"/>
        <w:jc w:val="both"/>
        <w:rPr>
          <w:rFonts w:ascii="Arial" w:hAnsi="Arial" w:cs="Arial"/>
        </w:rPr>
      </w:pPr>
      <w:r>
        <w:rPr>
          <w:rFonts w:ascii="Arial" w:hAnsi="Arial" w:cs="Arial"/>
        </w:rPr>
        <w:t xml:space="preserve">6. Staff motivation and morale should be improved for effective provision of health care </w:t>
      </w:r>
      <w:r w:rsidR="00046360">
        <w:rPr>
          <w:rFonts w:ascii="Arial" w:hAnsi="Arial" w:cs="Arial"/>
        </w:rPr>
        <w:t>through</w:t>
      </w:r>
      <w:r>
        <w:rPr>
          <w:rFonts w:ascii="Arial" w:hAnsi="Arial" w:cs="Arial"/>
        </w:rPr>
        <w:t xml:space="preserve"> constant training and attractive compensations and benefits</w:t>
      </w:r>
      <w:r w:rsidR="00046360">
        <w:rPr>
          <w:rFonts w:ascii="Arial" w:hAnsi="Arial" w:cs="Arial"/>
        </w:rPr>
        <w:t xml:space="preserve">, along with </w:t>
      </w:r>
      <w:r w:rsidR="007A2118">
        <w:rPr>
          <w:rFonts w:ascii="Arial" w:hAnsi="Arial" w:cs="Arial"/>
        </w:rPr>
        <w:t>clarifying</w:t>
      </w:r>
      <w:r w:rsidR="00046360">
        <w:rPr>
          <w:rFonts w:ascii="Arial" w:hAnsi="Arial" w:cs="Arial"/>
        </w:rPr>
        <w:t xml:space="preserve"> the meaning of PCC approach</w:t>
      </w:r>
      <w:r>
        <w:rPr>
          <w:rFonts w:ascii="Arial" w:hAnsi="Arial" w:cs="Arial"/>
        </w:rPr>
        <w:t xml:space="preserve"> (</w:t>
      </w:r>
      <w:proofErr w:type="spellStart"/>
      <w:r>
        <w:rPr>
          <w:rFonts w:ascii="Arial" w:hAnsi="Arial" w:cs="Arial"/>
        </w:rPr>
        <w:t>Shemtob</w:t>
      </w:r>
      <w:proofErr w:type="spellEnd"/>
      <w:r>
        <w:rPr>
          <w:rFonts w:ascii="Arial" w:hAnsi="Arial" w:cs="Arial"/>
        </w:rPr>
        <w:t xml:space="preserve"> and </w:t>
      </w:r>
      <w:proofErr w:type="spellStart"/>
      <w:r>
        <w:rPr>
          <w:rFonts w:ascii="Arial" w:hAnsi="Arial" w:cs="Arial"/>
        </w:rPr>
        <w:t>Asanati</w:t>
      </w:r>
      <w:proofErr w:type="spellEnd"/>
      <w:r>
        <w:rPr>
          <w:rFonts w:ascii="Arial" w:hAnsi="Arial" w:cs="Arial"/>
        </w:rPr>
        <w:t>, 2022).</w:t>
      </w:r>
    </w:p>
    <w:p w14:paraId="46D0963A" w14:textId="5095A853" w:rsidR="007A2118" w:rsidRDefault="007A2118" w:rsidP="00093F6C">
      <w:pPr>
        <w:spacing w:line="360" w:lineRule="auto"/>
        <w:jc w:val="both"/>
        <w:rPr>
          <w:rFonts w:ascii="Arial" w:hAnsi="Arial" w:cs="Arial"/>
        </w:rPr>
      </w:pPr>
      <w:r>
        <w:rPr>
          <w:rFonts w:ascii="Arial" w:hAnsi="Arial" w:cs="Arial"/>
        </w:rPr>
        <w:br w:type="page"/>
      </w:r>
    </w:p>
    <w:p w14:paraId="294C012B" w14:textId="77777777" w:rsidR="00CE1BDB" w:rsidRPr="00CE1BDB" w:rsidRDefault="00CE1BDB" w:rsidP="007A2118">
      <w:pPr>
        <w:pStyle w:val="Heading1"/>
      </w:pPr>
      <w:r w:rsidRPr="00CE1BDB">
        <w:lastRenderedPageBreak/>
        <w:t>REFERENCES</w:t>
      </w:r>
    </w:p>
    <w:p w14:paraId="63D588C3"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Abdi, S., Spann, A., </w:t>
      </w:r>
      <w:proofErr w:type="spellStart"/>
      <w:r w:rsidRPr="007913E8">
        <w:rPr>
          <w:rFonts w:asciiTheme="minorBidi" w:hAnsiTheme="minorBidi"/>
          <w:color w:val="000000" w:themeColor="text1"/>
          <w:shd w:val="clear" w:color="auto" w:fill="FFFFFF"/>
        </w:rPr>
        <w:t>Borilovic</w:t>
      </w:r>
      <w:proofErr w:type="spellEnd"/>
      <w:r w:rsidRPr="007913E8">
        <w:rPr>
          <w:rFonts w:asciiTheme="minorBidi" w:hAnsiTheme="minorBidi"/>
          <w:color w:val="000000" w:themeColor="text1"/>
          <w:shd w:val="clear" w:color="auto" w:fill="FFFFFF"/>
        </w:rPr>
        <w:t xml:space="preserve">, J., de Witte, L. and Hawley, M., 2019. Understanding the care and support needs of older people: a scoping review and categorisation using the WHO international classification of functioning, </w:t>
      </w:r>
      <w:proofErr w:type="gramStart"/>
      <w:r w:rsidRPr="007913E8">
        <w:rPr>
          <w:rFonts w:asciiTheme="minorBidi" w:hAnsiTheme="minorBidi"/>
          <w:color w:val="000000" w:themeColor="text1"/>
          <w:shd w:val="clear" w:color="auto" w:fill="FFFFFF"/>
        </w:rPr>
        <w:t>disability</w:t>
      </w:r>
      <w:proofErr w:type="gramEnd"/>
      <w:r w:rsidRPr="007913E8">
        <w:rPr>
          <w:rFonts w:asciiTheme="minorBidi" w:hAnsiTheme="minorBidi"/>
          <w:color w:val="000000" w:themeColor="text1"/>
          <w:shd w:val="clear" w:color="auto" w:fill="FFFFFF"/>
        </w:rPr>
        <w:t xml:space="preserve"> and health framework (ICF). </w:t>
      </w:r>
      <w:r w:rsidRPr="007913E8">
        <w:rPr>
          <w:rFonts w:asciiTheme="minorBidi" w:hAnsiTheme="minorBidi"/>
          <w:i/>
          <w:iCs/>
          <w:color w:val="000000" w:themeColor="text1"/>
          <w:shd w:val="clear" w:color="auto" w:fill="FFFFFF"/>
        </w:rPr>
        <w:t>BMC geriatrics</w:t>
      </w:r>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19</w:t>
      </w:r>
      <w:r w:rsidRPr="007913E8">
        <w:rPr>
          <w:rFonts w:asciiTheme="minorBidi" w:hAnsiTheme="minorBidi"/>
          <w:color w:val="000000" w:themeColor="text1"/>
          <w:shd w:val="clear" w:color="auto" w:fill="FFFFFF"/>
        </w:rPr>
        <w:t>(1), pp.1-15.</w:t>
      </w:r>
    </w:p>
    <w:p w14:paraId="11EC9F3F"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Age UK. (2019). Briefing: Health and Care of Older People in England 2019. Available at: </w:t>
      </w:r>
      <w:hyperlink r:id="rId7" w:history="1">
        <w:r w:rsidRPr="007913E8">
          <w:rPr>
            <w:rStyle w:val="Hyperlink"/>
            <w:rFonts w:asciiTheme="minorBidi" w:hAnsiTheme="minorBidi"/>
            <w:color w:val="000000" w:themeColor="text1"/>
            <w:u w:val="none"/>
            <w:shd w:val="clear" w:color="auto" w:fill="FFFFFF"/>
          </w:rPr>
          <w:t>https://www.ageuk.org.uk/globalassets/age-uk/documents/reports-and-publications/reports-and-briefings/health--wellbeing/age_uk_briefing_state_of_health_and_care_of_older_people_july2019.pdf</w:t>
        </w:r>
      </w:hyperlink>
      <w:r w:rsidRPr="007913E8">
        <w:rPr>
          <w:rFonts w:asciiTheme="minorBidi" w:hAnsiTheme="minorBidi"/>
          <w:color w:val="000000" w:themeColor="text1"/>
          <w:shd w:val="clear" w:color="auto" w:fill="FFFFFF"/>
        </w:rPr>
        <w:t xml:space="preserve"> (Accessed 2 March 2024)</w:t>
      </w:r>
    </w:p>
    <w:p w14:paraId="3DA5F7C6" w14:textId="77777777" w:rsidR="00CE1BDB" w:rsidRPr="007913E8" w:rsidRDefault="00CE1BDB" w:rsidP="00CE1BDB">
      <w:pPr>
        <w:ind w:left="720" w:hanging="720"/>
        <w:rPr>
          <w:rFonts w:asciiTheme="minorBidi" w:hAnsiTheme="minorBidi"/>
          <w:color w:val="000000" w:themeColor="text1"/>
        </w:rPr>
      </w:pPr>
      <w:r w:rsidRPr="007913E8">
        <w:rPr>
          <w:rFonts w:asciiTheme="minorBidi" w:hAnsiTheme="minorBidi"/>
          <w:color w:val="000000" w:themeColor="text1"/>
          <w:shd w:val="clear" w:color="auto" w:fill="FFFFFF"/>
        </w:rPr>
        <w:t xml:space="preserve">Age UK. (2023). </w:t>
      </w:r>
      <w:r w:rsidRPr="007913E8">
        <w:rPr>
          <w:rFonts w:asciiTheme="minorBidi" w:hAnsiTheme="minorBidi"/>
          <w:color w:val="000000" w:themeColor="text1"/>
        </w:rPr>
        <w:t xml:space="preserve">The State of Health and Care of Older People, 2023. Available at: </w:t>
      </w:r>
      <w:hyperlink r:id="rId8" w:history="1">
        <w:r w:rsidRPr="007913E8">
          <w:rPr>
            <w:rStyle w:val="Hyperlink"/>
            <w:rFonts w:asciiTheme="minorBidi" w:hAnsiTheme="minorBidi"/>
            <w:color w:val="000000" w:themeColor="text1"/>
            <w:u w:val="none"/>
          </w:rPr>
          <w:t>https://www.ageuk.org.uk/globalassets/age-uk/documents/reports-and-publications/reports-and-briefings/health--wellbeing/age-uk-briefing-state-of-health-and-care-july-2023-abridged-version.pdf</w:t>
        </w:r>
      </w:hyperlink>
      <w:r w:rsidRPr="007913E8">
        <w:rPr>
          <w:rFonts w:asciiTheme="minorBidi" w:hAnsiTheme="minorBidi"/>
          <w:color w:val="000000" w:themeColor="text1"/>
        </w:rPr>
        <w:t xml:space="preserve"> (Accessed 2 March 2024)</w:t>
      </w:r>
    </w:p>
    <w:p w14:paraId="231F3023" w14:textId="77777777" w:rsidR="00CE1BDB" w:rsidRPr="007913E8" w:rsidRDefault="00CE1BDB" w:rsidP="00CE1BDB">
      <w:pPr>
        <w:ind w:left="720" w:hanging="720"/>
        <w:rPr>
          <w:rFonts w:asciiTheme="minorBidi" w:hAnsiTheme="minorBidi"/>
          <w:color w:val="000000" w:themeColor="text1"/>
        </w:rPr>
      </w:pPr>
      <w:r w:rsidRPr="007913E8">
        <w:rPr>
          <w:rFonts w:asciiTheme="minorBidi" w:hAnsiTheme="minorBidi"/>
          <w:color w:val="000000" w:themeColor="text1"/>
          <w:shd w:val="clear" w:color="auto" w:fill="FFFFFF"/>
        </w:rPr>
        <w:t xml:space="preserve">Aujla, N., Frost, H., Guthrie, B., Hanratty, B., Kaner, E., O'Donnell, A., Ogden, M.E., Pain, H.G., </w:t>
      </w:r>
      <w:proofErr w:type="spellStart"/>
      <w:r w:rsidRPr="007913E8">
        <w:rPr>
          <w:rFonts w:asciiTheme="minorBidi" w:hAnsiTheme="minorBidi"/>
          <w:color w:val="000000" w:themeColor="text1"/>
          <w:shd w:val="clear" w:color="auto" w:fill="FFFFFF"/>
        </w:rPr>
        <w:t>Shenkin</w:t>
      </w:r>
      <w:proofErr w:type="spellEnd"/>
      <w:r w:rsidRPr="007913E8">
        <w:rPr>
          <w:rFonts w:asciiTheme="minorBidi" w:hAnsiTheme="minorBidi"/>
          <w:color w:val="000000" w:themeColor="text1"/>
          <w:shd w:val="clear" w:color="auto" w:fill="FFFFFF"/>
        </w:rPr>
        <w:t>, S.D. and Mercer, S.W. (2023). A comparative overview of health and social care policy for older people in England and Scotland, United Kingdom (UK). </w:t>
      </w:r>
      <w:r w:rsidRPr="007913E8">
        <w:rPr>
          <w:rFonts w:asciiTheme="minorBidi" w:hAnsiTheme="minorBidi"/>
          <w:i/>
          <w:iCs/>
          <w:color w:val="000000" w:themeColor="text1"/>
          <w:shd w:val="clear" w:color="auto" w:fill="FFFFFF"/>
        </w:rPr>
        <w:t>Health Policy</w:t>
      </w:r>
      <w:r w:rsidRPr="007913E8">
        <w:rPr>
          <w:rFonts w:asciiTheme="minorBidi" w:hAnsiTheme="minorBidi"/>
          <w:color w:val="000000" w:themeColor="text1"/>
          <w:shd w:val="clear" w:color="auto" w:fill="FFFFFF"/>
        </w:rPr>
        <w:t>, p.104814.</w:t>
      </w:r>
    </w:p>
    <w:p w14:paraId="7E8673F2" w14:textId="7D639BB8"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Alcock, P., Haux, T., McCall, V. and May, M. eds., 2022. The student's companion to social policy. John Wiley </w:t>
      </w:r>
      <w:r w:rsidR="007A2118">
        <w:rPr>
          <w:rFonts w:asciiTheme="minorBidi" w:hAnsiTheme="minorBidi"/>
          <w:color w:val="000000" w:themeColor="text1"/>
          <w:shd w:val="clear" w:color="auto" w:fill="FFFFFF"/>
        </w:rPr>
        <w:t>and</w:t>
      </w:r>
      <w:r w:rsidRPr="007913E8">
        <w:rPr>
          <w:rFonts w:asciiTheme="minorBidi" w:hAnsiTheme="minorBidi"/>
          <w:color w:val="000000" w:themeColor="text1"/>
          <w:shd w:val="clear" w:color="auto" w:fill="FFFFFF"/>
        </w:rPr>
        <w:t xml:space="preserve"> Sons.</w:t>
      </w:r>
    </w:p>
    <w:p w14:paraId="071B04D4" w14:textId="77777777" w:rsidR="00CE1BDB" w:rsidRPr="007913E8" w:rsidRDefault="00CE1BDB" w:rsidP="00CE1BDB">
      <w:pPr>
        <w:ind w:left="720" w:hanging="720"/>
        <w:rPr>
          <w:rFonts w:asciiTheme="minorBidi" w:hAnsiTheme="minorBidi"/>
          <w:color w:val="000000" w:themeColor="text1"/>
          <w:shd w:val="clear" w:color="auto" w:fill="FFFFFF"/>
        </w:rPr>
      </w:pPr>
      <w:proofErr w:type="spellStart"/>
      <w:proofErr w:type="gramStart"/>
      <w:r w:rsidRPr="007913E8">
        <w:rPr>
          <w:rFonts w:asciiTheme="minorBidi" w:hAnsiTheme="minorBidi"/>
          <w:color w:val="000000" w:themeColor="text1"/>
          <w:shd w:val="clear" w:color="auto" w:fill="FFFFFF"/>
        </w:rPr>
        <w:t>Alzheimer;s</w:t>
      </w:r>
      <w:proofErr w:type="spellEnd"/>
      <w:proofErr w:type="gramEnd"/>
      <w:r w:rsidRPr="007913E8">
        <w:rPr>
          <w:rFonts w:asciiTheme="minorBidi" w:hAnsiTheme="minorBidi"/>
          <w:color w:val="000000" w:themeColor="text1"/>
          <w:shd w:val="clear" w:color="auto" w:fill="FFFFFF"/>
        </w:rPr>
        <w:t xml:space="preserve"> Society. (2024).</w:t>
      </w:r>
      <w:r w:rsidRPr="007913E8">
        <w:rPr>
          <w:rFonts w:asciiTheme="minorBidi" w:hAnsiTheme="minorBidi"/>
          <w:color w:val="000000" w:themeColor="text1"/>
        </w:rPr>
        <w:t xml:space="preserve"> </w:t>
      </w:r>
      <w:r w:rsidRPr="007913E8">
        <w:rPr>
          <w:rFonts w:asciiTheme="minorBidi" w:hAnsiTheme="minorBidi"/>
          <w:color w:val="000000" w:themeColor="text1"/>
          <w:shd w:val="clear" w:color="auto" w:fill="FFFFFF"/>
        </w:rPr>
        <w:t xml:space="preserve">Who pays for care home fees in Wales? Available at: </w:t>
      </w:r>
      <w:hyperlink r:id="rId9" w:anchor=":~:text=If%20you%20have%20capital%20above,still%20be%20used%20to%20contribute" w:history="1">
        <w:r w:rsidRPr="007913E8">
          <w:rPr>
            <w:rStyle w:val="Hyperlink"/>
            <w:rFonts w:asciiTheme="minorBidi" w:hAnsiTheme="minorBidi"/>
            <w:color w:val="000000" w:themeColor="text1"/>
            <w:u w:val="none"/>
            <w:shd w:val="clear" w:color="auto" w:fill="FFFFFF"/>
          </w:rPr>
          <w:t>https://www.alzheimers.org.uk/get-support/legal-financial/who-pays-care-home-fees-wales#:~:text=If%20you%20have%20capital%20above,still%20be%20used%20to%20contribute</w:t>
        </w:r>
      </w:hyperlink>
      <w:r w:rsidRPr="007913E8">
        <w:rPr>
          <w:rFonts w:asciiTheme="minorBidi" w:hAnsiTheme="minorBidi"/>
          <w:color w:val="000000" w:themeColor="text1"/>
          <w:shd w:val="clear" w:color="auto" w:fill="FFFFFF"/>
        </w:rPr>
        <w:t>. (Accessed 2</w:t>
      </w:r>
      <w:r w:rsidRPr="007913E8">
        <w:rPr>
          <w:rFonts w:asciiTheme="minorBidi" w:hAnsiTheme="minorBidi"/>
          <w:color w:val="000000" w:themeColor="text1"/>
          <w:shd w:val="clear" w:color="auto" w:fill="FFFFFF"/>
          <w:vertAlign w:val="superscript"/>
        </w:rPr>
        <w:t>nd</w:t>
      </w:r>
      <w:r w:rsidRPr="007913E8">
        <w:rPr>
          <w:rFonts w:asciiTheme="minorBidi" w:hAnsiTheme="minorBidi"/>
          <w:color w:val="000000" w:themeColor="text1"/>
          <w:shd w:val="clear" w:color="auto" w:fill="FFFFFF"/>
        </w:rPr>
        <w:t xml:space="preserve"> March 2024). </w:t>
      </w:r>
    </w:p>
    <w:p w14:paraId="3294DA82"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Arthur, A., 2023. Nursing Older People in Hospital. </w:t>
      </w:r>
      <w:r w:rsidRPr="007913E8">
        <w:rPr>
          <w:rFonts w:asciiTheme="minorBidi" w:hAnsiTheme="minorBidi"/>
          <w:i/>
          <w:iCs/>
          <w:color w:val="000000" w:themeColor="text1"/>
          <w:shd w:val="clear" w:color="auto" w:fill="FFFFFF"/>
        </w:rPr>
        <w:t>Redfern's Nursing Older People</w:t>
      </w:r>
      <w:r w:rsidRPr="007913E8">
        <w:rPr>
          <w:rFonts w:asciiTheme="minorBidi" w:hAnsiTheme="minorBidi"/>
          <w:color w:val="000000" w:themeColor="text1"/>
          <w:shd w:val="clear" w:color="auto" w:fill="FFFFFF"/>
        </w:rPr>
        <w:t>, p.121.</w:t>
      </w:r>
    </w:p>
    <w:p w14:paraId="138F8E7D"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Berry, L., Naber, M., </w:t>
      </w:r>
      <w:proofErr w:type="spellStart"/>
      <w:r w:rsidRPr="007913E8">
        <w:rPr>
          <w:rFonts w:asciiTheme="minorBidi" w:hAnsiTheme="minorBidi"/>
          <w:color w:val="000000" w:themeColor="text1"/>
          <w:shd w:val="clear" w:color="auto" w:fill="FFFFFF"/>
        </w:rPr>
        <w:t>Letchhuman</w:t>
      </w:r>
      <w:proofErr w:type="spellEnd"/>
      <w:r w:rsidRPr="007913E8">
        <w:rPr>
          <w:rFonts w:asciiTheme="minorBidi" w:hAnsiTheme="minorBidi"/>
          <w:color w:val="000000" w:themeColor="text1"/>
          <w:shd w:val="clear" w:color="auto" w:fill="FFFFFF"/>
        </w:rPr>
        <w:t xml:space="preserve">, S., Fitzgerald, P. (2023). A More Humane Model for Eldercare in the </w:t>
      </w:r>
      <w:proofErr w:type="gramStart"/>
      <w:r w:rsidRPr="007913E8">
        <w:rPr>
          <w:rFonts w:asciiTheme="minorBidi" w:hAnsiTheme="minorBidi"/>
          <w:color w:val="000000" w:themeColor="text1"/>
          <w:shd w:val="clear" w:color="auto" w:fill="FFFFFF"/>
        </w:rPr>
        <w:t>U.S</w:t>
      </w:r>
      <w:r w:rsidRPr="007913E8">
        <w:rPr>
          <w:rFonts w:asciiTheme="minorBidi" w:hAnsiTheme="minorBidi"/>
          <w:i/>
          <w:iCs/>
          <w:color w:val="000000" w:themeColor="text1"/>
          <w:shd w:val="clear" w:color="auto" w:fill="FFFFFF"/>
        </w:rPr>
        <w:t>..</w:t>
      </w:r>
      <w:proofErr w:type="gramEnd"/>
      <w:r w:rsidRPr="007913E8">
        <w:rPr>
          <w:rFonts w:asciiTheme="minorBidi" w:hAnsiTheme="minorBidi"/>
          <w:i/>
          <w:iCs/>
          <w:color w:val="000000" w:themeColor="text1"/>
          <w:shd w:val="clear" w:color="auto" w:fill="FFFFFF"/>
        </w:rPr>
        <w:t xml:space="preserve"> Harvard Business Review.</w:t>
      </w:r>
      <w:r w:rsidRPr="007913E8">
        <w:rPr>
          <w:rFonts w:asciiTheme="minorBidi" w:hAnsiTheme="minorBidi"/>
          <w:color w:val="000000" w:themeColor="text1"/>
          <w:shd w:val="clear" w:color="auto" w:fill="FFFFFF"/>
        </w:rPr>
        <w:t xml:space="preserve"> Available at: </w:t>
      </w:r>
      <w:hyperlink r:id="rId10" w:history="1">
        <w:r w:rsidRPr="007913E8">
          <w:rPr>
            <w:rStyle w:val="Hyperlink"/>
            <w:rFonts w:asciiTheme="minorBidi" w:hAnsiTheme="minorBidi"/>
            <w:color w:val="000000" w:themeColor="text1"/>
            <w:u w:val="none"/>
            <w:shd w:val="clear" w:color="auto" w:fill="FFFFFF"/>
          </w:rPr>
          <w:t>https://hbr.org/2023/06/a-more-humane-model-for-eldercare-in-the-u-s</w:t>
        </w:r>
      </w:hyperlink>
    </w:p>
    <w:p w14:paraId="0559FC0C"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Barker, R.O., Hanratty, B., Kingston, A., Ramsay, </w:t>
      </w:r>
      <w:proofErr w:type="gramStart"/>
      <w:r w:rsidRPr="007913E8">
        <w:rPr>
          <w:rFonts w:asciiTheme="minorBidi" w:hAnsiTheme="minorBidi"/>
          <w:color w:val="000000" w:themeColor="text1"/>
          <w:shd w:val="clear" w:color="auto" w:fill="FFFFFF"/>
        </w:rPr>
        <w:t>S.E.</w:t>
      </w:r>
      <w:proofErr w:type="gramEnd"/>
      <w:r w:rsidRPr="007913E8">
        <w:rPr>
          <w:rFonts w:asciiTheme="minorBidi" w:hAnsiTheme="minorBidi"/>
          <w:color w:val="000000" w:themeColor="text1"/>
          <w:shd w:val="clear" w:color="auto" w:fill="FFFFFF"/>
        </w:rPr>
        <w:t xml:space="preserve"> and Matthews, F.E., 2021. Changes in health and functioning of care home residents over two decades: what can we learn from population-based </w:t>
      </w:r>
      <w:proofErr w:type="gramStart"/>
      <w:r w:rsidRPr="007913E8">
        <w:rPr>
          <w:rFonts w:asciiTheme="minorBidi" w:hAnsiTheme="minorBidi"/>
          <w:color w:val="000000" w:themeColor="text1"/>
          <w:shd w:val="clear" w:color="auto" w:fill="FFFFFF"/>
        </w:rPr>
        <w:t>studies?.</w:t>
      </w:r>
      <w:proofErr w:type="gramEnd"/>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Age and Ageing</w:t>
      </w:r>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50</w:t>
      </w:r>
      <w:r w:rsidRPr="007913E8">
        <w:rPr>
          <w:rFonts w:asciiTheme="minorBidi" w:hAnsiTheme="minorBidi"/>
          <w:color w:val="000000" w:themeColor="text1"/>
          <w:shd w:val="clear" w:color="auto" w:fill="FFFFFF"/>
        </w:rPr>
        <w:t>(3), pp.921-927.</w:t>
      </w:r>
    </w:p>
    <w:p w14:paraId="68271965"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Burton, J.K., Wolters, A.T., Towers, A.M., Jones, L., Meyer, J., Gordon, A.L., Irvine, L., Hanratty, B., Spilsbury, K., Peryer, G. and Rand, S., 2022. Developing a minimum data set for older adult care homes in the UK: exploring the concept and defining early core principles. </w:t>
      </w:r>
      <w:r w:rsidRPr="007913E8">
        <w:rPr>
          <w:rFonts w:asciiTheme="minorBidi" w:hAnsiTheme="minorBidi"/>
          <w:i/>
          <w:iCs/>
          <w:color w:val="000000" w:themeColor="text1"/>
          <w:shd w:val="clear" w:color="auto" w:fill="FFFFFF"/>
        </w:rPr>
        <w:t>The Lancet Healthy Longevity</w:t>
      </w:r>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3</w:t>
      </w:r>
      <w:r w:rsidRPr="007913E8">
        <w:rPr>
          <w:rFonts w:asciiTheme="minorBidi" w:hAnsiTheme="minorBidi"/>
          <w:color w:val="000000" w:themeColor="text1"/>
          <w:shd w:val="clear" w:color="auto" w:fill="FFFFFF"/>
        </w:rPr>
        <w:t xml:space="preserve">(3), </w:t>
      </w:r>
      <w:proofErr w:type="gramStart"/>
      <w:r w:rsidRPr="007913E8">
        <w:rPr>
          <w:rFonts w:asciiTheme="minorBidi" w:hAnsiTheme="minorBidi"/>
          <w:color w:val="000000" w:themeColor="text1"/>
          <w:shd w:val="clear" w:color="auto" w:fill="FFFFFF"/>
        </w:rPr>
        <w:t>pp.e</w:t>
      </w:r>
      <w:proofErr w:type="gramEnd"/>
      <w:r w:rsidRPr="007913E8">
        <w:rPr>
          <w:rFonts w:asciiTheme="minorBidi" w:hAnsiTheme="minorBidi"/>
          <w:color w:val="000000" w:themeColor="text1"/>
          <w:shd w:val="clear" w:color="auto" w:fill="FFFFFF"/>
        </w:rPr>
        <w:t>186-e193.</w:t>
      </w:r>
    </w:p>
    <w:p w14:paraId="3F062B02"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lastRenderedPageBreak/>
        <w:t xml:space="preserve">Carey, M., 2022. Welfare conditionality, ethics and social care for older people in the UK: From civic rights to </w:t>
      </w:r>
      <w:proofErr w:type="gramStart"/>
      <w:r w:rsidRPr="007913E8">
        <w:rPr>
          <w:rFonts w:asciiTheme="minorBidi" w:hAnsiTheme="minorBidi"/>
          <w:color w:val="000000" w:themeColor="text1"/>
          <w:shd w:val="clear" w:color="auto" w:fill="FFFFFF"/>
        </w:rPr>
        <w:t>abandonment?.</w:t>
      </w:r>
      <w:proofErr w:type="gramEnd"/>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The British Journal of Social Work</w:t>
      </w:r>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52</w:t>
      </w:r>
      <w:r w:rsidRPr="007913E8">
        <w:rPr>
          <w:rFonts w:asciiTheme="minorBidi" w:hAnsiTheme="minorBidi"/>
          <w:color w:val="000000" w:themeColor="text1"/>
          <w:shd w:val="clear" w:color="auto" w:fill="FFFFFF"/>
        </w:rPr>
        <w:t>(6), pp.3230-3246.</w:t>
      </w:r>
    </w:p>
    <w:p w14:paraId="6AACB41B"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Dalton, G. (2021). How the UK’s four social care systems measure up against each other. Available at: </w:t>
      </w:r>
      <w:hyperlink r:id="rId11" w:history="1">
        <w:r w:rsidRPr="007913E8">
          <w:rPr>
            <w:rStyle w:val="Hyperlink"/>
            <w:rFonts w:asciiTheme="minorBidi" w:hAnsiTheme="minorBidi"/>
            <w:color w:val="000000" w:themeColor="text1"/>
            <w:u w:val="none"/>
            <w:shd w:val="clear" w:color="auto" w:fill="FFFFFF"/>
          </w:rPr>
          <w:t>https://www.communitycare.co.uk/2021/05/11/uks-four-social-care-systems-measure/</w:t>
        </w:r>
      </w:hyperlink>
      <w:r w:rsidRPr="007913E8">
        <w:rPr>
          <w:rFonts w:asciiTheme="minorBidi" w:hAnsiTheme="minorBidi"/>
          <w:color w:val="000000" w:themeColor="text1"/>
          <w:shd w:val="clear" w:color="auto" w:fill="FFFFFF"/>
        </w:rPr>
        <w:t xml:space="preserve"> (Accessed 4 March 2024).</w:t>
      </w:r>
    </w:p>
    <w:p w14:paraId="7E865B7A" w14:textId="77777777" w:rsidR="00CE1BDB" w:rsidRPr="007913E8" w:rsidRDefault="00CE1BDB" w:rsidP="00CE1BDB">
      <w:pPr>
        <w:ind w:left="720" w:hanging="720"/>
        <w:rPr>
          <w:rFonts w:asciiTheme="minorBidi" w:hAnsiTheme="minorBidi"/>
          <w:color w:val="000000" w:themeColor="text1"/>
          <w:shd w:val="clear" w:color="auto" w:fill="FFFFFF"/>
          <w:lang w:val="en-US"/>
        </w:rPr>
      </w:pPr>
      <w:r w:rsidRPr="007913E8">
        <w:rPr>
          <w:rFonts w:asciiTheme="minorBidi" w:hAnsiTheme="minorBidi"/>
          <w:color w:val="000000" w:themeColor="text1"/>
          <w:shd w:val="clear" w:color="auto" w:fill="FFFFFF"/>
        </w:rPr>
        <w:t xml:space="preserve">Denham, M. (2016). A Brief History of the Care of the Elderly. </w:t>
      </w:r>
      <w:r w:rsidRPr="007913E8">
        <w:rPr>
          <w:rFonts w:asciiTheme="minorBidi" w:hAnsiTheme="minorBidi"/>
          <w:i/>
          <w:iCs/>
          <w:color w:val="000000" w:themeColor="text1"/>
          <w:shd w:val="clear" w:color="auto" w:fill="FFFFFF"/>
        </w:rPr>
        <w:t>British Geriatrics Society</w:t>
      </w:r>
      <w:r w:rsidRPr="007913E8">
        <w:rPr>
          <w:rFonts w:asciiTheme="minorBidi" w:hAnsiTheme="minorBidi"/>
          <w:color w:val="000000" w:themeColor="text1"/>
          <w:shd w:val="clear" w:color="auto" w:fill="FFFFFF"/>
        </w:rPr>
        <w:t xml:space="preserve">.  Available at: </w:t>
      </w:r>
      <w:hyperlink r:id="rId12" w:history="1">
        <w:r w:rsidRPr="007913E8">
          <w:rPr>
            <w:rStyle w:val="Hyperlink"/>
            <w:rFonts w:asciiTheme="minorBidi" w:hAnsiTheme="minorBidi"/>
            <w:color w:val="000000" w:themeColor="text1"/>
            <w:u w:val="none"/>
            <w:shd w:val="clear" w:color="auto" w:fill="FFFFFF"/>
          </w:rPr>
          <w:t>https://www.bgs.org.uk/resources/a-brief-history-of-the-care-of-the-elderly</w:t>
        </w:r>
      </w:hyperlink>
      <w:r w:rsidRPr="007913E8">
        <w:rPr>
          <w:rFonts w:asciiTheme="minorBidi" w:hAnsiTheme="minorBidi"/>
          <w:color w:val="000000" w:themeColor="text1"/>
          <w:shd w:val="clear" w:color="auto" w:fill="FFFFFF"/>
        </w:rPr>
        <w:t xml:space="preserve">. (Accessed 1 March 2024). </w:t>
      </w:r>
    </w:p>
    <w:p w14:paraId="03705833"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Dudley, H., and </w:t>
      </w:r>
      <w:proofErr w:type="spellStart"/>
      <w:r w:rsidRPr="007913E8">
        <w:rPr>
          <w:rFonts w:asciiTheme="minorBidi" w:hAnsiTheme="minorBidi"/>
          <w:color w:val="000000" w:themeColor="text1"/>
          <w:shd w:val="clear" w:color="auto" w:fill="FFFFFF"/>
        </w:rPr>
        <w:t>Muteby</w:t>
      </w:r>
      <w:proofErr w:type="spellEnd"/>
      <w:r w:rsidRPr="007913E8">
        <w:rPr>
          <w:rFonts w:asciiTheme="minorBidi" w:hAnsiTheme="minorBidi"/>
          <w:color w:val="000000" w:themeColor="text1"/>
          <w:shd w:val="clear" w:color="auto" w:fill="FFFFFF"/>
        </w:rPr>
        <w:t xml:space="preserve">, N. (2022). Palliative and end of life care. </w:t>
      </w:r>
      <w:r w:rsidRPr="007913E8">
        <w:rPr>
          <w:rFonts w:asciiTheme="minorBidi" w:hAnsiTheme="minorBidi"/>
          <w:i/>
          <w:iCs/>
          <w:color w:val="000000" w:themeColor="text1"/>
          <w:shd w:val="clear" w:color="auto" w:fill="FFFFFF"/>
        </w:rPr>
        <w:t>UK Parliament</w:t>
      </w:r>
      <w:r w:rsidRPr="007913E8">
        <w:rPr>
          <w:rFonts w:asciiTheme="minorBidi" w:hAnsiTheme="minorBidi"/>
          <w:color w:val="000000" w:themeColor="text1"/>
          <w:shd w:val="clear" w:color="auto" w:fill="FFFFFF"/>
        </w:rPr>
        <w:t xml:space="preserve">. Available at: </w:t>
      </w:r>
      <w:hyperlink r:id="rId13" w:history="1">
        <w:r w:rsidRPr="007913E8">
          <w:rPr>
            <w:rStyle w:val="Hyperlink"/>
            <w:rFonts w:asciiTheme="minorBidi" w:hAnsiTheme="minorBidi"/>
            <w:color w:val="000000" w:themeColor="text1"/>
            <w:u w:val="none"/>
            <w:shd w:val="clear" w:color="auto" w:fill="FFFFFF"/>
          </w:rPr>
          <w:t>https://researchbriefings.files.parliament.uk/documents/POST-PN-0675/POST-PN-0675.pdf</w:t>
        </w:r>
      </w:hyperlink>
      <w:r w:rsidRPr="007913E8">
        <w:rPr>
          <w:rFonts w:asciiTheme="minorBidi" w:hAnsiTheme="minorBidi"/>
          <w:color w:val="000000" w:themeColor="text1"/>
          <w:shd w:val="clear" w:color="auto" w:fill="FFFFFF"/>
        </w:rPr>
        <w:t xml:space="preserve"> (Accessed 2 March 2024). </w:t>
      </w:r>
    </w:p>
    <w:p w14:paraId="07F46031"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Curry, N., Schlepper, L. and Hemmings, N. (2019). What can England learn from the long-term care system in </w:t>
      </w:r>
      <w:proofErr w:type="gramStart"/>
      <w:r w:rsidRPr="007913E8">
        <w:rPr>
          <w:rFonts w:asciiTheme="minorBidi" w:hAnsiTheme="minorBidi"/>
          <w:color w:val="000000" w:themeColor="text1"/>
          <w:shd w:val="clear" w:color="auto" w:fill="FFFFFF"/>
        </w:rPr>
        <w:t>Germany?,</w:t>
      </w:r>
      <w:proofErr w:type="gramEnd"/>
      <w:r w:rsidRPr="007913E8">
        <w:rPr>
          <w:rFonts w:asciiTheme="minorBidi" w:hAnsiTheme="minorBidi"/>
          <w:color w:val="000000" w:themeColor="text1"/>
          <w:shd w:val="clear" w:color="auto" w:fill="FFFFFF"/>
        </w:rPr>
        <w:t xml:space="preserve"> pp. 1-88.</w:t>
      </w:r>
    </w:p>
    <w:p w14:paraId="451AEC1A"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Hannigan, B., 2022. Observations from a small country: mental health policy, services and nursing in Wales. </w:t>
      </w:r>
      <w:r w:rsidRPr="007913E8">
        <w:rPr>
          <w:rFonts w:asciiTheme="minorBidi" w:hAnsiTheme="minorBidi"/>
          <w:i/>
          <w:iCs/>
          <w:color w:val="000000" w:themeColor="text1"/>
          <w:shd w:val="clear" w:color="auto" w:fill="FFFFFF"/>
        </w:rPr>
        <w:t xml:space="preserve">Health Economics, </w:t>
      </w:r>
      <w:proofErr w:type="gramStart"/>
      <w:r w:rsidRPr="007913E8">
        <w:rPr>
          <w:rFonts w:asciiTheme="minorBidi" w:hAnsiTheme="minorBidi"/>
          <w:i/>
          <w:iCs/>
          <w:color w:val="000000" w:themeColor="text1"/>
          <w:shd w:val="clear" w:color="auto" w:fill="FFFFFF"/>
        </w:rPr>
        <w:t>Policy</w:t>
      </w:r>
      <w:proofErr w:type="gramEnd"/>
      <w:r w:rsidRPr="007913E8">
        <w:rPr>
          <w:rFonts w:asciiTheme="minorBidi" w:hAnsiTheme="minorBidi"/>
          <w:i/>
          <w:iCs/>
          <w:color w:val="000000" w:themeColor="text1"/>
          <w:shd w:val="clear" w:color="auto" w:fill="FFFFFF"/>
        </w:rPr>
        <w:t xml:space="preserve"> and Law</w:t>
      </w:r>
      <w:r w:rsidRPr="007913E8">
        <w:rPr>
          <w:rFonts w:asciiTheme="minorBidi" w:hAnsiTheme="minorBidi"/>
          <w:color w:val="000000" w:themeColor="text1"/>
          <w:shd w:val="clear" w:color="auto" w:fill="FFFFFF"/>
        </w:rPr>
        <w:t>, 17(2), pp.200-211.</w:t>
      </w:r>
    </w:p>
    <w:p w14:paraId="34E0730B"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Health and Care Act. (2022). </w:t>
      </w:r>
      <w:r w:rsidRPr="007913E8">
        <w:rPr>
          <w:rFonts w:asciiTheme="minorBidi" w:hAnsiTheme="minorBidi"/>
          <w:i/>
          <w:iCs/>
          <w:color w:val="000000" w:themeColor="text1"/>
          <w:shd w:val="clear" w:color="auto" w:fill="FFFFFF"/>
        </w:rPr>
        <w:t>Legislation UK.</w:t>
      </w:r>
      <w:r w:rsidRPr="007913E8">
        <w:rPr>
          <w:rFonts w:asciiTheme="minorBidi" w:hAnsiTheme="minorBidi"/>
          <w:color w:val="000000" w:themeColor="text1"/>
          <w:shd w:val="clear" w:color="auto" w:fill="FFFFFF"/>
        </w:rPr>
        <w:t xml:space="preserve"> Available at: </w:t>
      </w:r>
      <w:hyperlink r:id="rId14" w:history="1">
        <w:r w:rsidRPr="007913E8">
          <w:rPr>
            <w:rStyle w:val="Hyperlink"/>
            <w:rFonts w:asciiTheme="minorBidi" w:hAnsiTheme="minorBidi"/>
            <w:color w:val="000000" w:themeColor="text1"/>
            <w:u w:val="none"/>
            <w:shd w:val="clear" w:color="auto" w:fill="FFFFFF"/>
          </w:rPr>
          <w:t>https://www.legislation.gov.uk/ukpga/2022/31/part/2</w:t>
        </w:r>
      </w:hyperlink>
    </w:p>
    <w:p w14:paraId="21AA3F6B"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James, T., Mukadam, N., </w:t>
      </w:r>
      <w:proofErr w:type="spellStart"/>
      <w:r w:rsidRPr="007913E8">
        <w:rPr>
          <w:rFonts w:asciiTheme="minorBidi" w:hAnsiTheme="minorBidi"/>
          <w:color w:val="000000" w:themeColor="text1"/>
          <w:shd w:val="clear" w:color="auto" w:fill="FFFFFF"/>
        </w:rPr>
        <w:t>Sommerlad</w:t>
      </w:r>
      <w:proofErr w:type="spellEnd"/>
      <w:r w:rsidRPr="007913E8">
        <w:rPr>
          <w:rFonts w:asciiTheme="minorBidi" w:hAnsiTheme="minorBidi"/>
          <w:color w:val="000000" w:themeColor="text1"/>
          <w:shd w:val="clear" w:color="auto" w:fill="FFFFFF"/>
        </w:rPr>
        <w:t>, A., Barrera-Caballero, S. and Livingston, G. (2023). Equity in care and support provision for people affected by dementia: experiences of people from UK South Asian and White British backgrounds. </w:t>
      </w:r>
      <w:r w:rsidRPr="007913E8">
        <w:rPr>
          <w:rFonts w:asciiTheme="minorBidi" w:hAnsiTheme="minorBidi"/>
          <w:i/>
          <w:iCs/>
          <w:color w:val="000000" w:themeColor="text1"/>
          <w:shd w:val="clear" w:color="auto" w:fill="FFFFFF"/>
        </w:rPr>
        <w:t>International Psychogeriatrics</w:t>
      </w:r>
      <w:r w:rsidRPr="007913E8">
        <w:rPr>
          <w:rFonts w:asciiTheme="minorBidi" w:hAnsiTheme="minorBidi"/>
          <w:color w:val="000000" w:themeColor="text1"/>
          <w:shd w:val="clear" w:color="auto" w:fill="FFFFFF"/>
        </w:rPr>
        <w:t>, pp.1-10.</w:t>
      </w:r>
    </w:p>
    <w:p w14:paraId="1B4FBE38" w14:textId="215B6B6F"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Johnson, E.K., 2023. Death, dying and disparity: an ethnography of differently priced residential care homes for older people. </w:t>
      </w:r>
      <w:r w:rsidRPr="007913E8">
        <w:rPr>
          <w:rFonts w:asciiTheme="minorBidi" w:hAnsiTheme="minorBidi"/>
          <w:i/>
          <w:iCs/>
          <w:color w:val="000000" w:themeColor="text1"/>
          <w:shd w:val="clear" w:color="auto" w:fill="FFFFFF"/>
        </w:rPr>
        <w:t xml:space="preserve">Ageing </w:t>
      </w:r>
      <w:r w:rsidR="007A2118">
        <w:rPr>
          <w:rFonts w:asciiTheme="minorBidi" w:hAnsiTheme="minorBidi"/>
          <w:i/>
          <w:iCs/>
          <w:color w:val="000000" w:themeColor="text1"/>
          <w:shd w:val="clear" w:color="auto" w:fill="FFFFFF"/>
        </w:rPr>
        <w:t>and</w:t>
      </w:r>
      <w:r w:rsidRPr="007913E8">
        <w:rPr>
          <w:rFonts w:asciiTheme="minorBidi" w:hAnsiTheme="minorBidi"/>
          <w:i/>
          <w:iCs/>
          <w:color w:val="000000" w:themeColor="text1"/>
          <w:shd w:val="clear" w:color="auto" w:fill="FFFFFF"/>
        </w:rPr>
        <w:t xml:space="preserve"> Society</w:t>
      </w:r>
      <w:r w:rsidRPr="007913E8">
        <w:rPr>
          <w:rFonts w:asciiTheme="minorBidi" w:hAnsiTheme="minorBidi"/>
          <w:color w:val="000000" w:themeColor="text1"/>
          <w:shd w:val="clear" w:color="auto" w:fill="FFFFFF"/>
        </w:rPr>
        <w:t>, pp.1-21.</w:t>
      </w:r>
    </w:p>
    <w:p w14:paraId="5D4135B8"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Jones, C. (2023). State of older people’s housing in Wales. Care and Repair Cymru. Available at: </w:t>
      </w:r>
      <w:hyperlink r:id="rId15" w:history="1">
        <w:r w:rsidRPr="007913E8">
          <w:rPr>
            <w:rStyle w:val="Hyperlink"/>
            <w:rFonts w:asciiTheme="minorBidi" w:hAnsiTheme="minorBidi"/>
            <w:color w:val="000000" w:themeColor="text1"/>
            <w:u w:val="none"/>
            <w:shd w:val="clear" w:color="auto" w:fill="FFFFFF"/>
          </w:rPr>
          <w:t>https://thinkhouse.org.uk/site/assets/files/2774/care0223.pdf</w:t>
        </w:r>
      </w:hyperlink>
      <w:r w:rsidRPr="007913E8">
        <w:rPr>
          <w:rFonts w:asciiTheme="minorBidi" w:hAnsiTheme="minorBidi"/>
          <w:color w:val="000000" w:themeColor="text1"/>
          <w:shd w:val="clear" w:color="auto" w:fill="FFFFFF"/>
        </w:rPr>
        <w:t xml:space="preserve"> (Accessed 2nd March 2024).</w:t>
      </w:r>
    </w:p>
    <w:p w14:paraId="29B6C9B5"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Lewis, C. and </w:t>
      </w:r>
      <w:proofErr w:type="spellStart"/>
      <w:r w:rsidRPr="007913E8">
        <w:rPr>
          <w:rFonts w:asciiTheme="minorBidi" w:hAnsiTheme="minorBidi"/>
          <w:color w:val="000000" w:themeColor="text1"/>
          <w:shd w:val="clear" w:color="auto" w:fill="FFFFFF"/>
        </w:rPr>
        <w:t>Ollivaud</w:t>
      </w:r>
      <w:proofErr w:type="spellEnd"/>
      <w:r w:rsidRPr="007913E8">
        <w:rPr>
          <w:rFonts w:asciiTheme="minorBidi" w:hAnsiTheme="minorBidi"/>
          <w:color w:val="000000" w:themeColor="text1"/>
          <w:shd w:val="clear" w:color="auto" w:fill="FFFFFF"/>
        </w:rPr>
        <w:t xml:space="preserve">, P. (2020). Policies for Switzerland’s ageing society. </w:t>
      </w:r>
      <w:r w:rsidRPr="007913E8">
        <w:rPr>
          <w:rFonts w:asciiTheme="minorBidi" w:hAnsiTheme="minorBidi"/>
          <w:i/>
          <w:iCs/>
          <w:color w:val="000000" w:themeColor="text1"/>
          <w:shd w:val="clear" w:color="auto" w:fill="FFFFFF"/>
        </w:rPr>
        <w:t xml:space="preserve">OECD. </w:t>
      </w:r>
      <w:r w:rsidRPr="007913E8">
        <w:rPr>
          <w:rFonts w:asciiTheme="minorBidi" w:hAnsiTheme="minorBidi"/>
          <w:color w:val="000000" w:themeColor="text1"/>
          <w:shd w:val="clear" w:color="auto" w:fill="FFFFFF"/>
        </w:rPr>
        <w:t xml:space="preserve">Available at: </w:t>
      </w:r>
      <w:hyperlink r:id="rId16" w:history="1">
        <w:r w:rsidRPr="007913E8">
          <w:rPr>
            <w:rStyle w:val="Hyperlink"/>
            <w:rFonts w:asciiTheme="minorBidi" w:hAnsiTheme="minorBidi"/>
            <w:color w:val="000000" w:themeColor="text1"/>
            <w:u w:val="none"/>
            <w:shd w:val="clear" w:color="auto" w:fill="FFFFFF"/>
          </w:rPr>
          <w:t>https://one.oecd.org/document/ECO/WKP(2020)8/En/pdf</w:t>
        </w:r>
      </w:hyperlink>
      <w:r w:rsidRPr="007913E8">
        <w:rPr>
          <w:rFonts w:asciiTheme="minorBidi" w:hAnsiTheme="minorBidi"/>
          <w:color w:val="000000" w:themeColor="text1"/>
          <w:shd w:val="clear" w:color="auto" w:fill="FFFFFF"/>
        </w:rPr>
        <w:t xml:space="preserve"> (Accessed 4th March 2024).</w:t>
      </w:r>
    </w:p>
    <w:p w14:paraId="6464F3E0"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Little, M.O. and Morley, J.E., 2022. Healthcare for older adults in North America: challenges, successes and opportunities. </w:t>
      </w:r>
      <w:r w:rsidRPr="007913E8">
        <w:rPr>
          <w:rFonts w:asciiTheme="minorBidi" w:hAnsiTheme="minorBidi"/>
          <w:i/>
          <w:iCs/>
          <w:color w:val="000000" w:themeColor="text1"/>
          <w:shd w:val="clear" w:color="auto" w:fill="FFFFFF"/>
        </w:rPr>
        <w:t>Age and Ageing</w:t>
      </w:r>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51</w:t>
      </w:r>
      <w:r w:rsidRPr="007913E8">
        <w:rPr>
          <w:rFonts w:asciiTheme="minorBidi" w:hAnsiTheme="minorBidi"/>
          <w:color w:val="000000" w:themeColor="text1"/>
          <w:shd w:val="clear" w:color="auto" w:fill="FFFFFF"/>
        </w:rPr>
        <w:t>(10), pp. 1-6.</w:t>
      </w:r>
    </w:p>
    <w:p w14:paraId="0FECD163"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Manthorpe, J. and Samsi, K., 2016. Person-</w:t>
      </w:r>
      <w:proofErr w:type="spellStart"/>
      <w:r w:rsidRPr="007913E8">
        <w:rPr>
          <w:rFonts w:asciiTheme="minorBidi" w:hAnsiTheme="minorBidi"/>
          <w:color w:val="000000" w:themeColor="text1"/>
          <w:shd w:val="clear" w:color="auto" w:fill="FFFFFF"/>
        </w:rPr>
        <w:t>centered</w:t>
      </w:r>
      <w:proofErr w:type="spellEnd"/>
      <w:r w:rsidRPr="007913E8">
        <w:rPr>
          <w:rFonts w:asciiTheme="minorBidi" w:hAnsiTheme="minorBidi"/>
          <w:color w:val="000000" w:themeColor="text1"/>
          <w:shd w:val="clear" w:color="auto" w:fill="FFFFFF"/>
        </w:rPr>
        <w:t xml:space="preserve"> dementia care: current perspectives. </w:t>
      </w:r>
      <w:r w:rsidRPr="007913E8">
        <w:rPr>
          <w:rFonts w:asciiTheme="minorBidi" w:hAnsiTheme="minorBidi"/>
          <w:i/>
          <w:iCs/>
          <w:color w:val="000000" w:themeColor="text1"/>
          <w:shd w:val="clear" w:color="auto" w:fill="FFFFFF"/>
        </w:rPr>
        <w:t>Clinical interventions in aging</w:t>
      </w:r>
      <w:r w:rsidRPr="007913E8">
        <w:rPr>
          <w:rFonts w:asciiTheme="minorBidi" w:hAnsiTheme="minorBidi"/>
          <w:color w:val="000000" w:themeColor="text1"/>
          <w:shd w:val="clear" w:color="auto" w:fill="FFFFFF"/>
        </w:rPr>
        <w:t>, pp.1733-1740.</w:t>
      </w:r>
    </w:p>
    <w:p w14:paraId="0B2983DB"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Munson, S. (2024). A history of care homes. Care Home. Available at: </w:t>
      </w:r>
      <w:hyperlink r:id="rId17" w:anchor="nineteenth-century" w:history="1">
        <w:r w:rsidRPr="007913E8">
          <w:rPr>
            <w:rStyle w:val="Hyperlink"/>
            <w:rFonts w:asciiTheme="minorBidi" w:hAnsiTheme="minorBidi"/>
            <w:color w:val="000000" w:themeColor="text1"/>
            <w:u w:val="none"/>
            <w:shd w:val="clear" w:color="auto" w:fill="FFFFFF"/>
          </w:rPr>
          <w:t>https://www.carehome.co.uk/advice/a-history-of-care-homes#nineteenth-century</w:t>
        </w:r>
      </w:hyperlink>
      <w:r w:rsidRPr="007913E8">
        <w:rPr>
          <w:rFonts w:asciiTheme="minorBidi" w:hAnsiTheme="minorBidi"/>
          <w:color w:val="000000" w:themeColor="text1"/>
          <w:shd w:val="clear" w:color="auto" w:fill="FFFFFF"/>
        </w:rPr>
        <w:t xml:space="preserve"> (Accessed at: 1</w:t>
      </w:r>
      <w:r w:rsidRPr="007913E8">
        <w:rPr>
          <w:rFonts w:asciiTheme="minorBidi" w:hAnsiTheme="minorBidi"/>
          <w:color w:val="000000" w:themeColor="text1"/>
          <w:shd w:val="clear" w:color="auto" w:fill="FFFFFF"/>
          <w:vertAlign w:val="superscript"/>
        </w:rPr>
        <w:t>st</w:t>
      </w:r>
      <w:r w:rsidRPr="007913E8">
        <w:rPr>
          <w:rFonts w:asciiTheme="minorBidi" w:hAnsiTheme="minorBidi"/>
          <w:color w:val="000000" w:themeColor="text1"/>
          <w:shd w:val="clear" w:color="auto" w:fill="FFFFFF"/>
        </w:rPr>
        <w:t xml:space="preserve"> March 2024).</w:t>
      </w:r>
    </w:p>
    <w:p w14:paraId="52B42793" w14:textId="77777777" w:rsidR="00CE1BDB" w:rsidRPr="007913E8" w:rsidRDefault="00CE1BDB" w:rsidP="00CE1BDB">
      <w:pPr>
        <w:ind w:left="720" w:hanging="720"/>
        <w:rPr>
          <w:rFonts w:asciiTheme="minorBidi" w:hAnsiTheme="minorBidi"/>
          <w:color w:val="000000" w:themeColor="text1"/>
          <w:shd w:val="clear" w:color="auto" w:fill="FFFFFF"/>
          <w:lang w:val="en-US"/>
        </w:rPr>
      </w:pPr>
      <w:r w:rsidRPr="007913E8">
        <w:rPr>
          <w:rFonts w:asciiTheme="minorBidi" w:hAnsiTheme="minorBidi"/>
          <w:color w:val="000000" w:themeColor="text1"/>
        </w:rPr>
        <w:lastRenderedPageBreak/>
        <w:t>Office of the National Statistics. (2023). Profile of the older population living in England and Wales in 2021 and changes since 2011. Available at: https://www.ons.gov.uk/peoplepopulationandcommunity/birthsdeathsandmarriages/ageing/articles/profileoftheolderpopulationlivinginenglandandwalesin2021andchangessince2011/2023-04-03</w:t>
      </w:r>
    </w:p>
    <w:p w14:paraId="645F0306"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rPr>
        <w:t xml:space="preserve">Department of Health. (2001). </w:t>
      </w:r>
      <w:r w:rsidRPr="007913E8">
        <w:rPr>
          <w:rFonts w:asciiTheme="minorBidi" w:hAnsiTheme="minorBidi"/>
          <w:i/>
          <w:iCs/>
          <w:color w:val="000000" w:themeColor="text1"/>
        </w:rPr>
        <w:t xml:space="preserve">National Service Framework for Older People. </w:t>
      </w:r>
      <w:r w:rsidRPr="007913E8">
        <w:rPr>
          <w:rFonts w:asciiTheme="minorBidi" w:hAnsiTheme="minorBidi"/>
          <w:color w:val="000000" w:themeColor="text1"/>
        </w:rPr>
        <w:t xml:space="preserve">Available at: </w:t>
      </w:r>
      <w:hyperlink r:id="rId18" w:history="1">
        <w:r w:rsidRPr="007913E8">
          <w:rPr>
            <w:rStyle w:val="Hyperlink"/>
            <w:rFonts w:asciiTheme="minorBidi" w:hAnsiTheme="minorBidi"/>
            <w:color w:val="000000" w:themeColor="text1"/>
            <w:u w:val="none"/>
          </w:rPr>
          <w:t>https://assets.publishing.service.gov.uk/government/uploads/system/uploads/attachment_data/file/198033/National_Service_Framework_for_Older_People.pdf</w:t>
        </w:r>
      </w:hyperlink>
      <w:r w:rsidRPr="007913E8">
        <w:rPr>
          <w:rFonts w:asciiTheme="minorBidi" w:hAnsiTheme="minorBidi"/>
          <w:color w:val="000000" w:themeColor="text1"/>
        </w:rPr>
        <w:t xml:space="preserve"> (Accessed 2 March 2024).</w:t>
      </w:r>
    </w:p>
    <w:p w14:paraId="2C03E81B" w14:textId="77777777" w:rsidR="00CE1BDB" w:rsidRPr="007913E8" w:rsidRDefault="00CE1BDB" w:rsidP="00CE1BDB">
      <w:pPr>
        <w:ind w:left="720" w:hanging="720"/>
        <w:rPr>
          <w:rFonts w:asciiTheme="minorBidi" w:hAnsiTheme="minorBidi"/>
          <w:color w:val="000000" w:themeColor="text1"/>
          <w:shd w:val="clear" w:color="auto" w:fill="FFFFFF"/>
        </w:rPr>
      </w:pPr>
      <w:proofErr w:type="spellStart"/>
      <w:r w:rsidRPr="007913E8">
        <w:rPr>
          <w:rFonts w:asciiTheme="minorBidi" w:hAnsiTheme="minorBidi"/>
          <w:color w:val="000000" w:themeColor="text1"/>
          <w:shd w:val="clear" w:color="auto" w:fill="FFFFFF"/>
        </w:rPr>
        <w:t>Ponz</w:t>
      </w:r>
      <w:proofErr w:type="spellEnd"/>
      <w:r w:rsidRPr="007913E8">
        <w:rPr>
          <w:rFonts w:asciiTheme="minorBidi" w:hAnsiTheme="minorBidi"/>
          <w:color w:val="000000" w:themeColor="text1"/>
          <w:shd w:val="clear" w:color="auto" w:fill="FFFFFF"/>
        </w:rPr>
        <w:t xml:space="preserve">, C., and </w:t>
      </w:r>
      <w:proofErr w:type="spellStart"/>
      <w:r w:rsidRPr="007913E8">
        <w:rPr>
          <w:rFonts w:asciiTheme="minorBidi" w:hAnsiTheme="minorBidi"/>
          <w:color w:val="000000" w:themeColor="text1"/>
          <w:shd w:val="clear" w:color="auto" w:fill="FFFFFF"/>
        </w:rPr>
        <w:t>Schoenmackers</w:t>
      </w:r>
      <w:proofErr w:type="spellEnd"/>
      <w:r w:rsidRPr="007913E8">
        <w:rPr>
          <w:rFonts w:asciiTheme="minorBidi" w:hAnsiTheme="minorBidi"/>
          <w:color w:val="000000" w:themeColor="text1"/>
          <w:shd w:val="clear" w:color="auto" w:fill="FFFFFF"/>
        </w:rPr>
        <w:t xml:space="preserve">, R. (2021). Ageing policies –access to services in different Member States. </w:t>
      </w:r>
      <w:r w:rsidRPr="007913E8">
        <w:rPr>
          <w:rFonts w:asciiTheme="minorBidi" w:hAnsiTheme="minorBidi"/>
          <w:i/>
          <w:iCs/>
          <w:color w:val="000000" w:themeColor="text1"/>
          <w:shd w:val="clear" w:color="auto" w:fill="FFFFFF"/>
        </w:rPr>
        <w:t>European Union</w:t>
      </w:r>
      <w:r w:rsidRPr="007913E8">
        <w:rPr>
          <w:rFonts w:asciiTheme="minorBidi" w:hAnsiTheme="minorBidi"/>
          <w:color w:val="000000" w:themeColor="text1"/>
          <w:shd w:val="clear" w:color="auto" w:fill="FFFFFF"/>
        </w:rPr>
        <w:t xml:space="preserve">. Available </w:t>
      </w:r>
      <w:proofErr w:type="gramStart"/>
      <w:r w:rsidRPr="007913E8">
        <w:rPr>
          <w:rFonts w:asciiTheme="minorBidi" w:hAnsiTheme="minorBidi"/>
          <w:color w:val="000000" w:themeColor="text1"/>
          <w:shd w:val="clear" w:color="auto" w:fill="FFFFFF"/>
        </w:rPr>
        <w:t>at:https://www.europarl.europa.eu/RegData/etudes/STUD/2021/662940/IPOL_STU(2021)662940(ANN03)_EN.pdf</w:t>
      </w:r>
      <w:proofErr w:type="gramEnd"/>
      <w:r w:rsidRPr="007913E8">
        <w:rPr>
          <w:rFonts w:asciiTheme="minorBidi" w:hAnsiTheme="minorBidi"/>
          <w:color w:val="000000" w:themeColor="text1"/>
          <w:shd w:val="clear" w:color="auto" w:fill="FFFFFF"/>
        </w:rPr>
        <w:t xml:space="preserve"> (Accessed 4</w:t>
      </w:r>
      <w:r w:rsidRPr="007913E8">
        <w:rPr>
          <w:rFonts w:asciiTheme="minorBidi" w:hAnsiTheme="minorBidi"/>
          <w:color w:val="000000" w:themeColor="text1"/>
          <w:shd w:val="clear" w:color="auto" w:fill="FFFFFF"/>
          <w:vertAlign w:val="superscript"/>
        </w:rPr>
        <w:t>th</w:t>
      </w:r>
      <w:r w:rsidRPr="007913E8">
        <w:rPr>
          <w:rFonts w:asciiTheme="minorBidi" w:hAnsiTheme="minorBidi"/>
          <w:color w:val="000000" w:themeColor="text1"/>
          <w:shd w:val="clear" w:color="auto" w:fill="FFFFFF"/>
        </w:rPr>
        <w:t xml:space="preserve"> March 2024).</w:t>
      </w:r>
    </w:p>
    <w:p w14:paraId="2CEC0F01"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Read, S., Verity, F., Llewellyn, M., Calder, G. and Richards, J., 2024. Preventative Social Care and Community Development in </w:t>
      </w:r>
      <w:proofErr w:type="spellStart"/>
      <w:proofErr w:type="gramStart"/>
      <w:r w:rsidRPr="007913E8">
        <w:rPr>
          <w:rFonts w:asciiTheme="minorBidi" w:hAnsiTheme="minorBidi"/>
          <w:color w:val="000000" w:themeColor="text1"/>
          <w:shd w:val="clear" w:color="auto" w:fill="FFFFFF"/>
        </w:rPr>
        <w:t>Wales:“</w:t>
      </w:r>
      <w:proofErr w:type="gramEnd"/>
      <w:r w:rsidRPr="007913E8">
        <w:rPr>
          <w:rFonts w:asciiTheme="minorBidi" w:hAnsiTheme="minorBidi"/>
          <w:color w:val="000000" w:themeColor="text1"/>
          <w:shd w:val="clear" w:color="auto" w:fill="FFFFFF"/>
        </w:rPr>
        <w:t>New</w:t>
      </w:r>
      <w:proofErr w:type="spellEnd"/>
      <w:r w:rsidRPr="007913E8">
        <w:rPr>
          <w:rFonts w:asciiTheme="minorBidi" w:hAnsiTheme="minorBidi"/>
          <w:color w:val="000000" w:themeColor="text1"/>
          <w:shd w:val="clear" w:color="auto" w:fill="FFFFFF"/>
        </w:rPr>
        <w:t xml:space="preserve">” </w:t>
      </w:r>
      <w:proofErr w:type="spellStart"/>
      <w:r w:rsidRPr="007913E8">
        <w:rPr>
          <w:rFonts w:asciiTheme="minorBidi" w:hAnsiTheme="minorBidi"/>
          <w:color w:val="000000" w:themeColor="text1"/>
          <w:shd w:val="clear" w:color="auto" w:fill="FFFFFF"/>
        </w:rPr>
        <w:t>Legislation,“Old</w:t>
      </w:r>
      <w:proofErr w:type="spellEnd"/>
      <w:r w:rsidRPr="007913E8">
        <w:rPr>
          <w:rFonts w:asciiTheme="minorBidi" w:hAnsiTheme="minorBidi"/>
          <w:color w:val="000000" w:themeColor="text1"/>
          <w:shd w:val="clear" w:color="auto" w:fill="FFFFFF"/>
        </w:rPr>
        <w:t>” Tensions?. </w:t>
      </w:r>
      <w:r w:rsidRPr="007913E8">
        <w:rPr>
          <w:rFonts w:asciiTheme="minorBidi" w:hAnsiTheme="minorBidi"/>
          <w:i/>
          <w:iCs/>
          <w:color w:val="000000" w:themeColor="text1"/>
          <w:shd w:val="clear" w:color="auto" w:fill="FFFFFF"/>
        </w:rPr>
        <w:t>Social Inclusion</w:t>
      </w:r>
      <w:r w:rsidRPr="007913E8">
        <w:rPr>
          <w:rFonts w:asciiTheme="minorBidi" w:hAnsiTheme="minorBidi"/>
          <w:color w:val="000000" w:themeColor="text1"/>
          <w:shd w:val="clear" w:color="auto" w:fill="FFFFFF"/>
        </w:rPr>
        <w:t>, </w:t>
      </w:r>
      <w:r w:rsidRPr="007913E8">
        <w:rPr>
          <w:rFonts w:asciiTheme="minorBidi" w:hAnsiTheme="minorBidi"/>
          <w:i/>
          <w:iCs/>
          <w:color w:val="000000" w:themeColor="text1"/>
          <w:shd w:val="clear" w:color="auto" w:fill="FFFFFF"/>
        </w:rPr>
        <w:t>12</w:t>
      </w:r>
      <w:r w:rsidRPr="007913E8">
        <w:rPr>
          <w:rFonts w:asciiTheme="minorBidi" w:hAnsiTheme="minorBidi"/>
          <w:color w:val="000000" w:themeColor="text1"/>
          <w:shd w:val="clear" w:color="auto" w:fill="FFFFFF"/>
        </w:rPr>
        <w:t>.</w:t>
      </w:r>
    </w:p>
    <w:p w14:paraId="77085FDE"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Royal College of Physiatrists. (2011). The Equality Act 2010 and adult mental health services: achieving non-discriminatory age-appropriate services. Available at: </w:t>
      </w:r>
      <w:hyperlink r:id="rId19" w:history="1">
        <w:r w:rsidRPr="007913E8">
          <w:rPr>
            <w:rStyle w:val="Hyperlink"/>
            <w:rFonts w:asciiTheme="minorBidi" w:hAnsiTheme="minorBidi"/>
            <w:color w:val="000000" w:themeColor="text1"/>
            <w:u w:val="none"/>
            <w:shd w:val="clear" w:color="auto" w:fill="FFFFFF"/>
          </w:rPr>
          <w:t>https://www.minutes.haringey.gov.uk/documents/s49282/The%20Equality%20Act%202010%20and%20achieving%20non-discriminatory%20MH%20services.pdf</w:t>
        </w:r>
      </w:hyperlink>
      <w:r w:rsidRPr="007913E8">
        <w:rPr>
          <w:rFonts w:asciiTheme="minorBidi" w:hAnsiTheme="minorBidi"/>
          <w:color w:val="000000" w:themeColor="text1"/>
          <w:shd w:val="clear" w:color="auto" w:fill="FFFFFF"/>
        </w:rPr>
        <w:t xml:space="preserve"> (Accessed 2 March 2024)</w:t>
      </w:r>
    </w:p>
    <w:p w14:paraId="1752C4EE"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Ricketts, B. (2023). Older People in Wales Are Facing a Housing Disrepair Crisis. The Welsh Agenda. Available at: </w:t>
      </w:r>
      <w:hyperlink r:id="rId20" w:history="1">
        <w:r w:rsidRPr="007913E8">
          <w:rPr>
            <w:rStyle w:val="Hyperlink"/>
            <w:rFonts w:asciiTheme="minorBidi" w:hAnsiTheme="minorBidi"/>
            <w:color w:val="000000" w:themeColor="text1"/>
            <w:u w:val="none"/>
            <w:shd w:val="clear" w:color="auto" w:fill="FFFFFF"/>
          </w:rPr>
          <w:t>https://www.iwa.wales/agenda/2023/01/older-people-in-wales-are-facing-a-housing-disrepair-crisis/</w:t>
        </w:r>
      </w:hyperlink>
      <w:r w:rsidRPr="007913E8">
        <w:rPr>
          <w:rFonts w:asciiTheme="minorBidi" w:hAnsiTheme="minorBidi"/>
          <w:color w:val="000000" w:themeColor="text1"/>
          <w:shd w:val="clear" w:color="auto" w:fill="FFFFFF"/>
        </w:rPr>
        <w:t xml:space="preserve"> (Accessed 3 March 2024).</w:t>
      </w:r>
    </w:p>
    <w:p w14:paraId="5D59ACE9" w14:textId="77777777" w:rsidR="00CE1BDB" w:rsidRPr="007913E8" w:rsidRDefault="00CE1BDB" w:rsidP="00CE1BDB">
      <w:pPr>
        <w:ind w:left="720" w:hanging="720"/>
        <w:rPr>
          <w:rFonts w:asciiTheme="minorBidi" w:hAnsiTheme="minorBidi"/>
          <w:color w:val="000000" w:themeColor="text1"/>
          <w:shd w:val="clear" w:color="auto" w:fill="FFFFFF"/>
        </w:rPr>
      </w:pPr>
      <w:proofErr w:type="spellStart"/>
      <w:r w:rsidRPr="007913E8">
        <w:rPr>
          <w:rFonts w:asciiTheme="minorBidi" w:hAnsiTheme="minorBidi"/>
          <w:color w:val="000000" w:themeColor="text1"/>
          <w:shd w:val="clear" w:color="auto" w:fill="FFFFFF"/>
        </w:rPr>
        <w:t>Shemtob</w:t>
      </w:r>
      <w:proofErr w:type="spellEnd"/>
      <w:r w:rsidRPr="007913E8">
        <w:rPr>
          <w:rFonts w:asciiTheme="minorBidi" w:hAnsiTheme="minorBidi"/>
          <w:color w:val="000000" w:themeColor="text1"/>
          <w:shd w:val="clear" w:color="auto" w:fill="FFFFFF"/>
        </w:rPr>
        <w:t xml:space="preserve">, L. and </w:t>
      </w:r>
      <w:proofErr w:type="spellStart"/>
      <w:r w:rsidRPr="007913E8">
        <w:rPr>
          <w:rFonts w:asciiTheme="minorBidi" w:hAnsiTheme="minorBidi"/>
          <w:color w:val="000000" w:themeColor="text1"/>
          <w:shd w:val="clear" w:color="auto" w:fill="FFFFFF"/>
        </w:rPr>
        <w:t>Asanati</w:t>
      </w:r>
      <w:proofErr w:type="spellEnd"/>
      <w:r w:rsidRPr="007913E8">
        <w:rPr>
          <w:rFonts w:asciiTheme="minorBidi" w:hAnsiTheme="minorBidi"/>
          <w:color w:val="000000" w:themeColor="text1"/>
          <w:shd w:val="clear" w:color="auto" w:fill="FFFFFF"/>
        </w:rPr>
        <w:t>, K., 2022. Why workforce health should have a place in UK care reform</w:t>
      </w:r>
      <w:r w:rsidRPr="007913E8">
        <w:rPr>
          <w:rFonts w:asciiTheme="minorBidi" w:hAnsiTheme="minorBidi"/>
          <w:i/>
          <w:iCs/>
          <w:color w:val="000000" w:themeColor="text1"/>
          <w:shd w:val="clear" w:color="auto" w:fill="FFFFFF"/>
        </w:rPr>
        <w:t>. Journal of the Royal Society of Medicine</w:t>
      </w:r>
      <w:r w:rsidRPr="007913E8">
        <w:rPr>
          <w:rFonts w:asciiTheme="minorBidi" w:hAnsiTheme="minorBidi"/>
          <w:color w:val="000000" w:themeColor="text1"/>
          <w:shd w:val="clear" w:color="auto" w:fill="FFFFFF"/>
        </w:rPr>
        <w:t>, 115(6), pp.205-207.</w:t>
      </w:r>
    </w:p>
    <w:p w14:paraId="544B474D"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Winchester, N. (2023). Future of adult social care. </w:t>
      </w:r>
      <w:r w:rsidRPr="007913E8">
        <w:rPr>
          <w:rFonts w:asciiTheme="minorBidi" w:hAnsiTheme="minorBidi"/>
          <w:i/>
          <w:iCs/>
          <w:color w:val="000000" w:themeColor="text1"/>
          <w:shd w:val="clear" w:color="auto" w:fill="FFFFFF"/>
        </w:rPr>
        <w:t>House of Lords Library.</w:t>
      </w:r>
      <w:r w:rsidRPr="007913E8">
        <w:rPr>
          <w:rFonts w:asciiTheme="minorBidi" w:hAnsiTheme="minorBidi"/>
          <w:color w:val="000000" w:themeColor="text1"/>
          <w:shd w:val="clear" w:color="auto" w:fill="FFFFFF"/>
        </w:rPr>
        <w:t xml:space="preserve"> Available at: </w:t>
      </w:r>
      <w:hyperlink r:id="rId21" w:anchor="heading-4" w:history="1">
        <w:r w:rsidRPr="007913E8">
          <w:rPr>
            <w:rStyle w:val="Hyperlink"/>
            <w:rFonts w:asciiTheme="minorBidi" w:hAnsiTheme="minorBidi"/>
            <w:color w:val="000000" w:themeColor="text1"/>
            <w:u w:val="none"/>
            <w:shd w:val="clear" w:color="auto" w:fill="FFFFFF"/>
          </w:rPr>
          <w:t>https://lordslibrary.parliament.uk/future-of-adult-social-care/#heading-4</w:t>
        </w:r>
      </w:hyperlink>
      <w:r w:rsidRPr="007913E8">
        <w:rPr>
          <w:rFonts w:asciiTheme="minorBidi" w:hAnsiTheme="minorBidi"/>
          <w:color w:val="000000" w:themeColor="text1"/>
          <w:shd w:val="clear" w:color="auto" w:fill="FFFFFF"/>
        </w:rPr>
        <w:t xml:space="preserve"> (Accessed 1 March 2024).</w:t>
      </w:r>
    </w:p>
    <w:p w14:paraId="66FB3AF3" w14:textId="56EC03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Tanner, D., Ray, M. and Ward, L., 2022. ‘When it comes to carers, you've got to be grateful that you've got a carer coming’: older people's narratives of self-funding social care in England. </w:t>
      </w:r>
      <w:r w:rsidRPr="007913E8">
        <w:rPr>
          <w:rFonts w:asciiTheme="minorBidi" w:hAnsiTheme="minorBidi"/>
          <w:i/>
          <w:iCs/>
          <w:color w:val="000000" w:themeColor="text1"/>
          <w:shd w:val="clear" w:color="auto" w:fill="FFFFFF"/>
        </w:rPr>
        <w:t xml:space="preserve">Ageing </w:t>
      </w:r>
      <w:r w:rsidR="007A2118">
        <w:rPr>
          <w:rFonts w:asciiTheme="minorBidi" w:hAnsiTheme="minorBidi"/>
          <w:i/>
          <w:iCs/>
          <w:color w:val="000000" w:themeColor="text1"/>
          <w:shd w:val="clear" w:color="auto" w:fill="FFFFFF"/>
        </w:rPr>
        <w:t>and</w:t>
      </w:r>
      <w:r w:rsidRPr="007913E8">
        <w:rPr>
          <w:rFonts w:asciiTheme="minorBidi" w:hAnsiTheme="minorBidi"/>
          <w:i/>
          <w:iCs/>
          <w:color w:val="000000" w:themeColor="text1"/>
          <w:shd w:val="clear" w:color="auto" w:fill="FFFFFF"/>
        </w:rPr>
        <w:t xml:space="preserve"> Society,</w:t>
      </w:r>
      <w:r w:rsidRPr="007913E8">
        <w:rPr>
          <w:rFonts w:asciiTheme="minorBidi" w:hAnsiTheme="minorBidi"/>
          <w:color w:val="000000" w:themeColor="text1"/>
          <w:shd w:val="clear" w:color="auto" w:fill="FFFFFF"/>
        </w:rPr>
        <w:t xml:space="preserve"> pp.1-22.</w:t>
      </w:r>
    </w:p>
    <w:p w14:paraId="4F115E48"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shd w:val="clear" w:color="auto" w:fill="FFFFFF"/>
        </w:rPr>
        <w:t xml:space="preserve">The Older People’s Commissioner for Wales. (2019). </w:t>
      </w:r>
      <w:r w:rsidRPr="007913E8">
        <w:rPr>
          <w:rFonts w:asciiTheme="minorBidi" w:hAnsiTheme="minorBidi"/>
          <w:i/>
          <w:iCs/>
          <w:color w:val="000000" w:themeColor="text1"/>
          <w:shd w:val="clear" w:color="auto" w:fill="FFFFFF"/>
        </w:rPr>
        <w:t>An overview of growing older in Wales</w:t>
      </w:r>
      <w:r w:rsidRPr="007913E8">
        <w:rPr>
          <w:rFonts w:asciiTheme="minorBidi" w:hAnsiTheme="minorBidi"/>
          <w:color w:val="000000" w:themeColor="text1"/>
          <w:shd w:val="clear" w:color="auto" w:fill="FFFFFF"/>
        </w:rPr>
        <w:t xml:space="preserve">. Available at: </w:t>
      </w:r>
      <w:hyperlink r:id="rId22" w:history="1">
        <w:r w:rsidRPr="007913E8">
          <w:rPr>
            <w:rStyle w:val="Hyperlink"/>
            <w:rFonts w:asciiTheme="minorBidi" w:hAnsiTheme="minorBidi"/>
            <w:color w:val="000000" w:themeColor="text1"/>
            <w:u w:val="none"/>
            <w:shd w:val="clear" w:color="auto" w:fill="FFFFFF"/>
          </w:rPr>
          <w:t>https://olderpeople.wales/library/State_of_the_Nation_e_-_online.pdf</w:t>
        </w:r>
      </w:hyperlink>
      <w:r w:rsidRPr="007913E8">
        <w:rPr>
          <w:rFonts w:asciiTheme="minorBidi" w:hAnsiTheme="minorBidi"/>
          <w:color w:val="000000" w:themeColor="text1"/>
          <w:shd w:val="clear" w:color="auto" w:fill="FFFFFF"/>
        </w:rPr>
        <w:t xml:space="preserve"> (Accessed 2 March 2024). </w:t>
      </w:r>
    </w:p>
    <w:p w14:paraId="685AE079" w14:textId="77777777" w:rsidR="00CE1BDB" w:rsidRPr="007913E8" w:rsidRDefault="00CE1BDB" w:rsidP="00CE1BDB">
      <w:pPr>
        <w:ind w:left="720" w:hanging="720"/>
        <w:rPr>
          <w:rFonts w:asciiTheme="minorBidi" w:hAnsiTheme="minorBidi"/>
          <w:color w:val="000000" w:themeColor="text1"/>
        </w:rPr>
      </w:pPr>
      <w:r w:rsidRPr="007913E8">
        <w:rPr>
          <w:rFonts w:asciiTheme="minorBidi" w:hAnsiTheme="minorBidi"/>
          <w:color w:val="000000" w:themeColor="text1"/>
          <w:shd w:val="clear" w:color="auto" w:fill="FFFFFF"/>
        </w:rPr>
        <w:lastRenderedPageBreak/>
        <w:t xml:space="preserve">Welsh Government. (2023). </w:t>
      </w:r>
      <w:r w:rsidRPr="007913E8">
        <w:rPr>
          <w:rFonts w:asciiTheme="minorBidi" w:hAnsiTheme="minorBidi"/>
          <w:i/>
          <w:iCs/>
          <w:color w:val="000000" w:themeColor="text1"/>
        </w:rPr>
        <w:t>The Strategy for Older People in Wales 2013-2023.</w:t>
      </w:r>
      <w:r w:rsidRPr="007913E8">
        <w:rPr>
          <w:rFonts w:asciiTheme="minorBidi" w:hAnsiTheme="minorBidi"/>
          <w:color w:val="000000" w:themeColor="text1"/>
        </w:rPr>
        <w:t xml:space="preserve"> Available at: </w:t>
      </w:r>
      <w:hyperlink r:id="rId23" w:history="1">
        <w:r w:rsidRPr="007913E8">
          <w:rPr>
            <w:rStyle w:val="Hyperlink"/>
            <w:rFonts w:asciiTheme="minorBidi" w:hAnsiTheme="minorBidi"/>
            <w:color w:val="000000" w:themeColor="text1"/>
            <w:u w:val="none"/>
          </w:rPr>
          <w:t>https://www.gov.wales/sites/default/files/publications/2019-06/the-strategy-for-older-people-in-wales-2013-2023.pdf</w:t>
        </w:r>
      </w:hyperlink>
      <w:r w:rsidRPr="007913E8">
        <w:rPr>
          <w:rFonts w:asciiTheme="minorBidi" w:hAnsiTheme="minorBidi"/>
          <w:color w:val="000000" w:themeColor="text1"/>
        </w:rPr>
        <w:t xml:space="preserve"> (Accessed 1st March 2024). </w:t>
      </w:r>
    </w:p>
    <w:p w14:paraId="01626684" w14:textId="77777777" w:rsidR="00CE1BDB" w:rsidRPr="007913E8" w:rsidRDefault="00CE1BDB" w:rsidP="00CE1BDB">
      <w:pPr>
        <w:ind w:left="720" w:hanging="720"/>
        <w:rPr>
          <w:rFonts w:asciiTheme="minorBidi" w:hAnsiTheme="minorBidi"/>
          <w:color w:val="000000" w:themeColor="text1"/>
          <w:shd w:val="clear" w:color="auto" w:fill="FFFFFF"/>
        </w:rPr>
      </w:pPr>
      <w:r w:rsidRPr="007913E8">
        <w:rPr>
          <w:rFonts w:asciiTheme="minorBidi" w:hAnsiTheme="minorBidi"/>
          <w:color w:val="000000" w:themeColor="text1"/>
        </w:rPr>
        <w:t xml:space="preserve">World Health Organisation. (2022). </w:t>
      </w:r>
      <w:r w:rsidRPr="007913E8">
        <w:rPr>
          <w:rFonts w:asciiTheme="minorBidi" w:hAnsiTheme="minorBidi"/>
          <w:i/>
          <w:iCs/>
          <w:color w:val="000000" w:themeColor="text1"/>
        </w:rPr>
        <w:t>Ageing and Health</w:t>
      </w:r>
      <w:r w:rsidRPr="007913E8">
        <w:rPr>
          <w:rFonts w:asciiTheme="minorBidi" w:hAnsiTheme="minorBidi"/>
          <w:color w:val="000000" w:themeColor="text1"/>
        </w:rPr>
        <w:t xml:space="preserve">. Available at: </w:t>
      </w:r>
      <w:hyperlink r:id="rId24" w:history="1">
        <w:r w:rsidRPr="007913E8">
          <w:rPr>
            <w:rStyle w:val="Hyperlink"/>
            <w:rFonts w:asciiTheme="minorBidi" w:hAnsiTheme="minorBidi"/>
            <w:color w:val="000000" w:themeColor="text1"/>
            <w:u w:val="none"/>
          </w:rPr>
          <w:t>https://www.who.int/news-room/fact-sheets/detail/ageing-and-health</w:t>
        </w:r>
      </w:hyperlink>
      <w:r w:rsidRPr="007913E8">
        <w:rPr>
          <w:rFonts w:asciiTheme="minorBidi" w:hAnsiTheme="minorBidi"/>
          <w:color w:val="000000" w:themeColor="text1"/>
        </w:rPr>
        <w:t xml:space="preserve"> (Accessed 3 March 2024). </w:t>
      </w:r>
    </w:p>
    <w:p w14:paraId="3703804A" w14:textId="77777777" w:rsidR="00CE1BDB" w:rsidRDefault="00CE1BDB" w:rsidP="00093F6C">
      <w:pPr>
        <w:spacing w:line="360" w:lineRule="auto"/>
        <w:jc w:val="both"/>
        <w:rPr>
          <w:rFonts w:ascii="Arial" w:hAnsi="Arial" w:cs="Arial"/>
        </w:rPr>
      </w:pPr>
    </w:p>
    <w:sectPr w:rsidR="00CE1B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08182" w14:textId="77777777" w:rsidR="00156034" w:rsidRDefault="00156034" w:rsidP="00901B50">
      <w:pPr>
        <w:spacing w:after="0" w:line="240" w:lineRule="auto"/>
      </w:pPr>
      <w:r>
        <w:separator/>
      </w:r>
    </w:p>
  </w:endnote>
  <w:endnote w:type="continuationSeparator" w:id="0">
    <w:p w14:paraId="06AD9DBF" w14:textId="77777777" w:rsidR="00156034" w:rsidRDefault="00156034" w:rsidP="00901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23FF4" w14:textId="77777777" w:rsidR="00156034" w:rsidRDefault="00156034" w:rsidP="00901B50">
      <w:pPr>
        <w:spacing w:after="0" w:line="240" w:lineRule="auto"/>
      </w:pPr>
      <w:r>
        <w:separator/>
      </w:r>
    </w:p>
  </w:footnote>
  <w:footnote w:type="continuationSeparator" w:id="0">
    <w:p w14:paraId="3E0A40CE" w14:textId="77777777" w:rsidR="00156034" w:rsidRDefault="00156034" w:rsidP="00901B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602EC"/>
    <w:rsid w:val="000012AE"/>
    <w:rsid w:val="0002046D"/>
    <w:rsid w:val="00025B80"/>
    <w:rsid w:val="00046360"/>
    <w:rsid w:val="000917E7"/>
    <w:rsid w:val="00093F6C"/>
    <w:rsid w:val="00096948"/>
    <w:rsid w:val="000F4FC8"/>
    <w:rsid w:val="000F5BD7"/>
    <w:rsid w:val="00121505"/>
    <w:rsid w:val="00144927"/>
    <w:rsid w:val="00147756"/>
    <w:rsid w:val="00155CFE"/>
    <w:rsid w:val="00156034"/>
    <w:rsid w:val="00161B71"/>
    <w:rsid w:val="00183B1A"/>
    <w:rsid w:val="00184620"/>
    <w:rsid w:val="001B150D"/>
    <w:rsid w:val="001D2AE0"/>
    <w:rsid w:val="0020017A"/>
    <w:rsid w:val="0021460F"/>
    <w:rsid w:val="00223594"/>
    <w:rsid w:val="0022701D"/>
    <w:rsid w:val="00252BB5"/>
    <w:rsid w:val="00256CEC"/>
    <w:rsid w:val="00292882"/>
    <w:rsid w:val="002E0884"/>
    <w:rsid w:val="002E0FDE"/>
    <w:rsid w:val="002F1A38"/>
    <w:rsid w:val="003050C3"/>
    <w:rsid w:val="00316C0C"/>
    <w:rsid w:val="0034448F"/>
    <w:rsid w:val="00357597"/>
    <w:rsid w:val="003C112F"/>
    <w:rsid w:val="0043184E"/>
    <w:rsid w:val="00434EA6"/>
    <w:rsid w:val="00461843"/>
    <w:rsid w:val="004827A2"/>
    <w:rsid w:val="004F04C0"/>
    <w:rsid w:val="004F1D6C"/>
    <w:rsid w:val="004F6FEC"/>
    <w:rsid w:val="00584685"/>
    <w:rsid w:val="005B1EFA"/>
    <w:rsid w:val="005B2BDF"/>
    <w:rsid w:val="005D1A35"/>
    <w:rsid w:val="005D1B2A"/>
    <w:rsid w:val="006070B4"/>
    <w:rsid w:val="0060719A"/>
    <w:rsid w:val="0061376A"/>
    <w:rsid w:val="00622EA0"/>
    <w:rsid w:val="00637505"/>
    <w:rsid w:val="00642B6E"/>
    <w:rsid w:val="0065120D"/>
    <w:rsid w:val="006553FF"/>
    <w:rsid w:val="006602EC"/>
    <w:rsid w:val="00667A14"/>
    <w:rsid w:val="006A311F"/>
    <w:rsid w:val="006B0DA1"/>
    <w:rsid w:val="006D68C2"/>
    <w:rsid w:val="006D7CD9"/>
    <w:rsid w:val="006E31A7"/>
    <w:rsid w:val="006F1DBE"/>
    <w:rsid w:val="006F314F"/>
    <w:rsid w:val="006F4BD2"/>
    <w:rsid w:val="00711E77"/>
    <w:rsid w:val="00734080"/>
    <w:rsid w:val="007748D1"/>
    <w:rsid w:val="007A2118"/>
    <w:rsid w:val="007A6BC3"/>
    <w:rsid w:val="007D0B6D"/>
    <w:rsid w:val="00806FDC"/>
    <w:rsid w:val="008157B5"/>
    <w:rsid w:val="00826DDA"/>
    <w:rsid w:val="008374B1"/>
    <w:rsid w:val="00864589"/>
    <w:rsid w:val="00876B03"/>
    <w:rsid w:val="008A1BEB"/>
    <w:rsid w:val="008C0E1A"/>
    <w:rsid w:val="008C232B"/>
    <w:rsid w:val="008C76AF"/>
    <w:rsid w:val="008E1091"/>
    <w:rsid w:val="008F64E0"/>
    <w:rsid w:val="00901B50"/>
    <w:rsid w:val="00904A8D"/>
    <w:rsid w:val="009206B0"/>
    <w:rsid w:val="00970E7F"/>
    <w:rsid w:val="00973FEE"/>
    <w:rsid w:val="009E01D1"/>
    <w:rsid w:val="00A22B78"/>
    <w:rsid w:val="00A355F9"/>
    <w:rsid w:val="00A405F3"/>
    <w:rsid w:val="00A47E8D"/>
    <w:rsid w:val="00A526DB"/>
    <w:rsid w:val="00A66066"/>
    <w:rsid w:val="00A74B1B"/>
    <w:rsid w:val="00AA4225"/>
    <w:rsid w:val="00AC19B7"/>
    <w:rsid w:val="00AE1846"/>
    <w:rsid w:val="00B007F9"/>
    <w:rsid w:val="00B00C7D"/>
    <w:rsid w:val="00B331A3"/>
    <w:rsid w:val="00B40C88"/>
    <w:rsid w:val="00B42CD5"/>
    <w:rsid w:val="00B56796"/>
    <w:rsid w:val="00B8582A"/>
    <w:rsid w:val="00B86063"/>
    <w:rsid w:val="00B93302"/>
    <w:rsid w:val="00BA3C2E"/>
    <w:rsid w:val="00BC30E4"/>
    <w:rsid w:val="00BD766D"/>
    <w:rsid w:val="00C01FB9"/>
    <w:rsid w:val="00C23C4C"/>
    <w:rsid w:val="00C41A3F"/>
    <w:rsid w:val="00C4601C"/>
    <w:rsid w:val="00C46978"/>
    <w:rsid w:val="00CC6D63"/>
    <w:rsid w:val="00CE1BDB"/>
    <w:rsid w:val="00D12937"/>
    <w:rsid w:val="00D30263"/>
    <w:rsid w:val="00D87C59"/>
    <w:rsid w:val="00DD1783"/>
    <w:rsid w:val="00DD643E"/>
    <w:rsid w:val="00E233E6"/>
    <w:rsid w:val="00E34922"/>
    <w:rsid w:val="00E42836"/>
    <w:rsid w:val="00E43B64"/>
    <w:rsid w:val="00E73A8B"/>
    <w:rsid w:val="00E90E8A"/>
    <w:rsid w:val="00EA10EF"/>
    <w:rsid w:val="00EB6BBF"/>
    <w:rsid w:val="00EB7461"/>
    <w:rsid w:val="00EC4BA9"/>
    <w:rsid w:val="00EE0C17"/>
    <w:rsid w:val="00EF6543"/>
    <w:rsid w:val="00F129AF"/>
    <w:rsid w:val="00F445F5"/>
    <w:rsid w:val="00F76FEF"/>
    <w:rsid w:val="00F770A3"/>
    <w:rsid w:val="00F864BB"/>
    <w:rsid w:val="00FC1405"/>
    <w:rsid w:val="00FF65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9A8EF"/>
  <w15:docId w15:val="{1C97F276-2EFF-42A8-8734-65993431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A2118"/>
    <w:pPr>
      <w:spacing w:line="360" w:lineRule="auto"/>
      <w:jc w:val="both"/>
      <w:outlineLvl w:val="0"/>
    </w:pPr>
    <w:rPr>
      <w:rFonts w:ascii="Arial" w:hAnsi="Arial" w:cs="Arial"/>
      <w:b/>
      <w:bCs/>
    </w:rPr>
  </w:style>
  <w:style w:type="paragraph" w:styleId="Heading2">
    <w:name w:val="heading 2"/>
    <w:basedOn w:val="Normal"/>
    <w:next w:val="Normal"/>
    <w:link w:val="Heading2Char"/>
    <w:qFormat/>
    <w:rsid w:val="006F4BD2"/>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6F4BD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B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1B50"/>
    <w:rPr>
      <w:lang w:val="en-GB"/>
    </w:rPr>
  </w:style>
  <w:style w:type="paragraph" w:styleId="Footer">
    <w:name w:val="footer"/>
    <w:basedOn w:val="Normal"/>
    <w:link w:val="FooterChar"/>
    <w:uiPriority w:val="99"/>
    <w:unhideWhenUsed/>
    <w:rsid w:val="00901B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1B50"/>
    <w:rPr>
      <w:lang w:val="en-GB"/>
    </w:rPr>
  </w:style>
  <w:style w:type="character" w:styleId="Hyperlink">
    <w:name w:val="Hyperlink"/>
    <w:basedOn w:val="DefaultParagraphFont"/>
    <w:uiPriority w:val="99"/>
    <w:unhideWhenUsed/>
    <w:rsid w:val="00CE1BDB"/>
    <w:rPr>
      <w:color w:val="0000FF" w:themeColor="hyperlink"/>
      <w:u w:val="single"/>
    </w:rPr>
  </w:style>
  <w:style w:type="character" w:customStyle="1" w:styleId="Heading2Char">
    <w:name w:val="Heading 2 Char"/>
    <w:basedOn w:val="DefaultParagraphFont"/>
    <w:link w:val="Heading2"/>
    <w:rsid w:val="006F4BD2"/>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6F4BD2"/>
    <w:rPr>
      <w:rFonts w:ascii="Times New Roman" w:eastAsia="Times New Roman" w:hAnsi="Times New Roman" w:cs="Times New Roman"/>
      <w:sz w:val="40"/>
      <w:szCs w:val="20"/>
      <w:lang w:val="en-GB" w:eastAsia="en-GB"/>
    </w:rPr>
  </w:style>
  <w:style w:type="character" w:customStyle="1" w:styleId="Heading1Char">
    <w:name w:val="Heading 1 Char"/>
    <w:basedOn w:val="DefaultParagraphFont"/>
    <w:link w:val="Heading1"/>
    <w:uiPriority w:val="9"/>
    <w:rsid w:val="007A2118"/>
    <w:rPr>
      <w:rFonts w:ascii="Arial" w:hAnsi="Arial" w:cs="Arial"/>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health--wellbeing/age-uk-briefing-state-of-health-and-care-july-2023-abridged-version.pdf" TargetMode="External"/><Relationship Id="rId13" Type="http://schemas.openxmlformats.org/officeDocument/2006/relationships/hyperlink" Target="https://researchbriefings.files.parliament.uk/documents/POST-PN-0675/POST-PN-0675.pdf" TargetMode="External"/><Relationship Id="rId18" Type="http://schemas.openxmlformats.org/officeDocument/2006/relationships/hyperlink" Target="https://assets.publishing.service.gov.uk/government/uploads/system/uploads/attachment_data/file/198033/National_Service_Framework_for_Older_People.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ordslibrary.parliament.uk/future-of-adult-social-care/" TargetMode="External"/><Relationship Id="rId7"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12" Type="http://schemas.openxmlformats.org/officeDocument/2006/relationships/hyperlink" Target="https://www.bgs.org.uk/resources/a-brief-history-of-the-care-of-the-elderly" TargetMode="External"/><Relationship Id="rId17" Type="http://schemas.openxmlformats.org/officeDocument/2006/relationships/hyperlink" Target="https://www.carehome.co.uk/advice/a-history-of-care-hom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ne.oecd.org/document/ECO/WKP(2020)8/En/pdf" TargetMode="External"/><Relationship Id="rId20" Type="http://schemas.openxmlformats.org/officeDocument/2006/relationships/hyperlink" Target="https://www.iwa.wales/agenda/2023/01/older-people-in-wales-are-facing-a-housing-disrepair-crisi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mmunitycare.co.uk/2021/05/11/uks-four-social-care-systems-measure/" TargetMode="External"/><Relationship Id="rId24" Type="http://schemas.openxmlformats.org/officeDocument/2006/relationships/hyperlink" Target="https://www.who.int/news-room/fact-sheets/detail/ageing-and-health" TargetMode="External"/><Relationship Id="rId5" Type="http://schemas.openxmlformats.org/officeDocument/2006/relationships/footnotes" Target="footnotes.xml"/><Relationship Id="rId15" Type="http://schemas.openxmlformats.org/officeDocument/2006/relationships/hyperlink" Target="https://thinkhouse.org.uk/site/assets/files/2774/care0223.pdf" TargetMode="External"/><Relationship Id="rId23" Type="http://schemas.openxmlformats.org/officeDocument/2006/relationships/hyperlink" Target="https://www.gov.wales/sites/default/files/publications/2019-06/the-strategy-for-older-people-in-wales-2013-2023.pdf" TargetMode="External"/><Relationship Id="rId10" Type="http://schemas.openxmlformats.org/officeDocument/2006/relationships/hyperlink" Target="https://hbr.org/2023/06/a-more-humane-model-for-eldercare-in-the-u-s" TargetMode="External"/><Relationship Id="rId19" Type="http://schemas.openxmlformats.org/officeDocument/2006/relationships/hyperlink" Target="https://www.minutes.haringey.gov.uk/documents/s49282/The%20Equality%20Act%202010%20and%20achieving%20non-discriminatory%20MH%20services.pdf" TargetMode="External"/><Relationship Id="rId4" Type="http://schemas.openxmlformats.org/officeDocument/2006/relationships/webSettings" Target="webSettings.xml"/><Relationship Id="rId9" Type="http://schemas.openxmlformats.org/officeDocument/2006/relationships/hyperlink" Target="https://www.alzheimers.org.uk/get-support/legal-financial/who-pays-care-home-fees-wales" TargetMode="External"/><Relationship Id="rId14" Type="http://schemas.openxmlformats.org/officeDocument/2006/relationships/hyperlink" Target="https://www.legislation.gov.uk/ukpga/2022/31/part/2" TargetMode="External"/><Relationship Id="rId22" Type="http://schemas.openxmlformats.org/officeDocument/2006/relationships/hyperlink" Target="https://olderpeople.wales/library/State_of_the_Nation_e_-_onli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2B052-19F1-49EA-8A2C-E43FA3418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13</Pages>
  <Words>4630</Words>
  <Characters>26394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Maruf Ajimati</cp:lastModifiedBy>
  <cp:revision>3</cp:revision>
  <dcterms:created xsi:type="dcterms:W3CDTF">2024-03-07T02:03:00Z</dcterms:created>
  <dcterms:modified xsi:type="dcterms:W3CDTF">2024-03-07T14:38:00Z</dcterms:modified>
</cp:coreProperties>
</file>