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spacing w:line="480" w:lineRule="auto"/>
        <w:jc w:val="center"/>
        <w:rPr>
          <w:rFonts w:ascii="Times New Roman" w:hAnsi="Times New Roman" w:eastAsia="宋体" w:cs="Times New Roman"/>
          <w:b/>
          <w:bCs/>
          <w:sz w:val="24"/>
          <w:szCs w:val="24"/>
          <w:lang w:val="en-US" w:eastAsia="zh-CN"/>
        </w:rPr>
      </w:pPr>
      <w:bookmarkStart w:id="0" w:name="_Toc18185"/>
      <w:bookmarkStart w:id="1" w:name="_Toc1961466466"/>
      <w:r>
        <w:rPr>
          <w:rFonts w:ascii="Times New Roman" w:hAnsi="Times New Roman" w:cs="Times New Roman"/>
          <w:b/>
          <w:bCs/>
          <w:sz w:val="24"/>
          <w:szCs w:val="24"/>
        </w:rPr>
        <w:t>Marketing Management</w:t>
      </w:r>
      <w:bookmarkStart w:id="31" w:name="_GoBack"/>
      <w:bookmarkEnd w:id="31"/>
    </w:p>
    <w:p>
      <w:pPr>
        <w:pStyle w:val="2"/>
        <w:spacing w:after="0" w:line="480" w:lineRule="auto"/>
        <w:jc w:val="center"/>
        <w:outlineLvl w:val="0"/>
        <w:rPr>
          <w:rFonts w:ascii="Times New Roman" w:hAnsi="Times New Roman" w:cs="Times New Roman"/>
          <w:b/>
          <w:bCs/>
          <w:sz w:val="24"/>
          <w:szCs w:val="24"/>
        </w:rPr>
      </w:pPr>
      <w:bookmarkStart w:id="2" w:name="_Toc127263400"/>
      <w:bookmarkStart w:id="3" w:name="_Toc127222359"/>
      <w:r>
        <w:rPr>
          <w:rFonts w:ascii="Times New Roman" w:hAnsi="Times New Roman" w:cs="Times New Roman"/>
          <w:b/>
          <w:bCs/>
          <w:sz w:val="24"/>
          <w:szCs w:val="24"/>
        </w:rPr>
        <w:t xml:space="preserve">Critical </w:t>
      </w:r>
      <w:r>
        <w:rPr>
          <w:rFonts w:ascii="Times New Roman" w:hAnsi="Times New Roman" w:cs="Times New Roman"/>
          <w:b/>
          <w:bCs/>
          <w:sz w:val="24"/>
          <w:szCs w:val="24"/>
          <w:lang w:val="en-US" w:eastAsia="zh-Hans"/>
        </w:rPr>
        <w:t>E</w:t>
      </w:r>
      <w:r>
        <w:rPr>
          <w:rFonts w:ascii="Times New Roman" w:hAnsi="Times New Roman" w:cs="Times New Roman"/>
          <w:b/>
          <w:bCs/>
          <w:sz w:val="24"/>
          <w:szCs w:val="24"/>
        </w:rPr>
        <w:t xml:space="preserve">valuation and </w:t>
      </w:r>
      <w:r>
        <w:rPr>
          <w:rFonts w:ascii="Times New Roman" w:hAnsi="Times New Roman" w:cs="Times New Roman"/>
          <w:b/>
          <w:bCs/>
          <w:sz w:val="24"/>
          <w:szCs w:val="24"/>
          <w:lang w:val="en-US" w:eastAsia="zh-Hans"/>
        </w:rPr>
        <w:t>S</w:t>
      </w:r>
      <w:r>
        <w:rPr>
          <w:rFonts w:ascii="Times New Roman" w:hAnsi="Times New Roman" w:cs="Times New Roman"/>
          <w:b/>
          <w:bCs/>
          <w:sz w:val="24"/>
          <w:szCs w:val="24"/>
        </w:rPr>
        <w:t xml:space="preserve">uggestions on </w:t>
      </w:r>
      <w:r>
        <w:rPr>
          <w:rFonts w:ascii="Times New Roman" w:hAnsi="Times New Roman" w:cs="Times New Roman"/>
          <w:b/>
          <w:bCs/>
          <w:sz w:val="24"/>
          <w:szCs w:val="24"/>
          <w:lang w:val="en-US" w:eastAsia="zh-Hans"/>
        </w:rPr>
        <w:t>T</w:t>
      </w:r>
      <w:r>
        <w:rPr>
          <w:rFonts w:ascii="Times New Roman" w:hAnsi="Times New Roman" w:cs="Times New Roman"/>
          <w:b/>
          <w:bCs/>
          <w:sz w:val="24"/>
          <w:szCs w:val="24"/>
        </w:rPr>
        <w:t xml:space="preserve">he </w:t>
      </w:r>
      <w:r>
        <w:rPr>
          <w:rFonts w:ascii="Times New Roman" w:hAnsi="Times New Roman" w:cs="Times New Roman"/>
          <w:b/>
          <w:bCs/>
          <w:sz w:val="24"/>
          <w:szCs w:val="24"/>
          <w:lang w:val="en-US" w:eastAsia="zh-Hans"/>
        </w:rPr>
        <w:t>M</w:t>
      </w:r>
      <w:r>
        <w:rPr>
          <w:rFonts w:ascii="Times New Roman" w:hAnsi="Times New Roman" w:cs="Times New Roman"/>
          <w:b/>
          <w:bCs/>
          <w:sz w:val="24"/>
          <w:szCs w:val="24"/>
        </w:rPr>
        <w:t xml:space="preserve">arketing </w:t>
      </w:r>
      <w:r>
        <w:rPr>
          <w:rFonts w:ascii="Times New Roman" w:hAnsi="Times New Roman" w:cs="Times New Roman"/>
          <w:b/>
          <w:bCs/>
          <w:sz w:val="24"/>
          <w:szCs w:val="24"/>
          <w:lang w:val="en-US" w:eastAsia="zh-Hans"/>
        </w:rPr>
        <w:t>A</w:t>
      </w:r>
      <w:r>
        <w:rPr>
          <w:rFonts w:ascii="Times New Roman" w:hAnsi="Times New Roman" w:cs="Times New Roman"/>
          <w:b/>
          <w:bCs/>
          <w:sz w:val="24"/>
          <w:szCs w:val="24"/>
        </w:rPr>
        <w:t xml:space="preserve">ctivities of </w:t>
      </w:r>
      <w:bookmarkEnd w:id="0"/>
      <w:r>
        <w:rPr>
          <w:rFonts w:ascii="Times New Roman" w:hAnsi="Times New Roman" w:cs="Times New Roman"/>
          <w:b/>
          <w:bCs/>
          <w:sz w:val="24"/>
          <w:szCs w:val="24"/>
          <w:lang w:val="en-US" w:eastAsia="zh-Hans"/>
        </w:rPr>
        <w:t>Tesla</w:t>
      </w:r>
      <w:bookmarkEnd w:id="1"/>
      <w:bookmarkEnd w:id="2"/>
      <w:bookmarkEnd w:id="3"/>
    </w:p>
    <w:p>
      <w:pPr>
        <w:snapToGrid w:val="0"/>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stretch>
                      <a:fillRect/>
                    </a:stretch>
                  </pic:blipFill>
                  <pic:spPr>
                    <a:xfrm>
                      <a:off x="0" y="0"/>
                      <a:ext cx="2912737" cy="2786096"/>
                    </a:xfrm>
                    <a:prstGeom prst="rect">
                      <a:avLst/>
                    </a:prstGeom>
                  </pic:spPr>
                </pic:pic>
              </a:graphicData>
            </a:graphic>
          </wp:inline>
        </w:drawing>
      </w:r>
    </w:p>
    <w:p>
      <w:pPr>
        <w:snapToGrid w:val="0"/>
        <w:spacing w:line="480" w:lineRule="auto"/>
        <w:jc w:val="center"/>
        <w:outlineLvl w:val="0"/>
        <w:rPr>
          <w:rFonts w:ascii="Times New Roman" w:hAnsi="Times New Roman" w:cs="Times New Roman"/>
          <w:sz w:val="24"/>
          <w:szCs w:val="24"/>
        </w:rPr>
      </w:pPr>
      <w:bookmarkStart w:id="4" w:name="_Toc437223465"/>
      <w:bookmarkStart w:id="5" w:name="_Toc127222360"/>
      <w:bookmarkStart w:id="6" w:name="_Toc127263401"/>
      <w:r>
        <w:rPr>
          <w:rFonts w:ascii="Times New Roman" w:hAnsi="Times New Roman" w:cs="Times New Roman"/>
          <w:sz w:val="24"/>
          <w:szCs w:val="24"/>
        </w:rPr>
        <w:t>December 2022</w:t>
      </w:r>
      <w:bookmarkEnd w:id="4"/>
      <w:bookmarkEnd w:id="5"/>
      <w:bookmarkEnd w:id="6"/>
    </w:p>
    <w:p>
      <w:pPr>
        <w:pStyle w:val="2"/>
        <w:rPr>
          <w:rFonts w:ascii="Times New Roman" w:hAnsi="Times New Roman" w:cs="Times New Roman"/>
          <w:sz w:val="24"/>
          <w:szCs w:val="24"/>
        </w:rPr>
      </w:pPr>
    </w:p>
    <w:p>
      <w:pPr>
        <w:pStyle w:val="2"/>
        <w:rPr>
          <w:rFonts w:ascii="Times New Roman" w:hAnsi="Times New Roman" w:cs="Times New Roman"/>
          <w:sz w:val="24"/>
          <w:szCs w:val="24"/>
        </w:rPr>
      </w:pPr>
    </w:p>
    <w:p>
      <w:pPr>
        <w:pStyle w:val="2"/>
        <w:rPr>
          <w:rFonts w:ascii="Times New Roman" w:hAnsi="Times New Roman" w:cs="Times New Roman"/>
          <w:sz w:val="24"/>
          <w:szCs w:val="24"/>
        </w:rPr>
      </w:pPr>
    </w:p>
    <w:p>
      <w:pPr>
        <w:pStyle w:val="2"/>
        <w:rPr>
          <w:rFonts w:ascii="Times New Roman" w:hAnsi="Times New Roman" w:cs="Times New Roman"/>
          <w:sz w:val="24"/>
          <w:szCs w:val="24"/>
        </w:rPr>
      </w:pPr>
    </w:p>
    <w:p>
      <w:pPr>
        <w:pStyle w:val="2"/>
        <w:snapToGrid w:val="0"/>
        <w:spacing w:line="480" w:lineRule="auto"/>
        <w:rPr>
          <w:rFonts w:ascii="Times New Roman" w:hAnsi="Times New Roman" w:cs="Times New Roman"/>
          <w:sz w:val="24"/>
          <w:szCs w:val="24"/>
        </w:rPr>
      </w:pPr>
    </w:p>
    <w:p>
      <w:pPr>
        <w:pStyle w:val="2"/>
        <w:snapToGrid w:val="0"/>
        <w:spacing w:line="276" w:lineRule="auto"/>
        <w:rPr>
          <w:rFonts w:ascii="Times New Roman" w:hAnsi="Times New Roman" w:cs="Times New Roman"/>
          <w:sz w:val="24"/>
          <w:szCs w:val="24"/>
        </w:rPr>
      </w:pPr>
      <w:r>
        <w:rPr>
          <w:rFonts w:ascii="Times New Roman" w:hAnsi="Times New Roman" w:cs="Times New Roman"/>
          <w:sz w:val="24"/>
          <w:szCs w:val="24"/>
        </w:rPr>
        <w:t>MOUDLE NAME: Marketing Management</w:t>
      </w:r>
      <w:r>
        <w:rPr>
          <w:rFonts w:hint="eastAsia" w:ascii="MS Gothic" w:hAnsi="MS Gothic" w:eastAsia="MS Gothic" w:cs="MS Gothic"/>
          <w:sz w:val="24"/>
          <w:szCs w:val="24"/>
        </w:rPr>
        <w:t>（</w:t>
      </w:r>
      <w:r>
        <w:rPr>
          <w:rFonts w:ascii="Times New Roman" w:hAnsi="Times New Roman" w:cs="Times New Roman"/>
          <w:sz w:val="24"/>
          <w:szCs w:val="24"/>
        </w:rPr>
        <w:t>BMMB7012</w:t>
      </w:r>
      <w:r>
        <w:rPr>
          <w:rFonts w:hint="eastAsia" w:ascii="MS Gothic" w:hAnsi="MS Gothic" w:eastAsia="MS Gothic" w:cs="MS Gothic"/>
          <w:sz w:val="24"/>
          <w:szCs w:val="24"/>
        </w:rPr>
        <w:t>）</w:t>
      </w:r>
    </w:p>
    <w:p>
      <w:pPr>
        <w:pStyle w:val="2"/>
        <w:snapToGrid w:val="0"/>
        <w:spacing w:line="276" w:lineRule="auto"/>
        <w:rPr>
          <w:rFonts w:hint="default" w:ascii="Times New Roman" w:hAnsi="Times New Roman" w:eastAsia="宋体" w:cs="Times New Roman"/>
          <w:sz w:val="24"/>
          <w:szCs w:val="24"/>
          <w:lang w:val="en-US" w:eastAsia="zh-CN"/>
        </w:rPr>
      </w:pPr>
      <w:r>
        <w:rPr>
          <w:rFonts w:ascii="Times New Roman" w:hAnsi="Times New Roman" w:cs="Times New Roman"/>
          <w:sz w:val="24"/>
          <w:szCs w:val="24"/>
        </w:rPr>
        <w:t xml:space="preserve">STUDENT NAME: </w:t>
      </w:r>
      <w:r>
        <w:rPr>
          <w:rFonts w:hint="eastAsia" w:ascii="Times New Roman" w:hAnsi="Times New Roman" w:eastAsia="宋体" w:cs="Times New Roman"/>
          <w:sz w:val="24"/>
          <w:szCs w:val="24"/>
          <w:lang w:val="en-US" w:eastAsia="zh-CN"/>
        </w:rPr>
        <w:t>Zhenjiang Lin</w:t>
      </w:r>
    </w:p>
    <w:p>
      <w:pPr>
        <w:pStyle w:val="2"/>
        <w:snapToGrid w:val="0"/>
        <w:spacing w:line="276" w:lineRule="auto"/>
        <w:rPr>
          <w:rFonts w:ascii="Times New Roman" w:hAnsi="Times New Roman" w:cs="Times New Roman"/>
          <w:sz w:val="24"/>
          <w:szCs w:val="24"/>
        </w:rPr>
      </w:pPr>
      <w:r>
        <w:rPr>
          <w:rFonts w:ascii="Times New Roman" w:hAnsi="Times New Roman" w:cs="Times New Roman"/>
          <w:sz w:val="24"/>
          <w:szCs w:val="24"/>
        </w:rPr>
        <w:t>STUDENT NUMBER:</w:t>
      </w:r>
      <w:r>
        <w:rPr>
          <w:rFonts w:hint="eastAsia" w:ascii="Times New Roman" w:hAnsi="Times New Roman" w:eastAsia="宋体" w:cs="Times New Roman"/>
          <w:sz w:val="24"/>
          <w:szCs w:val="24"/>
          <w:lang w:val="en-US" w:eastAsia="zh-CN"/>
        </w:rPr>
        <w:t>2216879</w:t>
      </w:r>
    </w:p>
    <w:p>
      <w:pPr>
        <w:rPr>
          <w:rFonts w:ascii="Times New Roman" w:hAnsi="Times New Roman" w:cs="Times New Roman"/>
          <w:sz w:val="24"/>
          <w:szCs w:val="24"/>
        </w:rPr>
      </w:pPr>
    </w:p>
    <w:p>
      <w:pPr>
        <w:pStyle w:val="3"/>
        <w:widowControl w:val="0"/>
        <w:jc w:val="center"/>
        <w:rPr>
          <w:rFonts w:cs="Times New Roman"/>
          <w:sz w:val="24"/>
          <w:szCs w:val="24"/>
        </w:rPr>
        <w:sectPr>
          <w:pgSz w:w="11906" w:h="16838"/>
          <w:pgMar w:top="1440" w:right="1800" w:bottom="1440" w:left="1800" w:header="851" w:footer="992" w:gutter="0"/>
          <w:cols w:space="425" w:num="1"/>
          <w:docGrid w:type="lines" w:linePitch="312" w:charSpace="0"/>
        </w:sectPr>
      </w:pPr>
    </w:p>
    <w:p>
      <w:pPr>
        <w:pStyle w:val="3"/>
      </w:pPr>
      <w:bookmarkStart w:id="7" w:name="_Toc127263402"/>
      <w:bookmarkStart w:id="8" w:name="_Toc127222361"/>
      <w:bookmarkStart w:id="9" w:name="_Toc16081"/>
      <w:bookmarkStart w:id="10" w:name="_Toc24611"/>
      <w:bookmarkStart w:id="11" w:name="_Toc833"/>
      <w:bookmarkStart w:id="12" w:name="_Toc2807"/>
      <w:r>
        <w:t>Executive summary</w:t>
      </w:r>
      <w:bookmarkEnd w:id="7"/>
      <w:bookmarkEnd w:id="8"/>
      <w:bookmarkEnd w:id="9"/>
      <w:bookmarkEnd w:id="10"/>
      <w:bookmarkEnd w:id="11"/>
      <w:bookmarkEnd w:id="12"/>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 xml:space="preserve">With the rapid development of China's economy in recent years, the per capita living standard has been steadily improved. The auto industry has become increasingly prosperous, and more and more families have their own cars. At present, China's automobile market is at a stage of rapid development. From the perspective of the whole market, China is gradually becoming a big automobile country. </w:t>
      </w:r>
      <w:r>
        <w:rPr>
          <w:rFonts w:ascii="Times New Roman" w:hAnsi="Times New Roman" w:cs="Times New Roman"/>
          <w:color w:val="auto"/>
          <w:sz w:val="24"/>
          <w:szCs w:val="24"/>
        </w:rPr>
        <w:t>Tesla's high-tech and advanced technical features can match today's demands for automobiles, not to mention that it relies on electric energy and frees automobiles from traditional fuel reliance, which is very advantageous for all people. The report therefore comes to the conclusion that Tesla Motors needs to uphold the customer-centric approach and continuously advance if it wants to maintain its top spot in the automotive sector. The success of Tesla's marketing strategy is thoroughly discussed and examined from four perspectives of the 4V theory of marketing, differentiation, functionality, added value, and social resonance based on the 4V marketing theory of Tesla case study. This paper analyzes the effectiveness of Tesla's current marketing strategy from the consumers' point of view by researching consumers' evaluation of Tesla's use and willingness to buy through questionnaire surveys. Although it can resonate with society in terms of environmental preservation, Tesla is ahead of other domestic EV firms in terms of product diversification, functionality, and added value. However, there is still room for development in terms of after-sales service and price strategy (</w:t>
      </w:r>
      <w:r>
        <w:rPr>
          <w:rFonts w:ascii="Times New Roman" w:hAnsi="Times New Roman" w:cs="Times New Roman"/>
          <w:color w:val="auto"/>
          <w:sz w:val="24"/>
          <w:szCs w:val="24"/>
          <w:shd w:val="clear" w:color="auto" w:fill="FFFFFF"/>
        </w:rPr>
        <w:t>Statkevych &amp; Shapoval, 2020)</w:t>
      </w:r>
      <w:r>
        <w:rPr>
          <w:rFonts w:ascii="Times New Roman" w:hAnsi="Times New Roman" w:cs="Times New Roman"/>
          <w:color w:val="auto"/>
          <w:sz w:val="24"/>
          <w:szCs w:val="24"/>
        </w:rPr>
        <w:t>. Therefore, this paper discusses the de</w:t>
      </w:r>
      <w:r>
        <w:rPr>
          <w:rFonts w:ascii="Times New Roman" w:hAnsi="Times New Roman" w:cs="Times New Roman"/>
          <w:sz w:val="24"/>
          <w:szCs w:val="24"/>
        </w:rPr>
        <w:t>velopment of Tesla marketing model and puts forward relevant suggestions.</w:t>
      </w:r>
      <w:r>
        <w:rPr>
          <w:rFonts w:ascii="Times New Roman" w:hAnsi="Times New Roman" w:cs="Times New Roman"/>
          <w:sz w:val="24"/>
          <w:szCs w:val="24"/>
        </w:rPr>
        <w:br w:type="page"/>
      </w:r>
    </w:p>
    <w:sdt>
      <w:sdtPr>
        <w:rPr>
          <w:rFonts w:ascii="Times New Roman" w:hAnsi="Times New Roman" w:cs="Times New Roman" w:eastAsiaTheme="minorHAnsi"/>
          <w:color w:val="auto"/>
          <w:sz w:val="24"/>
          <w:szCs w:val="24"/>
          <w:lang w:val="en-GB"/>
        </w:rPr>
        <w:id w:val="399186616"/>
        <w:docPartObj>
          <w:docPartGallery w:val="Table of Contents"/>
          <w:docPartUnique/>
        </w:docPartObj>
      </w:sdtPr>
      <w:sdtEndPr>
        <w:rPr>
          <w:rFonts w:ascii="Times New Roman" w:hAnsi="Times New Roman" w:cs="Times New Roman" w:eastAsiaTheme="minorHAnsi"/>
          <w:b/>
          <w:bCs/>
          <w:color w:val="auto"/>
          <w:sz w:val="24"/>
          <w:szCs w:val="24"/>
          <w:lang w:val="en-GB"/>
        </w:rPr>
      </w:sdtEndPr>
      <w:sdtContent>
        <w:p>
          <w:pPr>
            <w:pStyle w:val="18"/>
            <w:rPr>
              <w:rFonts w:ascii="Times New Roman" w:hAnsi="Times New Roman" w:cs="Times New Roman"/>
              <w:sz w:val="24"/>
              <w:szCs w:val="24"/>
            </w:rPr>
          </w:pPr>
          <w:r>
            <w:rPr>
              <w:rFonts w:ascii="Times New Roman" w:hAnsi="Times New Roman" w:cs="Times New Roman"/>
              <w:b/>
              <w:bCs/>
              <w:color w:val="auto"/>
              <w:sz w:val="24"/>
              <w:szCs w:val="24"/>
            </w:rPr>
            <w:t>Contents</w:t>
          </w:r>
        </w:p>
        <w:p>
          <w:pPr>
            <w:pStyle w:val="8"/>
            <w:tabs>
              <w:tab w:val="right" w:leader="dot" w:pos="8296"/>
            </w:tabs>
            <w:rPr>
              <w:rFonts w:ascii="Times New Roman" w:hAnsi="Times New Roman" w:cs="Times New Roman" w:eastAsiaTheme="minorEastAsia"/>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b w:val="0"/>
              <w:bCs w:val="0"/>
            </w:rPr>
            <w:fldChar w:fldCharType="begin"/>
          </w:r>
          <w:r>
            <w:rPr>
              <w:b w:val="0"/>
              <w:bCs w:val="0"/>
            </w:rPr>
            <w:instrText xml:space="preserve"> HYPERLINK \l "_Toc127263400" </w:instrText>
          </w:r>
          <w:r>
            <w:rPr>
              <w:b w:val="0"/>
              <w:bCs w:val="0"/>
            </w:rPr>
            <w:fldChar w:fldCharType="separate"/>
          </w:r>
          <w:r>
            <w:rPr>
              <w:rStyle w:val="14"/>
              <w:rFonts w:ascii="Times New Roman" w:hAnsi="Times New Roman" w:cs="Times New Roman"/>
              <w:b w:val="0"/>
              <w:bCs w:val="0"/>
              <w:sz w:val="24"/>
              <w:szCs w:val="24"/>
            </w:rPr>
            <w:t xml:space="preserve">Critical </w:t>
          </w:r>
          <w:r>
            <w:rPr>
              <w:rStyle w:val="14"/>
              <w:rFonts w:ascii="Times New Roman" w:hAnsi="Times New Roman" w:cs="Times New Roman"/>
              <w:b w:val="0"/>
              <w:bCs w:val="0"/>
              <w:sz w:val="24"/>
              <w:szCs w:val="24"/>
              <w:lang w:val="en-US" w:eastAsia="zh-Hans"/>
            </w:rPr>
            <w:t>E</w:t>
          </w:r>
          <w:r>
            <w:rPr>
              <w:rStyle w:val="14"/>
              <w:rFonts w:ascii="Times New Roman" w:hAnsi="Times New Roman" w:cs="Times New Roman"/>
              <w:b w:val="0"/>
              <w:bCs w:val="0"/>
              <w:sz w:val="24"/>
              <w:szCs w:val="24"/>
            </w:rPr>
            <w:t xml:space="preserve">valuation and </w:t>
          </w:r>
          <w:r>
            <w:rPr>
              <w:rStyle w:val="14"/>
              <w:rFonts w:ascii="Times New Roman" w:hAnsi="Times New Roman" w:cs="Times New Roman"/>
              <w:b w:val="0"/>
              <w:bCs w:val="0"/>
              <w:sz w:val="24"/>
              <w:szCs w:val="24"/>
              <w:lang w:val="en-US" w:eastAsia="zh-Hans"/>
            </w:rPr>
            <w:t>S</w:t>
          </w:r>
          <w:r>
            <w:rPr>
              <w:rStyle w:val="14"/>
              <w:rFonts w:ascii="Times New Roman" w:hAnsi="Times New Roman" w:cs="Times New Roman"/>
              <w:b w:val="0"/>
              <w:bCs w:val="0"/>
              <w:sz w:val="24"/>
              <w:szCs w:val="24"/>
            </w:rPr>
            <w:t xml:space="preserve">uggestions on </w:t>
          </w:r>
          <w:r>
            <w:rPr>
              <w:rStyle w:val="14"/>
              <w:rFonts w:ascii="Times New Roman" w:hAnsi="Times New Roman" w:cs="Times New Roman"/>
              <w:b w:val="0"/>
              <w:bCs w:val="0"/>
              <w:sz w:val="24"/>
              <w:szCs w:val="24"/>
              <w:lang w:val="en-US" w:eastAsia="zh-Hans"/>
            </w:rPr>
            <w:t>T</w:t>
          </w:r>
          <w:r>
            <w:rPr>
              <w:rStyle w:val="14"/>
              <w:rFonts w:ascii="Times New Roman" w:hAnsi="Times New Roman" w:cs="Times New Roman"/>
              <w:b w:val="0"/>
              <w:bCs w:val="0"/>
              <w:sz w:val="24"/>
              <w:szCs w:val="24"/>
            </w:rPr>
            <w:t xml:space="preserve">he </w:t>
          </w:r>
          <w:r>
            <w:rPr>
              <w:rStyle w:val="14"/>
              <w:rFonts w:ascii="Times New Roman" w:hAnsi="Times New Roman" w:cs="Times New Roman"/>
              <w:b w:val="0"/>
              <w:bCs w:val="0"/>
              <w:sz w:val="24"/>
              <w:szCs w:val="24"/>
              <w:lang w:val="en-US" w:eastAsia="zh-Hans"/>
            </w:rPr>
            <w:t>M</w:t>
          </w:r>
          <w:r>
            <w:rPr>
              <w:rStyle w:val="14"/>
              <w:rFonts w:ascii="Times New Roman" w:hAnsi="Times New Roman" w:cs="Times New Roman"/>
              <w:b w:val="0"/>
              <w:bCs w:val="0"/>
              <w:sz w:val="24"/>
              <w:szCs w:val="24"/>
            </w:rPr>
            <w:t xml:space="preserve">arketing </w:t>
          </w:r>
          <w:r>
            <w:rPr>
              <w:rStyle w:val="14"/>
              <w:rFonts w:ascii="Times New Roman" w:hAnsi="Times New Roman" w:cs="Times New Roman"/>
              <w:b w:val="0"/>
              <w:bCs w:val="0"/>
              <w:sz w:val="24"/>
              <w:szCs w:val="24"/>
              <w:lang w:val="en-US" w:eastAsia="zh-Hans"/>
            </w:rPr>
            <w:t>A</w:t>
          </w:r>
          <w:r>
            <w:rPr>
              <w:rStyle w:val="14"/>
              <w:rFonts w:ascii="Times New Roman" w:hAnsi="Times New Roman" w:cs="Times New Roman"/>
              <w:b w:val="0"/>
              <w:bCs w:val="0"/>
              <w:sz w:val="24"/>
              <w:szCs w:val="24"/>
            </w:rPr>
            <w:t xml:space="preserve">ctivities of </w:t>
          </w:r>
          <w:r>
            <w:rPr>
              <w:rStyle w:val="14"/>
              <w:rFonts w:ascii="Times New Roman" w:hAnsi="Times New Roman" w:cs="Times New Roman"/>
              <w:b w:val="0"/>
              <w:bCs w:val="0"/>
              <w:sz w:val="24"/>
              <w:szCs w:val="24"/>
              <w:lang w:val="en-US" w:eastAsia="zh-Hans"/>
            </w:rPr>
            <w:t>Tesla</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_Toc127263400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"_Toc127263401" </w:instrText>
          </w:r>
          <w:r>
            <w:fldChar w:fldCharType="separate"/>
          </w:r>
          <w:r>
            <w:rPr>
              <w:rStyle w:val="14"/>
              <w:rFonts w:ascii="Times New Roman" w:hAnsi="Times New Roman" w:cs="Times New Roman"/>
              <w:sz w:val="24"/>
              <w:szCs w:val="24"/>
            </w:rPr>
            <w:t>December 2022</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_Toc127263401 \h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"_Toc127263402" </w:instrText>
          </w:r>
          <w:r>
            <w:fldChar w:fldCharType="separate"/>
          </w:r>
          <w:r>
            <w:rPr>
              <w:rStyle w:val="14"/>
              <w:rFonts w:ascii="Times New Roman" w:hAnsi="Times New Roman" w:cs="Times New Roman"/>
              <w:b w:val="0"/>
              <w:bCs w:val="0"/>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_Toc127263402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"_Toc127263403" </w:instrText>
          </w:r>
          <w:r>
            <w:fldChar w:fldCharType="separate"/>
          </w:r>
          <w:r>
            <w:rPr>
              <w:rStyle w:val="14"/>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_Toc127263403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"_Toc127263404" </w:instrText>
          </w:r>
          <w:r>
            <w:fldChar w:fldCharType="separate"/>
          </w:r>
          <w:r>
            <w:rPr>
              <w:rStyle w:val="14"/>
              <w:rFonts w:ascii="Times New Roman" w:hAnsi="Times New Roman" w:cs="Times New Roman"/>
              <w:sz w:val="24"/>
              <w:szCs w:val="24"/>
            </w:rPr>
            <w:t>Critical Assessment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_Toc127263404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"_Toc127263405" </w:instrText>
          </w:r>
          <w:r>
            <w:fldChar w:fldCharType="separate"/>
          </w:r>
          <w:r>
            <w:rPr>
              <w:rStyle w:val="14"/>
              <w:rFonts w:ascii="Times New Roman" w:hAnsi="Times New Roman" w:cs="Times New Roman"/>
              <w:sz w:val="24"/>
              <w:szCs w:val="24"/>
            </w:rPr>
            <w:t>Market Segmentation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"_Toc127263406" </w:instrText>
          </w:r>
          <w:r>
            <w:fldChar w:fldCharType="separate"/>
          </w:r>
          <w:r>
            <w:rPr>
              <w:rStyle w:val="14"/>
              <w:rFonts w:ascii="Times New Roman" w:hAnsi="Times New Roman" w:cs="Times New Roman"/>
              <w:sz w:val="24"/>
              <w:szCs w:val="24"/>
            </w:rPr>
            <w:t>Analysis on the development status of China's new energy vehicle market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_Toc127263406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"_Toc127263407" </w:instrText>
          </w:r>
          <w:r>
            <w:fldChar w:fldCharType="separate"/>
          </w:r>
          <w:r>
            <w:rPr>
              <w:rStyle w:val="14"/>
              <w:rFonts w:ascii="Times New Roman" w:hAnsi="Times New Roman" w:cs="Times New Roman"/>
              <w:sz w:val="24"/>
              <w:szCs w:val="24"/>
            </w:rPr>
            <w:t>Ownership of new energy vehicles in China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_Toc127263407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"_Toc127263408" </w:instrText>
          </w:r>
          <w:r>
            <w:fldChar w:fldCharType="separate"/>
          </w:r>
          <w:r>
            <w:rPr>
              <w:rStyle w:val="14"/>
              <w:rFonts w:ascii="Times New Roman" w:hAnsi="Times New Roman" w:cs="Times New Roman"/>
              <w:sz w:val="24"/>
              <w:szCs w:val="24"/>
            </w:rPr>
            <w:t>Sales of new energy vehicles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_Toc127263408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"_Toc127263409" </w:instrText>
          </w:r>
          <w:r>
            <w:fldChar w:fldCharType="separate"/>
          </w:r>
          <w:r>
            <w:rPr>
              <w:rStyle w:val="14"/>
              <w:rFonts w:ascii="Times New Roman" w:hAnsi="Times New Roman" w:cs="Times New Roman"/>
              <w:sz w:val="24"/>
              <w:szCs w:val="24"/>
            </w:rPr>
            <w:t>Macro and micro marketing environment of the organization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_Toc127263409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"_Toc127263410" </w:instrText>
          </w:r>
          <w:r>
            <w:fldChar w:fldCharType="separate"/>
          </w:r>
          <w:r>
            <w:rPr>
              <w:rStyle w:val="14"/>
              <w:rFonts w:ascii="Times New Roman" w:hAnsi="Times New Roman" w:cs="Times New Roman"/>
              <w:sz w:val="24"/>
              <w:szCs w:val="24"/>
            </w:rPr>
            <w:t>Measuring Success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_Toc127263410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"_Toc127263411" </w:instrText>
          </w:r>
          <w:r>
            <w:fldChar w:fldCharType="separate"/>
          </w:r>
          <w:r>
            <w:rPr>
              <w:rStyle w:val="14"/>
              <w:rFonts w:ascii="Times New Roman" w:hAnsi="Times New Roman" w:cs="Times New Roman"/>
              <w:sz w:val="24"/>
              <w:szCs w:val="24"/>
            </w:rPr>
            <w:t>Deficiencies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"_Toc127263412" </w:instrText>
          </w:r>
          <w:r>
            <w:fldChar w:fldCharType="separate"/>
          </w:r>
          <w:r>
            <w:rPr>
              <w:rStyle w:val="14"/>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_Toc127263412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"_Toc127263413" </w:instrText>
          </w:r>
          <w:r>
            <w:fldChar w:fldCharType="separate"/>
          </w:r>
          <w:r>
            <w:rPr>
              <w:rStyle w:val="14"/>
              <w:rFonts w:ascii="Times New Roman" w:hAnsi="Times New Roman" w:cs="Times New Roman"/>
              <w:sz w:val="24"/>
              <w:szCs w:val="24"/>
            </w:rPr>
            <w:t>Create a "one-stop" service for automobile distribution sites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_Toc127263413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"_Toc127263414" </w:instrText>
          </w:r>
          <w:r>
            <w:fldChar w:fldCharType="separate"/>
          </w:r>
          <w:r>
            <w:rPr>
              <w:rStyle w:val="14"/>
              <w:rFonts w:ascii="Times New Roman" w:hAnsi="Times New Roman" w:cs="Times New Roman"/>
              <w:sz w:val="24"/>
              <w:szCs w:val="24"/>
            </w:rPr>
            <w:t>Optimize sales service concept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_Toc127263414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"_Toc127263415" </w:instrText>
          </w:r>
          <w:r>
            <w:fldChar w:fldCharType="separate"/>
          </w:r>
          <w:r>
            <w:rPr>
              <w:rStyle w:val="14"/>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_Toc127263415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"_Toc127263416" </w:instrText>
          </w:r>
          <w:r>
            <w:fldChar w:fldCharType="separate"/>
          </w:r>
          <w:r>
            <w:rPr>
              <w:rStyle w:val="14"/>
              <w:rFonts w:ascii="Times New Roman" w:hAnsi="Times New Roman" w:cs="Times New Roman"/>
              <w:sz w:val="24"/>
              <w:szCs w:val="24"/>
            </w:rPr>
            <w:t>Recommendation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_Toc127263416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8296"/>
            </w:tabs>
            <w:rPr>
              <w:rFonts w:ascii="Times New Roman" w:hAnsi="Times New Roman" w:cs="Times New Roman" w:eastAsiaTheme="minorEastAsia"/>
              <w:sz w:val="24"/>
              <w:szCs w:val="24"/>
              <w:lang w:val="en-US"/>
            </w:rPr>
          </w:pPr>
          <w:r>
            <w:fldChar w:fldCharType="begin"/>
          </w:r>
          <w:r>
            <w:instrText xml:space="preserve"> HYPERLINK \l "_Toc127263417" </w:instrText>
          </w:r>
          <w:r>
            <w:fldChar w:fldCharType="separate"/>
          </w:r>
          <w:r>
            <w:rPr>
              <w:rStyle w:val="14"/>
              <w:rFonts w:ascii="Times New Roman" w:hAnsi="Times New Roman" w:cs="Times New Roman"/>
              <w:sz w:val="24"/>
              <w:szCs w:val="24"/>
              <w:lang w:val="en-US" w:eastAsia="zh-CN"/>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_Toc127263417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after="0" w:line="240" w:lineRule="auto"/>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pStyle w:val="3"/>
      </w:pPr>
      <w:bookmarkStart w:id="13" w:name="_Toc127222362"/>
      <w:bookmarkStart w:id="14" w:name="_Toc127263403"/>
      <w:r>
        <w:t>Introduction</w:t>
      </w:r>
      <w:bookmarkEnd w:id="13"/>
      <w:bookmarkEnd w:id="14"/>
      <w:r>
        <w:t xml:space="preserve"> </w:t>
      </w:r>
    </w:p>
    <w:p>
      <w:pPr>
        <w:ind w:firstLine="420"/>
        <w:rPr>
          <w:rFonts w:ascii="Times New Roman" w:hAnsi="Times New Roman" w:cs="Times New Roman"/>
          <w:color w:val="auto"/>
          <w:sz w:val="24"/>
          <w:szCs w:val="24"/>
        </w:rPr>
      </w:pPr>
      <w:r>
        <w:rPr>
          <w:rFonts w:ascii="Times New Roman" w:hAnsi="Times New Roman" w:cs="Times New Roman"/>
          <w:color w:val="auto"/>
          <w:sz w:val="24"/>
          <w:szCs w:val="24"/>
        </w:rPr>
        <w:t>The Tesla brand uses solar-powered technology in its major energy frameworks to produce better goods with higher performance. This brand removed the support structure of third-party contact by claiming storefronts through its online-based organization. Tesla successfully taps into the psychological demands of the target market segment to feel environmentally conscious through the use of solar panels and electric cars (Liu et al., 2022). As a result, only a small group of people may obtain them, and this is what this organization requires.</w:t>
      </w:r>
    </w:p>
    <w:p>
      <w:pPr>
        <w:ind w:firstLine="420"/>
        <w:rPr>
          <w:rFonts w:ascii="Times New Roman" w:hAnsi="Times New Roman" w:cs="Times New Roman"/>
          <w:b/>
          <w:sz w:val="24"/>
          <w:szCs w:val="24"/>
        </w:rPr>
      </w:pPr>
      <w:r>
        <w:rPr>
          <w:rFonts w:ascii="Times New Roman" w:hAnsi="Times New Roman" w:cs="Times New Roman"/>
          <w:sz w:val="24"/>
          <w:szCs w:val="24"/>
        </w:rPr>
        <w:t>The development of modern science and technology is gradually applied to the livelihood industry, and cutting-edge technology is gradually benefiting human life. Advanced science and technology is the key factor to promote the happy life of human beings, and the internal combustion engine, as an advanced product of the industrial revolution, has also been widely popularized among human beings. The combustion raw material of internal combustion engine is gasoline, and the exhaust gas generated by combustion has a great impact on air pollution. At the same time, the non renewable nature of raw materials determines the risk that internal combustion engine will eventually lead to energy crisis. In order to avoid the energy crisis, vehicle enterprises around the world are developing and promoting their own new energy vehicle technologies. Among the major countries in the world, China's energy crisis is particularly serious. China's oil consumption depends on foreign imports by 60%, accounting for a very high proportion (Nassef et al., 2022). China's shale oil field reserves are large, but the difficulty and cost of shale development are the crux hindering China's shale oil field development, so it cannot become an effective oil source in China.</w:t>
      </w:r>
    </w:p>
    <w:p>
      <w:pPr>
        <w:pStyle w:val="4"/>
        <w:rPr>
          <w:color w:val="auto"/>
        </w:rPr>
      </w:pPr>
      <w:bookmarkStart w:id="15" w:name="_Toc127263405"/>
      <w:r>
        <w:rPr>
          <w:color w:val="auto"/>
        </w:rPr>
        <w:t>Market Segmentation</w:t>
      </w:r>
      <w:bookmarkEnd w:id="15"/>
    </w:p>
    <w:p>
      <w:pPr>
        <w:spacing w:line="480" w:lineRule="auto"/>
        <w:ind w:firstLine="480" w:firstLineChars="200"/>
        <w:rPr>
          <w:rFonts w:ascii="Times New Roman" w:hAnsi="Times New Roman" w:cs="Times New Roman"/>
          <w:sz w:val="24"/>
          <w:szCs w:val="24"/>
        </w:rPr>
      </w:pPr>
      <w:r>
        <w:rPr>
          <w:rFonts w:ascii="Times New Roman" w:hAnsi="Times New Roman" w:cs="Times New Roman"/>
          <w:color w:val="auto"/>
          <w:sz w:val="24"/>
          <w:szCs w:val="24"/>
        </w:rPr>
        <w:t>The target market segmentation of an enterprise is a process of in-depth disassembly of its corresponding market demand. Based on the needs of consumers, the product market is divided by integrating many factors when consumers are purchasing (Serfontein, 2021). Th</w:t>
      </w:r>
      <w:r>
        <w:rPr>
          <w:rFonts w:ascii="Times New Roman" w:hAnsi="Times New Roman" w:cs="Times New Roman"/>
          <w:sz w:val="24"/>
          <w:szCs w:val="24"/>
        </w:rPr>
        <w:t>e factors when consumers purchase include consumers' internal needs, expectations for products and consumers' own purchasing power.</w:t>
      </w:r>
    </w:p>
    <w:p>
      <w:pPr>
        <w:spacing w:line="480" w:lineRule="auto"/>
        <w:ind w:firstLine="480" w:firstLineChars="200"/>
        <w:rPr>
          <w:rFonts w:ascii="Times New Roman" w:hAnsi="Times New Roman" w:cs="Times New Roman"/>
          <w:sz w:val="24"/>
          <w:szCs w:val="24"/>
        </w:rPr>
      </w:pPr>
      <w:r>
        <w:rPr>
          <w:rFonts w:ascii="Times New Roman" w:hAnsi="Times New Roman" w:cs="Times New Roman"/>
          <w:color w:val="auto"/>
          <w:sz w:val="24"/>
          <w:szCs w:val="24"/>
        </w:rPr>
        <w:t>The region positioning of Tesla is urban commuting pure electric vehicles.</w:t>
      </w:r>
      <w:r>
        <w:rPr>
          <w:rFonts w:ascii="Times New Roman" w:hAnsi="Times New Roman" w:cs="Times New Roman"/>
          <w:sz w:val="24"/>
          <w:szCs w:val="24"/>
        </w:rPr>
        <w:t xml:space="preserve"> However, the engine and battery technologies of current pure electric vehicles are not perfect, and the driving distance is shorter than that of traditional fuel vehicles (Xinyi et al., 2022). This makes Tesla's use experience more comfortable, convenient and free in the Pearl River Delta, Yangtze River Delta and Beijing Tianjin Hebei regions with developed charging networks.</w:t>
      </w:r>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Tesla tends to select middle - and high-income customers at the initial stage of target customer selection, and then formulates a strategy of high-end luxury products first and then middle - end universal products based on the different consumer psychology and needs of various groups (Stobbe, 2019). First, use the high-income people to build a brand, and then use the brand to launch the corresponding mid-range pure electric car race to the middle-income people.</w:t>
      </w:r>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Tesla fully considers the needs of young people in product research and development, and its product positioning meets the needs of young people in pursuit of fashion and technology. Since its launch, Tesla has constantly highlighted its differences from traditional fuel vehicles. Technology and a sense of future can satisfy young people's sense of curiosity, and brand value is also very consistent with young people's value orientation (Serfontein, 2021). The product concept is very consistent with that of young people, but this group generally has insufficient consumption capacity, which cannot meet Tesla's purchasing power.</w:t>
      </w:r>
    </w:p>
    <w:p>
      <w:pPr>
        <w:pStyle w:val="4"/>
      </w:pPr>
      <w:bookmarkStart w:id="16" w:name="_Toc127263406"/>
      <w:r>
        <w:t>Analysis on the development status of China's new energy vehicle market</w:t>
      </w:r>
      <w:bookmarkEnd w:id="16"/>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China's new energy vehicle market is still at the initial stage of development, and the relevant links in the chain are not perfect. At the national level, it is proposed that the sales volume of new energy vehicles in China will reach 20% of the total sales volume in 2025. According to the current planning report, the total number of new energy vehicles in China can reach 5 million by 2025, while the private car industry as a whole tends to be electric and intelligent. More and more advanced technologies in the information industry are applied to electric vehicles for support (Alsharari, 2022). Under the general trend of automobile modification, leading automobile enterprises have embraced electrification and gradually abandoned the traditional fuel vehicle design.</w:t>
      </w:r>
    </w:p>
    <w:p>
      <w:pPr>
        <w:pStyle w:val="4"/>
      </w:pPr>
      <w:r>
        <w:t xml:space="preserve"> </w:t>
      </w:r>
      <w:bookmarkStart w:id="17" w:name="_Toc127263407"/>
      <w:r>
        <w:t>Ownership of new energy vehicles in China</w:t>
      </w:r>
      <w:bookmarkEnd w:id="17"/>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Reviewing the process of China from 2015 to 2020, it will be found that the total number of new energy vehicles has increased by 10 times. Due to the pure electricity strategy guidance at the national level, the scientific research and development and raw material resources of the automobile industry are inclined to new energy vehicles. In 2020, the total number of pure electric vehicles in China will reach 4 million. In the foreseeable future, China's new energy vehicle market will continue to expand, and the market cake will continue to grow (Ouyang et al., 2021). Manufacturers will also increase their R&amp;D efforts for new vehicles due to policies and trends to better meet market demand.</w:t>
      </w:r>
    </w:p>
    <w:p>
      <w:pPr>
        <w:pStyle w:val="4"/>
      </w:pPr>
      <w:bookmarkStart w:id="18" w:name="_Toc127263408"/>
      <w:r>
        <w:t>Sales of new energy vehicles</w:t>
      </w:r>
      <w:bookmarkEnd w:id="18"/>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In 2019, new energy vehicles were affected by the subsidy retrogression policy, and the sales volume of new energy vehicles in that year decreased by 4%. In the first quarter of 2020, the production and delivery of new energy vehicles decreased significantly due to the COVID-19; With the control of the epidemic situation and the recovery of the national economy, the sales volume has gradually recovered and will show a high growth rate in the second half of 2020 (Alsharari, 2022). In the future, driven by manufacturers' new models, new technologies and national policies, the sales volume of new energy vehicles will maintain a rapid upward trend.</w:t>
      </w:r>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In terms of brand manufacturers, the new force of car making is dominated by car enterprises such as Xiaopeng, Weilai, Ideals and Weima. Among them, the annual delivery volume of Weilai with the largest delivery volume in 2019 and 2020 is 20565 and 43728 respectively. Two pure electric SUVs, namely Weilai ES6 and Weilai ES8, provide more than 70% of the delivery volume. Among other manufacturers, Tesla, BYD and Wuling Hongguang also showed good results. The middle and high-end markets include Tesla Model 3, BYD HanEV, and the middle market includes BYD Xinqin EV (He et al., 2020). In contrast, Wuling Hongguang has found a new way, its MINIEV</w:t>
      </w:r>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According to Yu et al., (2019), the positioning is different from that of most models in the market. Taking the route of hatchback, low-end and courtesy car, the company has won 110000 annual sales by virtue of the manufacturer's reputation accumulated over the years, ranking first in the sales volume of new energy vehicles from September to December 2020.</w:t>
      </w:r>
    </w:p>
    <w:p>
      <w:pPr>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In 2020, BYD's new energy vehicles declined by 17.4% compared with 2019, mainly because of the sharp decline in production and delivery due to the epidemic in January March. In the second half of 2020, the sales volume of new models after sales has rebounded strongly, especially in November and December when the sales volume exceeded 20000 yuan. After the localization of Tesla, the sales volume has been at a high level. At a high price of 200000~300000 yuan, Tesla Model 3 will still achieve a high sales volume of more than 130000 yuan in 2020 (Alsharari, 2022). It can be seen that users agree with Tesla's brand and products very much and can tolerate a high brand premium.</w:t>
      </w:r>
    </w:p>
    <w:p>
      <w:pPr>
        <w:pStyle w:val="4"/>
        <w:rPr>
          <w:color w:val="auto"/>
        </w:rPr>
      </w:pPr>
      <w:bookmarkStart w:id="19" w:name="_Toc127263409"/>
      <w:r>
        <w:rPr>
          <w:color w:val="auto"/>
        </w:rPr>
        <w:t>Environment</w:t>
      </w:r>
      <w:bookmarkEnd w:id="19"/>
      <w:r>
        <w:rPr>
          <w:color w:val="auto"/>
        </w:rPr>
        <w:t>al Analysis</w:t>
      </w:r>
    </w:p>
    <w:p>
      <w:pPr>
        <w:pStyle w:val="2"/>
        <w:spacing w:line="48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current market is divided into three types of automobile marketing: franchise stores, general dealers and tangible automobile markets. Threats prohibit the business from taking full advantage of its advantages and strengths. The company's prospective earnings from the global market for solar panels, batteries, and electric vehicles, for instance, are constrained by competitive factors. To be resilient and sustainable in the face of shifting dynamics in the automobile sector, Tesla must overcome the</w:t>
      </w:r>
      <w:r>
        <w:rPr>
          <w:rFonts w:ascii="Times New Roman" w:hAnsi="Times New Roman" w:cs="Times New Roman"/>
          <w:color w:val="FF0000"/>
          <w:sz w:val="24"/>
          <w:szCs w:val="24"/>
        </w:rPr>
        <w:t xml:space="preserve"> </w:t>
      </w:r>
      <w:r>
        <w:rPr>
          <w:rFonts w:ascii="Times New Roman" w:hAnsi="Times New Roman" w:cs="Times New Roman"/>
          <w:color w:val="auto"/>
          <w:sz w:val="24"/>
          <w:szCs w:val="24"/>
        </w:rPr>
        <w:t>following threats (Engez &amp; Aarikka-Stenroos, 2023). Despite fierce competition from established automakers, Tesla must continue to have a competitive advantage in order to be profitable and grow sustainably.</w:t>
      </w:r>
    </w:p>
    <w:p>
      <w:pPr>
        <w:pStyle w:val="2"/>
        <w:spacing w:line="48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For the promotion of products, 4S stores will be used for the sales of products, but ordinary dealers will sell cars of multiple brands at the same time. Compared with the exclusive stores, the dealers are relatively insufficient in terms of service and system (An, 2021). The advantages are not obvious whether from the perspective of brand image or from the perspective of specific income, so we can think that they do not occupy a large market in the current automobile sales industry.</w:t>
      </w:r>
    </w:p>
    <w:p>
      <w:pPr>
        <w:pStyle w:val="4"/>
      </w:pPr>
      <w:bookmarkStart w:id="20" w:name="_Toc127263410"/>
      <w:r>
        <w:t>Measuring Success</w:t>
      </w:r>
      <w:bookmarkEnd w:id="20"/>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In the industry development chain, the problem of "location definition" of automobile brands is always unclear. Relying only on the rough definition of freshness and maturity, it has little effect on the guidance of clue operation. Compared with the industry and competitive products, the answer to "how does the brand perform" requires clearer indicators and specific data. From the three steps of judgment standard, business direction and conclusion method, the "Grass Planting Business Model" of automobile gives a clear logic of gradual progress. First, look at the market position. By analysing the 3A population size and A3 concentration, the giant engine divides the automobile brand into four areas: expansion area, weak area, balanced development area and quality improvement area (Thomas &amp; Maine, 2019). The brand can clearly see which area it is in.</w:t>
      </w:r>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Generally speaking, a brand belonging to a balanced development zone can have both the size and quality of the interested people, which is the ideal state of automobile brand management. However, according to McCain (2019) these brands only account for 28% of the total brand shares, and 46% of the auto brands are still in the weak areas where the population size and quality do not account for the advantage.</w:t>
      </w:r>
    </w:p>
    <w:p>
      <w:pPr>
        <w:pStyle w:val="4"/>
      </w:pPr>
      <w:bookmarkStart w:id="21" w:name="_Toc127222363"/>
      <w:r>
        <w:t xml:space="preserve"> </w:t>
      </w:r>
      <w:bookmarkStart w:id="22" w:name="_Toc127263411"/>
      <w:r>
        <w:t>Deficiencies</w:t>
      </w:r>
      <w:bookmarkEnd w:id="21"/>
      <w:bookmarkEnd w:id="22"/>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S&amp;P Global Mobility, an automobile research institute, released a report saying that Tesla is still the best-selling electric vehicle brand in the United States, but its dominant position is being weakened as competitors launch more and more affordable models. Tesla often sells its products by lowering the price. In order to seize the market, with the enrichment and diversification of products, there are more and more enterprises producing the same product, resulting in similar product structures and low technology added value. The product homogeneity of many enterprises is very serious. The products are not innovative, the technology is updated slowly, and there is a lack of differentiation (Ogrean et al., 2022). The enterprises carry out strategic price reduction or even price war to occupy more market shares.</w:t>
      </w:r>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Price war means that enterprises should reduce the price of existing products to increase sales. This can indeed attract a large number of new users to buy, but at the same time, price reduction is a devaluation of the product for old users who have already collected the car. The wanton price reduction of an enterprise will reduce the trust and loyalty of old customers to the enterprise, which is very unfavorable to the maintenance of the relationship between old customers (Huang, 2022). However, the price war can quickly clear up the enterprise's inventory and convert idle assets into effective cash, so it has a good role in promoting the innovation of old products. More funds can be used to develop new products to meet market changes, or promote technology research and development to enhance the core competitiveness of enterprises, so as to achieve the dual purpose of improving enterprise innovation and market occupation. At the same time, the price war is a powerful blow to enterprises in the same industry (Huaman-Ramirez &amp; Merunka, 2021). More consumers choose to buy Tesla cars, and the number of potential customers who buy other car enterprises is decreasing, which helps more consumers enter the automobile ecosystem created by Tesla and is conducive to the promotion of Tesla's subsequent models.</w:t>
      </w:r>
    </w:p>
    <w:p>
      <w:pPr>
        <w:pStyle w:val="3"/>
      </w:pPr>
      <w:bookmarkStart w:id="23" w:name="_Toc127263415"/>
      <w:r>
        <w:t>Conclusion</w:t>
      </w:r>
      <w:bookmarkEnd w:id="23"/>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As a product under the trend of the new energy era, Tesla's high-tech and advanced technology attributes can meet the needs of the times for cars, not to mention the energy it relies on is electric energy, and it gets rid of the dependence of cars on traditional fuel, which is very beneficial for the whole human being. However, the competition in the automobile market is brutal, and not the company with leading technology will be able to obtain the largest market share. The promotion and marketing of automobiles and R&amp;D of science and technology are the key factors affecting the survival of enterprises. If Tesla Motors wants to continue to occupy the first place in the automobile market, it needs to adhere to the concept of customer-centric and constantly push itself forward.</w:t>
      </w:r>
    </w:p>
    <w:p>
      <w:pPr>
        <w:pStyle w:val="2"/>
        <w:spacing w:line="480" w:lineRule="auto"/>
        <w:ind w:firstLine="480" w:firstLineChars="200"/>
        <w:rPr>
          <w:rFonts w:ascii="Times New Roman" w:hAnsi="Times New Roman" w:cs="Times New Roman"/>
          <w:sz w:val="24"/>
          <w:szCs w:val="24"/>
        </w:rPr>
      </w:pPr>
    </w:p>
    <w:p>
      <w:pPr>
        <w:pStyle w:val="3"/>
        <w:rPr>
          <w:color w:val="auto"/>
        </w:rPr>
      </w:pPr>
      <w:bookmarkStart w:id="24" w:name="_Toc127222364"/>
      <w:r>
        <w:t xml:space="preserve"> </w:t>
      </w:r>
      <w:bookmarkEnd w:id="24"/>
      <w:bookmarkStart w:id="25" w:name="_Toc127263412"/>
      <w:r>
        <w:rPr>
          <w:color w:val="auto"/>
        </w:rPr>
        <w:t>Recommendations</w:t>
      </w:r>
      <w:bookmarkEnd w:id="25"/>
      <w:r>
        <w:rPr>
          <w:color w:val="auto"/>
        </w:rPr>
        <w:t xml:space="preserve"> </w:t>
      </w:r>
    </w:p>
    <w:p>
      <w:pPr>
        <w:pStyle w:val="4"/>
      </w:pPr>
      <w:r>
        <w:t xml:space="preserve"> </w:t>
      </w:r>
      <w:bookmarkStart w:id="26" w:name="_Toc127263413"/>
      <w:r>
        <w:t>Create a "one-stop" service for automobile distribution sites</w:t>
      </w:r>
      <w:bookmarkEnd w:id="26"/>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Like other types of consumer goods, in the process of automobile sales, sales personnel also need to have a deep understanding of people's consumption psychology. In the choice of consumption mode, they must comprehensively consider the consumption psychology and consumption habits of different groups. Because all consumers want to spend less on a certain kind of goods, buy more desirable goods, and hope they can buy the products with the highest cost performance. Therefore, in the process of purchasing cars, comparative analysis will be made on the performance and prices of different models of multiple brands. In this case, auto dealers need to sell cars of multiple brands at the same time, and try to ensure the diversity of auto brands and models in the place where they operate (Huateng et al., 2021). That's all right</w:t>
      </w:r>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It enables consumers to compare these cars in the process of car purchase to meet their psychological needs and provide consumers with more convenience. In addition, automobile sales sites should establish corresponding supporting facilities, including automobile repair, automobile decoration, automobile inspection, etc. In addition to providing the above automobile related services, we can also provide a service place with leisure and entertainment characteristics for consumers according to their specific conditions, so that the entire automobile dealership has the characteristics of all-round one-stop marketing services.</w:t>
      </w:r>
    </w:p>
    <w:p>
      <w:pPr>
        <w:pStyle w:val="4"/>
      </w:pPr>
      <w:bookmarkStart w:id="27" w:name="_Toc127263414"/>
      <w:r>
        <w:t>Optimize sales service concept</w:t>
      </w:r>
      <w:bookmarkEnd w:id="27"/>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In the process of product sales, auto dealers need to clearly understand that whether their products can achieve good sales volume depends on consumers' willingness to purchase and purchasing ability, that is, there is a close relationship between its sales effect and the buyer. When optimizing sales services, it is necessary to take consumers' specific needs as the basis (Huang, 2022). A qualified auto dealer should pay attention to the purchase concept of consumers in daily sales work, and provide consumers with qualified.</w:t>
      </w:r>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sz w:val="24"/>
          <w:szCs w:val="24"/>
        </w:rPr>
        <w:t>At the same time, the concept of sales service should be constantly optimized according to the actual needs of consumers. Only by providing consumers with the best quality service and allowing consumers to have a relatively satisfactory experience in the purchase process, can we better sell our products. That is to say, auto dealers should focus on the psychological analysis of consumers and fully understand their actual needs before they can better provide targeted services (Huateng et al., 2021). This kind of service belongs to tracking service, which can make consumers more comprehensive</w:t>
      </w:r>
    </w:p>
    <w:p>
      <w:pPr>
        <w:pStyle w:val="2"/>
        <w:spacing w:line="480" w:lineRule="auto"/>
        <w:ind w:firstLine="480" w:firstLineChars="200"/>
        <w:rPr>
          <w:rFonts w:ascii="Times New Roman" w:hAnsi="Times New Roman" w:cs="Times New Roman"/>
          <w:sz w:val="24"/>
          <w:szCs w:val="24"/>
        </w:rPr>
      </w:pPr>
      <w:r>
        <w:rPr>
          <w:rFonts w:ascii="Times New Roman" w:hAnsi="Times New Roman" w:cs="Times New Roman"/>
          <w:color w:val="auto"/>
          <w:sz w:val="24"/>
          <w:szCs w:val="24"/>
        </w:rPr>
        <w:t xml:space="preserve">There is a comprehensive understanding of different models, brands and models of cars. </w:t>
      </w:r>
      <w:r>
        <w:rPr>
          <w:rFonts w:ascii="Times New Roman" w:hAnsi="Times New Roman" w:cs="Times New Roman"/>
          <w:sz w:val="24"/>
          <w:szCs w:val="24"/>
        </w:rPr>
        <w:t>While in the process of understanding the basic information of the car and repairing the car, the car dealer. According to Jha (2023), in addition to meeting the various needs of consumers in the purchase process, it is also necessary to focus on the feedback of problems found in the sales of products, so that manufacturers can effectively solve these problems, so as to improve the overall performance of automotive products.</w:t>
      </w:r>
    </w:p>
    <w:p>
      <w:pPr>
        <w:pStyle w:val="3"/>
        <w:rPr>
          <w:rFonts w:cs="Times New Roman"/>
          <w:sz w:val="24"/>
          <w:szCs w:val="24"/>
        </w:rPr>
      </w:pPr>
      <w:bookmarkStart w:id="28" w:name="_Toc127222365"/>
      <w:r>
        <w:rPr>
          <w:rFonts w:cs="Times New Roman"/>
          <w:sz w:val="24"/>
          <w:szCs w:val="24"/>
        </w:rPr>
        <w:t xml:space="preserve"> </w:t>
      </w:r>
      <w:bookmarkEnd w:id="28"/>
    </w:p>
    <w:p>
      <w:pPr>
        <w:ind w:firstLine="420"/>
        <w:rPr>
          <w:rFonts w:ascii="Times New Roman" w:hAnsi="Times New Roman" w:eastAsia="Times New Roman" w:cs="Times New Roman"/>
          <w:b/>
          <w:sz w:val="24"/>
          <w:szCs w:val="24"/>
        </w:rPr>
      </w:pPr>
      <w:r>
        <w:rPr>
          <w:rFonts w:ascii="Times New Roman" w:hAnsi="Times New Roman" w:cs="Times New Roman"/>
          <w:b/>
          <w:sz w:val="24"/>
          <w:szCs w:val="24"/>
          <w:lang w:eastAsia="zh-CN"/>
        </w:rPr>
        <w:br w:type="page"/>
      </w:r>
    </w:p>
    <w:p>
      <w:pPr>
        <w:pStyle w:val="3"/>
        <w:rPr>
          <w:lang w:val="en-US" w:eastAsia="zh-CN"/>
        </w:rPr>
      </w:pPr>
      <w:bookmarkStart w:id="29" w:name="_Toc127222367"/>
      <w:r>
        <w:rPr>
          <w:lang w:eastAsia="zh-CN"/>
        </w:rPr>
        <w:t xml:space="preserve"> </w:t>
      </w:r>
      <w:bookmarkStart w:id="30" w:name="_Toc127263417"/>
      <w:r>
        <w:rPr>
          <w:lang w:val="en-US" w:eastAsia="zh-CN"/>
        </w:rPr>
        <w:t>References</w:t>
      </w:r>
      <w:bookmarkEnd w:id="29"/>
      <w:bookmarkEnd w:id="30"/>
    </w:p>
    <w:p>
      <w:pPr>
        <w:widowControl w:val="0"/>
        <w:spacing w:line="480" w:lineRule="auto"/>
        <w:ind w:left="-18"/>
        <w:rPr>
          <w:rStyle w:val="14"/>
          <w:rFonts w:ascii="Times New Roman" w:hAnsi="Times New Roman" w:cs="Times New Roman"/>
          <w:color w:val="auto"/>
          <w:sz w:val="24"/>
          <w:szCs w:val="24"/>
        </w:rPr>
      </w:pPr>
      <w:r>
        <w:rPr>
          <w:rFonts w:ascii="Times New Roman" w:hAnsi="Times New Roman" w:cs="Times New Roman"/>
          <w:color w:val="222222"/>
          <w:sz w:val="24"/>
          <w:szCs w:val="24"/>
          <w:shd w:val="clear" w:color="auto" w:fill="FFFFFF"/>
        </w:rPr>
        <w:t>Alsharari, N.M., 2022. Financial reporting and analysis of tesla green technology in the United States market. </w:t>
      </w:r>
      <w:r>
        <w:rPr>
          <w:rFonts w:ascii="Times New Roman" w:hAnsi="Times New Roman" w:cs="Times New Roman"/>
          <w:i/>
          <w:iCs/>
          <w:color w:val="222222"/>
          <w:sz w:val="24"/>
          <w:szCs w:val="24"/>
          <w:shd w:val="clear" w:color="auto" w:fill="FFFFFF"/>
        </w:rPr>
        <w:t>Banking and Accounting Issues</w:t>
      </w:r>
      <w:r>
        <w:rPr>
          <w:rFonts w:ascii="Times New Roman" w:hAnsi="Times New Roman" w:cs="Times New Roman"/>
          <w:color w:val="222222"/>
          <w:sz w:val="24"/>
          <w:szCs w:val="24"/>
          <w:shd w:val="clear" w:color="auto" w:fill="FFFFFF"/>
        </w:rPr>
        <w:t>, p.3</w:t>
      </w:r>
      <w:r>
        <w:rPr>
          <w:rFonts w:ascii="Times New Roman" w:hAnsi="Times New Roman" w:cs="Times New Roman"/>
          <w:sz w:val="24"/>
          <w:szCs w:val="24"/>
        </w:rPr>
        <w:t xml:space="preserve">. Available at: </w:t>
      </w:r>
      <w:r>
        <w:rPr>
          <w:color w:val="auto"/>
        </w:rPr>
        <w:fldChar w:fldCharType="begin"/>
      </w:r>
      <w:r>
        <w:rPr>
          <w:color w:val="auto"/>
        </w:rPr>
        <w:instrText xml:space="preserve"> HYPERLINK "https://doi.org/10.5772/intechopen.105065" </w:instrText>
      </w:r>
      <w:r>
        <w:rPr>
          <w:color w:val="auto"/>
        </w:rPr>
        <w:fldChar w:fldCharType="separate"/>
      </w:r>
      <w:r>
        <w:rPr>
          <w:rStyle w:val="14"/>
          <w:rFonts w:ascii="Times New Roman" w:hAnsi="Times New Roman" w:cs="Times New Roman"/>
          <w:color w:val="auto"/>
          <w:sz w:val="24"/>
          <w:szCs w:val="24"/>
        </w:rPr>
        <w:t>https://doi.org/10.5772/intechopen.105065</w:t>
      </w:r>
      <w:r>
        <w:rPr>
          <w:rStyle w:val="14"/>
          <w:rFonts w:ascii="Times New Roman" w:hAnsi="Times New Roman" w:cs="Times New Roman"/>
          <w:color w:val="auto"/>
          <w:sz w:val="24"/>
          <w:szCs w:val="24"/>
        </w:rPr>
        <w:fldChar w:fldCharType="end"/>
      </w:r>
    </w:p>
    <w:p>
      <w:pPr>
        <w:widowControl w:val="0"/>
        <w:spacing w:line="480" w:lineRule="auto"/>
        <w:ind w:left="-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An, T., 2021, January. The Strategic Group Analysis of BYD New Energy Vehicles From the Perspective of Value Chain. In </w:t>
      </w:r>
      <w:r>
        <w:rPr>
          <w:rFonts w:ascii="Times New Roman" w:hAnsi="Times New Roman" w:cs="Times New Roman"/>
          <w:i/>
          <w:iCs/>
          <w:color w:val="auto"/>
          <w:sz w:val="24"/>
          <w:szCs w:val="24"/>
          <w:shd w:val="clear" w:color="auto" w:fill="FFFFFF"/>
        </w:rPr>
        <w:t>6th Annual International Conference on Social Science and Contemporary Humanity Development (SSCHD 2020)</w:t>
      </w:r>
      <w:r>
        <w:rPr>
          <w:rFonts w:ascii="Times New Roman" w:hAnsi="Times New Roman" w:cs="Times New Roman"/>
          <w:color w:val="auto"/>
          <w:sz w:val="24"/>
          <w:szCs w:val="24"/>
          <w:shd w:val="clear" w:color="auto" w:fill="FFFFFF"/>
        </w:rPr>
        <w:t> (pp. 735-740). Atlantis Press.</w:t>
      </w:r>
    </w:p>
    <w:p>
      <w:pPr>
        <w:spacing w:after="0" w:line="480" w:lineRule="auto"/>
        <w:ind w:left="400" w:hanging="418"/>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Beukes, C. and Van Wyk, G., 2016. An investigation of the marketing performance measurement practices in Hatfield Volkswagen group. </w:t>
      </w:r>
      <w:r>
        <w:rPr>
          <w:rFonts w:ascii="Times New Roman" w:hAnsi="Times New Roman" w:cs="Times New Roman"/>
          <w:i/>
          <w:iCs/>
          <w:color w:val="auto"/>
          <w:sz w:val="24"/>
          <w:szCs w:val="24"/>
          <w:shd w:val="clear" w:color="auto" w:fill="FFFFFF"/>
        </w:rPr>
        <w:t>African Journal of Business Management</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10</w:t>
      </w:r>
      <w:r>
        <w:rPr>
          <w:rFonts w:ascii="Times New Roman" w:hAnsi="Times New Roman" w:cs="Times New Roman"/>
          <w:color w:val="auto"/>
          <w:sz w:val="24"/>
          <w:szCs w:val="24"/>
          <w:shd w:val="clear" w:color="auto" w:fill="FFFFFF"/>
        </w:rPr>
        <w:t>(6), pp.131-139.</w:t>
      </w:r>
    </w:p>
    <w:p>
      <w:pPr>
        <w:spacing w:after="0" w:line="480" w:lineRule="auto"/>
        <w:ind w:left="48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Boonying Jiraporn &amp; Chantana Sujitra.(2019).Distribution Marketing Strategy of Goods from Manufacturers to the Consumer in the Auto Parts Industry in Thailand. </w:t>
      </w:r>
      <w:r>
        <w:rPr>
          <w:rFonts w:ascii="Times New Roman" w:hAnsi="Times New Roman" w:cs="Times New Roman"/>
          <w:i/>
          <w:iCs/>
          <w:color w:val="auto"/>
          <w:sz w:val="24"/>
          <w:szCs w:val="24"/>
          <w:shd w:val="clear" w:color="auto" w:fill="FFFFFF"/>
        </w:rPr>
        <w:t>The Social Sciences</w:t>
      </w:r>
      <w:r>
        <w:rPr>
          <w:rFonts w:ascii="Times New Roman" w:hAnsi="Times New Roman" w:cs="Times New Roman"/>
          <w:color w:val="auto"/>
          <w:sz w:val="24"/>
          <w:szCs w:val="24"/>
          <w:shd w:val="clear" w:color="auto" w:fill="FFFFFF"/>
        </w:rPr>
        <w:t>(9). doi:10.36478/sscience.2019.335.340.</w:t>
      </w:r>
    </w:p>
    <w:p>
      <w:pPr>
        <w:spacing w:after="0" w:line="480" w:lineRule="auto"/>
        <w:ind w:left="48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Byun Young si,Joo Hye Hwa &amp; Park Yeon Su.(2018).Effect of Experiential Marketing on Automotive User Interface: User Experience of Eco-Driving and Welcome System. </w:t>
      </w:r>
      <w:r>
        <w:rPr>
          <w:rFonts w:ascii="Times New Roman" w:hAnsi="Times New Roman" w:cs="Times New Roman"/>
          <w:i/>
          <w:iCs/>
          <w:color w:val="auto"/>
          <w:sz w:val="24"/>
          <w:szCs w:val="24"/>
          <w:shd w:val="clear" w:color="auto" w:fill="FFFFFF"/>
        </w:rPr>
        <w:t>Design Convergence Study</w:t>
      </w:r>
      <w:r>
        <w:rPr>
          <w:rFonts w:ascii="Times New Roman" w:hAnsi="Times New Roman" w:cs="Times New Roman"/>
          <w:color w:val="auto"/>
          <w:sz w:val="24"/>
          <w:szCs w:val="24"/>
          <w:shd w:val="clear" w:color="auto" w:fill="FFFFFF"/>
        </w:rPr>
        <w:t>(4). doi:10.31678/sdc.71.3.</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Engez, A. and Aarikka-Stenroos, L., 2023. Stakeholder contributions to commercialization and market creation of a radical innovation: bridging the micro-and macro levels. </w:t>
      </w:r>
      <w:r>
        <w:rPr>
          <w:rFonts w:ascii="Times New Roman" w:hAnsi="Times New Roman" w:cs="Times New Roman"/>
          <w:i/>
          <w:iCs/>
          <w:color w:val="auto"/>
          <w:sz w:val="24"/>
          <w:szCs w:val="24"/>
          <w:shd w:val="clear" w:color="auto" w:fill="FFFFFF"/>
        </w:rPr>
        <w:t>Journal of Business &amp; Industrial Marketing</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38</w:t>
      </w:r>
      <w:r>
        <w:rPr>
          <w:rFonts w:ascii="Times New Roman" w:hAnsi="Times New Roman" w:cs="Times New Roman"/>
          <w:color w:val="auto"/>
          <w:sz w:val="24"/>
          <w:szCs w:val="24"/>
          <w:shd w:val="clear" w:color="auto" w:fill="FFFFFF"/>
        </w:rPr>
        <w:t>(13), pp.31-44.</w:t>
      </w:r>
    </w:p>
    <w:p>
      <w:pPr>
        <w:spacing w:after="0" w:line="480" w:lineRule="auto"/>
        <w:ind w:left="48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Hannah Lutz.(2018).Chase Auto unifies marketing, direct lending. </w:t>
      </w:r>
      <w:r>
        <w:rPr>
          <w:rFonts w:ascii="Times New Roman" w:hAnsi="Times New Roman" w:cs="Times New Roman"/>
          <w:i/>
          <w:iCs/>
          <w:color w:val="auto"/>
          <w:sz w:val="24"/>
          <w:szCs w:val="24"/>
          <w:shd w:val="clear" w:color="auto" w:fill="FFFFFF"/>
        </w:rPr>
        <w:t>Automotive News</w:t>
      </w:r>
      <w:r>
        <w:rPr>
          <w:rFonts w:ascii="Times New Roman" w:hAnsi="Times New Roman" w:cs="Times New Roman"/>
          <w:color w:val="auto"/>
          <w:sz w:val="24"/>
          <w:szCs w:val="24"/>
          <w:shd w:val="clear" w:color="auto" w:fill="FFFFFF"/>
        </w:rPr>
        <w:t>(6855).</w:t>
      </w:r>
    </w:p>
    <w:p>
      <w:pPr>
        <w:spacing w:after="0" w:line="480" w:lineRule="auto"/>
        <w:ind w:left="40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Hassan, A.S., 2019. Evaluating the marketing communication strategy of Volkswagen in post-crisis period: Application of image repair theory. </w:t>
      </w:r>
      <w:r>
        <w:rPr>
          <w:rFonts w:ascii="Times New Roman" w:hAnsi="Times New Roman" w:cs="Times New Roman"/>
          <w:i/>
          <w:iCs/>
          <w:color w:val="auto"/>
          <w:sz w:val="24"/>
          <w:szCs w:val="24"/>
          <w:shd w:val="clear" w:color="auto" w:fill="FFFFFF"/>
        </w:rPr>
        <w:t>International Journal of Marketing Studies</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11</w:t>
      </w:r>
      <w:r>
        <w:rPr>
          <w:rFonts w:ascii="Times New Roman" w:hAnsi="Times New Roman" w:cs="Times New Roman"/>
          <w:color w:val="auto"/>
          <w:sz w:val="24"/>
          <w:szCs w:val="24"/>
          <w:shd w:val="clear" w:color="auto" w:fill="FFFFFF"/>
        </w:rPr>
        <w:t>(2), pp.87-101. doi:10.5539/ijms.v11n2p87.</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He, L.Y., Pei, L.L. and Yang, Y.H., 2020. An optimised grey buffer operator for forecasting the production and sales of new energy vehicles in China. </w:t>
      </w:r>
      <w:r>
        <w:rPr>
          <w:rFonts w:ascii="Times New Roman" w:hAnsi="Times New Roman" w:cs="Times New Roman"/>
          <w:i/>
          <w:iCs/>
          <w:color w:val="auto"/>
          <w:sz w:val="24"/>
          <w:szCs w:val="24"/>
          <w:shd w:val="clear" w:color="auto" w:fill="FFFFFF"/>
        </w:rPr>
        <w:t>Science of the Total Environment</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704</w:t>
      </w:r>
      <w:r>
        <w:rPr>
          <w:rFonts w:ascii="Times New Roman" w:hAnsi="Times New Roman" w:cs="Times New Roman"/>
          <w:color w:val="auto"/>
          <w:sz w:val="24"/>
          <w:szCs w:val="24"/>
          <w:shd w:val="clear" w:color="auto" w:fill="FFFFFF"/>
        </w:rPr>
        <w:t>, p.135321.</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Huaman-Ramirez, R. and Merunka, D., 2021. Celebrity CEOs’ credibility, image of their brands and consumer materialism. </w:t>
      </w:r>
      <w:r>
        <w:rPr>
          <w:rFonts w:ascii="Times New Roman" w:hAnsi="Times New Roman" w:cs="Times New Roman"/>
          <w:i/>
          <w:iCs/>
          <w:color w:val="auto"/>
          <w:sz w:val="24"/>
          <w:szCs w:val="24"/>
          <w:shd w:val="clear" w:color="auto" w:fill="FFFFFF"/>
        </w:rPr>
        <w:t>Journal of Consumer Marketing</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38</w:t>
      </w:r>
      <w:r>
        <w:rPr>
          <w:rFonts w:ascii="Times New Roman" w:hAnsi="Times New Roman" w:cs="Times New Roman"/>
          <w:color w:val="auto"/>
          <w:sz w:val="24"/>
          <w:szCs w:val="24"/>
          <w:shd w:val="clear" w:color="auto" w:fill="FFFFFF"/>
        </w:rPr>
        <w:t>(6), pp.638-651.</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Huang, J., 2022. BRAND MARKETING STRATEGY OF NEW ENERGY VEHICLES IN THE CHINESE MARKET-TAKING TESLA AS AN EXAMPLE. </w:t>
      </w:r>
      <w:r>
        <w:rPr>
          <w:rFonts w:ascii="Times New Roman" w:hAnsi="Times New Roman" w:cs="Times New Roman"/>
          <w:i/>
          <w:iCs/>
          <w:color w:val="auto"/>
          <w:sz w:val="24"/>
          <w:szCs w:val="24"/>
          <w:shd w:val="clear" w:color="auto" w:fill="FFFFFF"/>
        </w:rPr>
        <w:t>Journal of Buddhist Education and Research</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8</w:t>
      </w:r>
      <w:r>
        <w:rPr>
          <w:rFonts w:ascii="Times New Roman" w:hAnsi="Times New Roman" w:cs="Times New Roman"/>
          <w:color w:val="auto"/>
          <w:sz w:val="24"/>
          <w:szCs w:val="24"/>
          <w:shd w:val="clear" w:color="auto" w:fill="FFFFFF"/>
        </w:rPr>
        <w:t>(3), pp.128-134.</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Huateng, M., Xiaorong, Z., Yi, S., Xiongshan, C., Ma, H., Zhang, X., Sun, Y. and Cai, X., 2021. Declaration of Sharism. </w:t>
      </w:r>
      <w:r>
        <w:rPr>
          <w:rFonts w:ascii="Times New Roman" w:hAnsi="Times New Roman" w:cs="Times New Roman"/>
          <w:i/>
          <w:iCs/>
          <w:color w:val="auto"/>
          <w:sz w:val="24"/>
          <w:szCs w:val="24"/>
          <w:shd w:val="clear" w:color="auto" w:fill="FFFFFF"/>
        </w:rPr>
        <w:t>The Chinese Sharing Economy: New Economy Program for Supply-Side Reform</w:t>
      </w:r>
      <w:r>
        <w:rPr>
          <w:rFonts w:ascii="Times New Roman" w:hAnsi="Times New Roman" w:cs="Times New Roman"/>
          <w:color w:val="auto"/>
          <w:sz w:val="24"/>
          <w:szCs w:val="24"/>
          <w:shd w:val="clear" w:color="auto" w:fill="FFFFFF"/>
        </w:rPr>
        <w:t>, pp.123-144.</w:t>
      </w:r>
    </w:p>
    <w:p>
      <w:pPr>
        <w:pStyle w:val="2"/>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Jha, C., 2023. </w:t>
      </w:r>
      <w:r>
        <w:rPr>
          <w:rFonts w:ascii="Times New Roman" w:hAnsi="Times New Roman" w:cs="Times New Roman"/>
          <w:i/>
          <w:iCs/>
          <w:color w:val="auto"/>
          <w:sz w:val="24"/>
          <w:szCs w:val="24"/>
          <w:shd w:val="clear" w:color="auto" w:fill="FFFFFF"/>
        </w:rPr>
        <w:t>DIRECT-TO-COMSUMER MODEL IN THE AUTOMOTIVE INDUSTRY The impact of transition to a direct-to consumer business model by an incumbent manufacturer on its retailers: a case study of Volvo Cars</w:t>
      </w:r>
      <w:r>
        <w:rPr>
          <w:rFonts w:ascii="Times New Roman" w:hAnsi="Times New Roman" w:cs="Times New Roman"/>
          <w:color w:val="auto"/>
          <w:sz w:val="24"/>
          <w:szCs w:val="24"/>
          <w:shd w:val="clear" w:color="auto" w:fill="FFFFFF"/>
        </w:rPr>
        <w:t> (Master's thesis).</w:t>
      </w:r>
    </w:p>
    <w:p>
      <w:pPr>
        <w:pStyle w:val="2"/>
        <w:rPr>
          <w:rFonts w:ascii="Times New Roman" w:hAnsi="Times New Roman" w:cs="Times New Roman"/>
          <w:color w:val="auto"/>
          <w:sz w:val="24"/>
          <w:szCs w:val="24"/>
        </w:rPr>
      </w:pPr>
      <w:r>
        <w:rPr>
          <w:rFonts w:ascii="Times New Roman" w:hAnsi="Times New Roman" w:cs="Times New Roman"/>
          <w:color w:val="auto"/>
          <w:sz w:val="24"/>
          <w:szCs w:val="24"/>
        </w:rPr>
        <w:t>Liu, Y., Shen, Y., Zhang, L. and Zhang, Y., 2022, December. A Comprehensive Analysis of Tesla. In 2022 2nd International Conference on Financial Management and Economic Transition (FMET 2022) (pp. 344-356). Atlantis Press.</w:t>
      </w:r>
    </w:p>
    <w:p>
      <w:pPr>
        <w:spacing w:after="0" w:line="480" w:lineRule="auto"/>
        <w:ind w:left="40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Lozhachevska, O.M. and Hryhorenko, R.V., 2018. Analysis of marketing activity and communication policy of car service enterprises of Ukraine. </w:t>
      </w:r>
      <w:r>
        <w:rPr>
          <w:rFonts w:ascii="Times New Roman" w:hAnsi="Times New Roman" w:cs="Times New Roman"/>
          <w:i/>
          <w:iCs/>
          <w:color w:val="auto"/>
          <w:sz w:val="24"/>
          <w:szCs w:val="24"/>
          <w:shd w:val="clear" w:color="auto" w:fill="FFFFFF"/>
        </w:rPr>
        <w:t>Ekonomichnyy analiz</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28</w:t>
      </w:r>
      <w:r>
        <w:rPr>
          <w:rFonts w:ascii="Times New Roman" w:hAnsi="Times New Roman" w:cs="Times New Roman"/>
          <w:color w:val="auto"/>
          <w:sz w:val="24"/>
          <w:szCs w:val="24"/>
          <w:shd w:val="clear" w:color="auto" w:fill="FFFFFF"/>
        </w:rPr>
        <w:t>(3), pp.170-175. doi:10.35774/econa2018.03.170.</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McCain, C., 2019. A Strategic Audit of Tesla, Inc.</w:t>
      </w:r>
    </w:p>
    <w:p>
      <w:pPr>
        <w:spacing w:after="0" w:line="480" w:lineRule="auto"/>
        <w:ind w:left="48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Moeser Kurt.(2020).Auto-Identities. Marketing, Consumption and Product Images of the Automobile after the Boom. </w:t>
      </w:r>
      <w:r>
        <w:rPr>
          <w:rFonts w:ascii="Times New Roman" w:hAnsi="Times New Roman" w:cs="Times New Roman"/>
          <w:i/>
          <w:iCs/>
          <w:color w:val="auto"/>
          <w:sz w:val="24"/>
          <w:szCs w:val="24"/>
          <w:shd w:val="clear" w:color="auto" w:fill="FFFFFF"/>
        </w:rPr>
        <w:t>VSWG-VIERTELJAHRSCHRIFT FUR SOZIAL-UND WIRTSCHAFTSGESCHICHTE</w:t>
      </w:r>
      <w:r>
        <w:rPr>
          <w:rFonts w:ascii="Times New Roman" w:hAnsi="Times New Roman" w:cs="Times New Roman"/>
          <w:color w:val="auto"/>
          <w:sz w:val="24"/>
          <w:szCs w:val="24"/>
          <w:shd w:val="clear" w:color="auto" w:fill="FFFFFF"/>
        </w:rPr>
        <w:t>(4).</w:t>
      </w:r>
    </w:p>
    <w:p>
      <w:pPr>
        <w:widowControl w:val="0"/>
        <w:spacing w:line="480" w:lineRule="auto"/>
        <w:ind w:left="40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Nasef, A.A., Onallah, H., Jwad, M. and Elsaraiti, M., 2022. INSTITUTIONAL STRUCTURAL REFORM BY IMPLEMENTING THE DIGITAL GOVERNANCE. </w:t>
      </w:r>
      <w:r>
        <w:rPr>
          <w:rFonts w:ascii="Times New Roman" w:hAnsi="Times New Roman" w:cs="Times New Roman"/>
          <w:i/>
          <w:iCs/>
          <w:color w:val="auto"/>
          <w:sz w:val="24"/>
          <w:szCs w:val="24"/>
          <w:shd w:val="clear" w:color="auto" w:fill="FFFFFF"/>
        </w:rPr>
        <w:t>REVIZOR</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25</w:t>
      </w:r>
      <w:r>
        <w:rPr>
          <w:rFonts w:ascii="Times New Roman" w:hAnsi="Times New Roman" w:cs="Times New Roman"/>
          <w:color w:val="auto"/>
          <w:sz w:val="24"/>
          <w:szCs w:val="24"/>
          <w:shd w:val="clear" w:color="auto" w:fill="FFFFFF"/>
        </w:rPr>
        <w:t>(99), pp.35-50.</w:t>
      </w:r>
      <w:r>
        <w:rPr>
          <w:color w:val="auto"/>
        </w:rPr>
        <w:fldChar w:fldCharType="begin"/>
      </w:r>
      <w:r>
        <w:rPr>
          <w:color w:val="auto"/>
        </w:rPr>
        <w:instrText xml:space="preserve"> HYPERLINK "https://doi.org/10.56362/rev2299035n" </w:instrText>
      </w:r>
      <w:r>
        <w:rPr>
          <w:color w:val="auto"/>
        </w:rPr>
        <w:fldChar w:fldCharType="separate"/>
      </w:r>
      <w:r>
        <w:rPr>
          <w:rStyle w:val="14"/>
          <w:rFonts w:ascii="Times New Roman" w:hAnsi="Times New Roman" w:cs="Times New Roman"/>
          <w:color w:val="auto"/>
          <w:sz w:val="24"/>
          <w:szCs w:val="24"/>
        </w:rPr>
        <w:t>https://doi.org/10.56362/rev2299035n</w:t>
      </w:r>
      <w:r>
        <w:rPr>
          <w:rStyle w:val="14"/>
          <w:rFonts w:ascii="Times New Roman" w:hAnsi="Times New Roman" w:cs="Times New Roman"/>
          <w:color w:val="auto"/>
          <w:sz w:val="24"/>
          <w:szCs w:val="24"/>
        </w:rPr>
        <w:fldChar w:fldCharType="end"/>
      </w:r>
    </w:p>
    <w:p>
      <w:pPr>
        <w:spacing w:after="0" w:line="480" w:lineRule="auto"/>
        <w:ind w:left="400" w:hanging="418"/>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Obaid, T., 2016. Effects of Green Marketing Strategies on Sales Volume of Green Cars. </w:t>
      </w:r>
      <w:r>
        <w:rPr>
          <w:rFonts w:ascii="Times New Roman" w:hAnsi="Times New Roman" w:cs="Times New Roman"/>
          <w:i/>
          <w:iCs/>
          <w:color w:val="auto"/>
          <w:sz w:val="24"/>
          <w:szCs w:val="24"/>
          <w:shd w:val="clear" w:color="auto" w:fill="FFFFFF"/>
        </w:rPr>
        <w:t>Singaporean Journal of BuSineSS economicS, and management StudieS (SJBem)</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5</w:t>
      </w:r>
      <w:r>
        <w:rPr>
          <w:rFonts w:ascii="Times New Roman" w:hAnsi="Times New Roman" w:cs="Times New Roman"/>
          <w:color w:val="auto"/>
          <w:sz w:val="24"/>
          <w:szCs w:val="24"/>
          <w:shd w:val="clear" w:color="auto" w:fill="FFFFFF"/>
        </w:rPr>
        <w:t>(3).</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Ogrean, C. and Herciu, M., 2022. Sustainability Performance And Reporting–A Strategic Issue For Electric Car Automakers. </w:t>
      </w:r>
      <w:r>
        <w:rPr>
          <w:rFonts w:ascii="Times New Roman" w:hAnsi="Times New Roman" w:cs="Times New Roman"/>
          <w:i/>
          <w:iCs/>
          <w:color w:val="auto"/>
          <w:sz w:val="24"/>
          <w:szCs w:val="24"/>
          <w:shd w:val="clear" w:color="auto" w:fill="FFFFFF"/>
        </w:rPr>
        <w:t>Studies in Business and Economics</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17</w:t>
      </w:r>
      <w:r>
        <w:rPr>
          <w:rFonts w:ascii="Times New Roman" w:hAnsi="Times New Roman" w:cs="Times New Roman"/>
          <w:color w:val="auto"/>
          <w:sz w:val="24"/>
          <w:szCs w:val="24"/>
          <w:shd w:val="clear" w:color="auto" w:fill="FFFFFF"/>
        </w:rPr>
        <w:t>(3), pp.288-305.</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Ouyang, D., Zhou, S. and Ou, X., 2021. The total cost of electric vehicle ownership: A consumer-oriented study of China's post-subsidy era. </w:t>
      </w:r>
      <w:r>
        <w:rPr>
          <w:rFonts w:ascii="Times New Roman" w:hAnsi="Times New Roman" w:cs="Times New Roman"/>
          <w:i/>
          <w:iCs/>
          <w:color w:val="auto"/>
          <w:sz w:val="24"/>
          <w:szCs w:val="24"/>
          <w:shd w:val="clear" w:color="auto" w:fill="FFFFFF"/>
        </w:rPr>
        <w:t>Energy Policy</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149</w:t>
      </w:r>
      <w:r>
        <w:rPr>
          <w:rFonts w:ascii="Times New Roman" w:hAnsi="Times New Roman" w:cs="Times New Roman"/>
          <w:color w:val="auto"/>
          <w:sz w:val="24"/>
          <w:szCs w:val="24"/>
          <w:shd w:val="clear" w:color="auto" w:fill="FFFFFF"/>
        </w:rPr>
        <w:t>, p.112023.</w:t>
      </w:r>
    </w:p>
    <w:p>
      <w:pPr>
        <w:spacing w:after="0" w:line="480" w:lineRule="auto"/>
        <w:ind w:left="40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Rekha, D., 2017. Investigating Indian Car Buyers’ Decision to Use Digital Marketing Communication: An Empirical Application of Decomposed TPB. </w:t>
      </w:r>
      <w:r>
        <w:rPr>
          <w:rFonts w:ascii="Times New Roman" w:hAnsi="Times New Roman" w:cs="Times New Roman"/>
          <w:i/>
          <w:iCs/>
          <w:color w:val="auto"/>
          <w:sz w:val="24"/>
          <w:szCs w:val="24"/>
          <w:shd w:val="clear" w:color="auto" w:fill="FFFFFF"/>
        </w:rPr>
        <w:t>Vision</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21</w:t>
      </w:r>
      <w:r>
        <w:rPr>
          <w:rFonts w:ascii="Times New Roman" w:hAnsi="Times New Roman" w:cs="Times New Roman"/>
          <w:color w:val="auto"/>
          <w:sz w:val="24"/>
          <w:szCs w:val="24"/>
          <w:shd w:val="clear" w:color="auto" w:fill="FFFFFF"/>
        </w:rPr>
        <w:t>(4), pp.385-396. doi:10.1177/0972262917733175.</w:t>
      </w:r>
    </w:p>
    <w:p>
      <w:pPr>
        <w:pStyle w:val="2"/>
        <w:rPr>
          <w:rFonts w:ascii="Times New Roman" w:hAnsi="Times New Roman" w:cs="Times New Roman"/>
          <w:color w:val="auto"/>
          <w:sz w:val="24"/>
          <w:szCs w:val="24"/>
        </w:rPr>
      </w:pPr>
      <w:r>
        <w:rPr>
          <w:rFonts w:ascii="Times New Roman" w:hAnsi="Times New Roman" w:cs="Times New Roman"/>
          <w:color w:val="auto"/>
          <w:sz w:val="24"/>
          <w:szCs w:val="24"/>
        </w:rPr>
        <w:t>Serfontein, P., 2021. Share View: The index inclusion effect on Tesla. finweek, 2021(1), pp.23-23.</w:t>
      </w:r>
    </w:p>
    <w:p>
      <w:pPr>
        <w:spacing w:after="0" w:line="480" w:lineRule="auto"/>
        <w:ind w:left="40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Shafiee, M.M. and Shahin, A., 2021. How can green marketing lead to customer trust and green intention? Evidences from the automobile industry. </w:t>
      </w:r>
      <w:r>
        <w:rPr>
          <w:rFonts w:ascii="Times New Roman" w:hAnsi="Times New Roman" w:cs="Times New Roman"/>
          <w:i/>
          <w:iCs/>
          <w:color w:val="auto"/>
          <w:sz w:val="24"/>
          <w:szCs w:val="24"/>
          <w:shd w:val="clear" w:color="auto" w:fill="FFFFFF"/>
        </w:rPr>
        <w:t>International Journal of Business Excellence</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25</w:t>
      </w:r>
      <w:r>
        <w:rPr>
          <w:rFonts w:ascii="Times New Roman" w:hAnsi="Times New Roman" w:cs="Times New Roman"/>
          <w:color w:val="auto"/>
          <w:sz w:val="24"/>
          <w:szCs w:val="24"/>
          <w:shd w:val="clear" w:color="auto" w:fill="FFFFFF"/>
        </w:rPr>
        <w:t>(1), pp.97-109. doi:10.1504/ijbex.2020.10025827.</w:t>
      </w:r>
    </w:p>
    <w:p>
      <w:pPr>
        <w:spacing w:after="0" w:line="480" w:lineRule="auto"/>
        <w:ind w:left="400" w:hanging="418"/>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Statkevych, K. and Shapoval, A., 2020. Development of promotion hybrid technology policy of cars as an social-ethical marketing element. doi:10.31521/modecon.v19(2020)-04</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Stobbe Jr, J.J., 2019. A Strategic Audit of Tesla.</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Thomas, V.J. and Maine, E., 2019. Market entry strategies for electric vehicle start-ups in the automotive industry–Lessons from Tesla Motors. </w:t>
      </w:r>
      <w:r>
        <w:rPr>
          <w:rFonts w:ascii="Times New Roman" w:hAnsi="Times New Roman" w:cs="Times New Roman"/>
          <w:i/>
          <w:iCs/>
          <w:color w:val="auto"/>
          <w:sz w:val="24"/>
          <w:szCs w:val="24"/>
          <w:shd w:val="clear" w:color="auto" w:fill="FFFFFF"/>
        </w:rPr>
        <w:t>Journal of Cleaner Production</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235</w:t>
      </w:r>
      <w:r>
        <w:rPr>
          <w:rFonts w:ascii="Times New Roman" w:hAnsi="Times New Roman" w:cs="Times New Roman"/>
          <w:color w:val="auto"/>
          <w:sz w:val="24"/>
          <w:szCs w:val="24"/>
          <w:shd w:val="clear" w:color="auto" w:fill="FFFFFF"/>
        </w:rPr>
        <w:t>, pp.653-663.</w:t>
      </w:r>
    </w:p>
    <w:p>
      <w:pPr>
        <w:pStyle w:val="2"/>
        <w:rPr>
          <w:rFonts w:ascii="Times New Roman" w:hAnsi="Times New Roman" w:cs="Times New Roman"/>
          <w:color w:val="auto"/>
          <w:sz w:val="24"/>
          <w:szCs w:val="24"/>
        </w:rPr>
      </w:pPr>
      <w:r>
        <w:rPr>
          <w:rFonts w:ascii="Times New Roman" w:hAnsi="Times New Roman" w:cs="Times New Roman"/>
          <w:color w:val="auto"/>
          <w:sz w:val="24"/>
          <w:szCs w:val="24"/>
        </w:rPr>
        <w:t>Xinyi, L., Chen, Z. and Bai, C., 2022. Case Study Research in Tesla (China) Marketing Strategy Application During Covid-19.</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Xinyi, L., Chen, Z. and Bai, C., 2022. Case Study Research in Tesla (China) Marketing Strategy Application During Covid-19.</w:t>
      </w:r>
    </w:p>
    <w:p>
      <w:pPr>
        <w:pStyle w:val="2"/>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Yu, P., Zhang, J., Yang, D., Lin, X. and Xu, T., 2019. The evolution of China’s new energy vehicle industry from the perspective of a technology–market–policy framework. </w:t>
      </w:r>
      <w:r>
        <w:rPr>
          <w:rFonts w:ascii="Times New Roman" w:hAnsi="Times New Roman" w:cs="Times New Roman"/>
          <w:i/>
          <w:iCs/>
          <w:color w:val="auto"/>
          <w:sz w:val="24"/>
          <w:szCs w:val="24"/>
          <w:shd w:val="clear" w:color="auto" w:fill="FFFFFF"/>
        </w:rPr>
        <w:t>Sustainability</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11</w:t>
      </w:r>
      <w:r>
        <w:rPr>
          <w:rFonts w:ascii="Times New Roman" w:hAnsi="Times New Roman" w:cs="Times New Roman"/>
          <w:color w:val="auto"/>
          <w:sz w:val="24"/>
          <w:szCs w:val="24"/>
          <w:shd w:val="clear" w:color="auto" w:fill="FFFFFF"/>
        </w:rPr>
        <w:t>(6), p.1711.</w:t>
      </w:r>
    </w:p>
    <w:sectPr>
      <w:footerReference r:id="rId5"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9872991"/>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zk2Zjc0MGZlOTgyMTNjYzYwN2IxYjc1ZTdhYmFkM2MifQ=="/>
  </w:docVars>
  <w:rsids>
    <w:rsidRoot w:val="3FFBEFB4"/>
    <w:rsid w:val="00012835"/>
    <w:rsid w:val="00025DE8"/>
    <w:rsid w:val="00083993"/>
    <w:rsid w:val="00120837"/>
    <w:rsid w:val="001B231B"/>
    <w:rsid w:val="001C7F20"/>
    <w:rsid w:val="001E1E46"/>
    <w:rsid w:val="00236359"/>
    <w:rsid w:val="00236EEF"/>
    <w:rsid w:val="003B0804"/>
    <w:rsid w:val="00484FEB"/>
    <w:rsid w:val="004B2674"/>
    <w:rsid w:val="0054610F"/>
    <w:rsid w:val="00547CEE"/>
    <w:rsid w:val="0060161F"/>
    <w:rsid w:val="00697552"/>
    <w:rsid w:val="006A016F"/>
    <w:rsid w:val="006A5197"/>
    <w:rsid w:val="006B15AC"/>
    <w:rsid w:val="006C0615"/>
    <w:rsid w:val="007250F2"/>
    <w:rsid w:val="00727040"/>
    <w:rsid w:val="00731EB5"/>
    <w:rsid w:val="007E1A11"/>
    <w:rsid w:val="008E2917"/>
    <w:rsid w:val="00916DD9"/>
    <w:rsid w:val="00AA2686"/>
    <w:rsid w:val="00B35FB3"/>
    <w:rsid w:val="00B84D49"/>
    <w:rsid w:val="00B8508B"/>
    <w:rsid w:val="00BA1A9C"/>
    <w:rsid w:val="00BB6301"/>
    <w:rsid w:val="00BD54B3"/>
    <w:rsid w:val="00CC36E5"/>
    <w:rsid w:val="00CE5CE3"/>
    <w:rsid w:val="00D62040"/>
    <w:rsid w:val="00E22083"/>
    <w:rsid w:val="00E235F0"/>
    <w:rsid w:val="00E373C7"/>
    <w:rsid w:val="00FA2B88"/>
    <w:rsid w:val="00FF3955"/>
    <w:rsid w:val="093378E4"/>
    <w:rsid w:val="0B00617C"/>
    <w:rsid w:val="35F17908"/>
    <w:rsid w:val="3BF72793"/>
    <w:rsid w:val="3FFBEFB4"/>
    <w:rsid w:val="4FB4E1D0"/>
    <w:rsid w:val="6687DECD"/>
    <w:rsid w:val="6DDA6C12"/>
    <w:rsid w:val="6FEEA5D8"/>
    <w:rsid w:val="7BEDC52E"/>
    <w:rsid w:val="7C421863"/>
    <w:rsid w:val="7CFADAC3"/>
    <w:rsid w:val="7FBF1728"/>
    <w:rsid w:val="7FF612A4"/>
    <w:rsid w:val="D3FDFDC6"/>
    <w:rsid w:val="DFAFBAF7"/>
    <w:rsid w:val="EDB5B54F"/>
    <w:rsid w:val="EDDB4398"/>
    <w:rsid w:val="F5AFE92E"/>
    <w:rsid w:val="F9F980FE"/>
    <w:rsid w:val="FEFA5B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3">
    <w:name w:val="heading 1"/>
    <w:basedOn w:val="1"/>
    <w:next w:val="1"/>
    <w:qFormat/>
    <w:uiPriority w:val="0"/>
    <w:pPr>
      <w:keepNext/>
      <w:keepLines/>
      <w:spacing w:line="480" w:lineRule="auto"/>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line="480" w:lineRule="auto"/>
      <w:outlineLvl w:val="1"/>
    </w:pPr>
    <w:rPr>
      <w:rFonts w:ascii="Times New Roman" w:hAnsi="Times New Roman" w:eastAsia="Times New Roman"/>
      <w:b/>
      <w:sz w:val="28"/>
    </w:rPr>
  </w:style>
  <w:style w:type="paragraph" w:styleId="5">
    <w:name w:val="heading 3"/>
    <w:basedOn w:val="1"/>
    <w:next w:val="1"/>
    <w:link w:val="20"/>
    <w:unhideWhenUsed/>
    <w:qFormat/>
    <w:uiPriority w:val="0"/>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2">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pPr>
  </w:style>
  <w:style w:type="paragraph" w:styleId="6">
    <w:name w:val="footer"/>
    <w:basedOn w:val="1"/>
    <w:link w:val="17"/>
    <w:unhideWhenUsed/>
    <w:qFormat/>
    <w:uiPriority w:val="99"/>
    <w:pPr>
      <w:tabs>
        <w:tab w:val="center" w:pos="4153"/>
        <w:tab w:val="right" w:pos="8306"/>
      </w:tabs>
      <w:snapToGrid w:val="0"/>
    </w:pPr>
    <w:rPr>
      <w:sz w:val="18"/>
    </w:rPr>
  </w:style>
  <w:style w:type="paragraph" w:styleId="7">
    <w:name w:val="header"/>
    <w:basedOn w:val="1"/>
    <w:link w:val="16"/>
    <w:uiPriority w:val="0"/>
    <w:pPr>
      <w:tabs>
        <w:tab w:val="center" w:pos="4680"/>
        <w:tab w:val="right" w:pos="9360"/>
      </w:tabs>
      <w:spacing w:after="0" w:line="240" w:lineRule="auto"/>
    </w:pPr>
  </w:style>
  <w:style w:type="paragraph" w:styleId="8">
    <w:name w:val="toc 1"/>
    <w:basedOn w:val="1"/>
    <w:next w:val="1"/>
    <w:qFormat/>
    <w:uiPriority w:val="39"/>
    <w:pPr>
      <w:spacing w:after="100"/>
    </w:pPr>
  </w:style>
  <w:style w:type="paragraph" w:styleId="9">
    <w:name w:val="toc 2"/>
    <w:basedOn w:val="1"/>
    <w:next w:val="1"/>
    <w:uiPriority w:val="39"/>
    <w:pPr>
      <w:spacing w:after="100"/>
      <w:ind w:left="220"/>
    </w:pPr>
  </w:style>
  <w:style w:type="paragraph" w:styleId="10">
    <w:name w:val="Normal (Web)"/>
    <w:basedOn w:val="1"/>
    <w:semiHidden/>
    <w:unhideWhenUsed/>
    <w:qFormat/>
    <w:uiPriority w:val="99"/>
    <w:pPr>
      <w:spacing w:beforeAutospacing="1" w:after="0" w:afterAutospacing="1"/>
    </w:pPr>
    <w:rPr>
      <w:rFonts w:cs="Times New Roman"/>
      <w:sz w:val="24"/>
      <w:lang w:val="en-US" w:eastAsia="zh-CN"/>
    </w:rPr>
  </w:style>
  <w:style w:type="character" w:styleId="13">
    <w:name w:val="FollowedHyperlink"/>
    <w:basedOn w:val="12"/>
    <w:uiPriority w:val="0"/>
    <w:rPr>
      <w:color w:val="954F72" w:themeColor="followedHyperlink"/>
      <w:u w:val="single"/>
      <w14:textFill>
        <w14:solidFill>
          <w14:schemeClr w14:val="folHlink"/>
        </w14:solidFill>
      </w14:textFill>
    </w:rPr>
  </w:style>
  <w:style w:type="character" w:styleId="14">
    <w:name w:val="Hyperlink"/>
    <w:basedOn w:val="12"/>
    <w:unhideWhenUsed/>
    <w:uiPriority w:val="99"/>
    <w:rPr>
      <w:color w:val="0563C1" w:themeColor="hyperlink"/>
      <w:u w:val="single"/>
      <w14:textFill>
        <w14:solidFill>
          <w14:schemeClr w14:val="hlink"/>
        </w14:solidFill>
      </w14:textFill>
    </w:rPr>
  </w:style>
  <w:style w:type="paragraph" w:customStyle="1" w:styleId="15">
    <w:name w:val="WPSOffice手动目录 1"/>
    <w:qFormat/>
    <w:uiPriority w:val="0"/>
    <w:rPr>
      <w:rFonts w:asciiTheme="minorHAnsi" w:hAnsiTheme="minorHAnsi" w:eastAsiaTheme="minorEastAsia" w:cstheme="minorBidi"/>
      <w:lang w:val="en-US" w:eastAsia="en-US" w:bidi="ar-SA"/>
    </w:rPr>
  </w:style>
  <w:style w:type="character" w:customStyle="1" w:styleId="16">
    <w:name w:val="Header Char"/>
    <w:basedOn w:val="12"/>
    <w:link w:val="7"/>
    <w:uiPriority w:val="0"/>
    <w:rPr>
      <w:rFonts w:eastAsiaTheme="minorHAnsi"/>
      <w:sz w:val="22"/>
      <w:szCs w:val="22"/>
      <w:lang w:val="en-GB"/>
    </w:rPr>
  </w:style>
  <w:style w:type="character" w:customStyle="1" w:styleId="17">
    <w:name w:val="Footer Char"/>
    <w:basedOn w:val="12"/>
    <w:link w:val="6"/>
    <w:uiPriority w:val="99"/>
    <w:rPr>
      <w:rFonts w:eastAsiaTheme="minorHAnsi"/>
      <w:sz w:val="18"/>
      <w:szCs w:val="22"/>
      <w:lang w:val="en-GB"/>
    </w:rPr>
  </w:style>
  <w:style w:type="paragraph" w:customStyle="1" w:styleId="18">
    <w:name w:val="TOC Heading"/>
    <w:basedOn w:val="3"/>
    <w:next w:val="1"/>
    <w:unhideWhenUsed/>
    <w:qFormat/>
    <w:uiPriority w:val="39"/>
    <w:pPr>
      <w:spacing w:before="240" w:after="0" w:line="259" w:lineRule="auto"/>
      <w:outlineLvl w:val="9"/>
    </w:pPr>
    <w:rPr>
      <w:rFonts w:asciiTheme="majorHAnsi" w:hAnsiTheme="majorHAnsi" w:eastAsiaTheme="majorEastAsia" w:cstheme="majorBidi"/>
      <w:b w:val="0"/>
      <w:color w:val="2E75B6" w:themeColor="accent1" w:themeShade="BF"/>
      <w:kern w:val="0"/>
      <w:sz w:val="32"/>
      <w:szCs w:val="32"/>
      <w:lang w:val="en-US"/>
    </w:rPr>
  </w:style>
  <w:style w:type="character" w:customStyle="1" w:styleId="19">
    <w:name w:val="Unresolved Mention"/>
    <w:basedOn w:val="12"/>
    <w:semiHidden/>
    <w:unhideWhenUsed/>
    <w:uiPriority w:val="99"/>
    <w:rPr>
      <w:color w:val="605E5C"/>
      <w:shd w:val="clear" w:color="auto" w:fill="E1DFDD"/>
    </w:rPr>
  </w:style>
  <w:style w:type="character" w:customStyle="1" w:styleId="20">
    <w:name w:val="Heading 3 Char"/>
    <w:basedOn w:val="12"/>
    <w:link w:val="5"/>
    <w:uiPriority w:val="0"/>
    <w:rPr>
      <w:rFonts w:asciiTheme="majorHAnsi" w:hAnsiTheme="majorHAnsi" w:eastAsiaTheme="majorEastAsia" w:cstheme="majorBidi"/>
      <w:color w:val="1F4E79" w:themeColor="accent1" w:themeShade="80"/>
      <w:sz w:val="24"/>
      <w:szCs w:val="24"/>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50E51-87C4-42B9-9088-C0004F2C38CE}">
  <ds:schemaRefs/>
</ds:datastoreItem>
</file>

<file path=docProps/app.xml><?xml version="1.0" encoding="utf-8"?>
<Properties xmlns="http://schemas.openxmlformats.org/officeDocument/2006/extended-properties" xmlns:vt="http://schemas.openxmlformats.org/officeDocument/2006/docPropsVTypes">
  <Template>Normal</Template>
  <Pages>19</Pages>
  <Words>3683</Words>
  <Characters>20689</Characters>
  <Lines>181</Lines>
  <Paragraphs>51</Paragraphs>
  <TotalTime>32</TotalTime>
  <ScaleCrop>false</ScaleCrop>
  <LinksUpToDate>false</LinksUpToDate>
  <CharactersWithSpaces>24319</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2023-02-14T10:30:00Z</dcterms:created>
  <dc:creator>CIB</dc:creator>
  <cp:lastModifiedBy>CIB</cp:lastModifiedBy>
  <dcterms:modified xsi:type="dcterms:W3CDTF">2023-04-24T03:30:24Z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5C7CC49EBEC34A98BF64A237E7B7841C_13</vt:lpwstr>
  </property>
</Properties>
</file>