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6A727" w14:textId="77777777" w:rsidR="0088456C" w:rsidRDefault="0088456C"/>
    <w:p w14:paraId="36880EC4" w14:textId="77777777" w:rsidR="003D02A9" w:rsidRDefault="003D02A9"/>
    <w:p w14:paraId="7143BED7" w14:textId="77777777" w:rsidR="003D02A9" w:rsidRDefault="003D02A9"/>
    <w:p w14:paraId="62D67F42" w14:textId="77777777" w:rsidR="003D02A9" w:rsidRDefault="003D02A9"/>
    <w:p w14:paraId="0A6FDAAD" w14:textId="77777777" w:rsidR="003D02A9" w:rsidRDefault="003D02A9"/>
    <w:p w14:paraId="2F7546AC" w14:textId="77777777" w:rsidR="003D02A9" w:rsidRPr="00BA08D8" w:rsidRDefault="003D02A9" w:rsidP="003D02A9">
      <w:pPr>
        <w:rPr>
          <w:rFonts w:ascii="Arial" w:hAnsi="Arial" w:cs="Arial"/>
          <w:b/>
          <w:bCs/>
          <w:sz w:val="28"/>
          <w:szCs w:val="28"/>
          <w:u w:val="single"/>
        </w:rPr>
      </w:pPr>
    </w:p>
    <w:p w14:paraId="412506FB" w14:textId="7E5E0E19" w:rsidR="003D02A9" w:rsidRPr="00BA08D8" w:rsidRDefault="003D02A9" w:rsidP="003D02A9">
      <w:pPr>
        <w:jc w:val="center"/>
        <w:rPr>
          <w:rFonts w:ascii="Arial" w:hAnsi="Arial" w:cs="Arial"/>
          <w:b/>
          <w:bCs/>
          <w:u w:val="single"/>
        </w:rPr>
      </w:pPr>
      <w:r w:rsidRPr="00BA08D8">
        <w:rPr>
          <w:rFonts w:ascii="Arial" w:hAnsi="Arial" w:cs="Arial"/>
          <w:b/>
          <w:bCs/>
          <w:sz w:val="28"/>
          <w:szCs w:val="28"/>
          <w:u w:val="single"/>
        </w:rPr>
        <w:t>Doctorate in Education</w:t>
      </w:r>
    </w:p>
    <w:p w14:paraId="4489A480" w14:textId="77777777" w:rsidR="003D02A9" w:rsidRPr="00BA08D8" w:rsidRDefault="003D02A9" w:rsidP="003D02A9">
      <w:pPr>
        <w:jc w:val="center"/>
        <w:rPr>
          <w:rFonts w:ascii="Arial" w:hAnsi="Arial" w:cs="Arial"/>
        </w:rPr>
      </w:pPr>
    </w:p>
    <w:p w14:paraId="6F7889C1" w14:textId="0F540055" w:rsidR="003D02A9" w:rsidRPr="00BA08D8" w:rsidRDefault="003D02A9" w:rsidP="003D02A9">
      <w:pPr>
        <w:jc w:val="center"/>
        <w:rPr>
          <w:rFonts w:ascii="Arial" w:hAnsi="Arial" w:cs="Arial"/>
        </w:rPr>
      </w:pPr>
      <w:r w:rsidRPr="00BA08D8">
        <w:rPr>
          <w:rFonts w:ascii="Arial" w:hAnsi="Arial" w:cs="Arial"/>
        </w:rPr>
        <w:t>Journal</w:t>
      </w:r>
      <w:r w:rsidR="0077323C" w:rsidRPr="00BA08D8">
        <w:rPr>
          <w:rFonts w:ascii="Arial" w:hAnsi="Arial" w:cs="Arial"/>
        </w:rPr>
        <w:t>: Employability Policy and Post-Release Support</w:t>
      </w:r>
      <w:r w:rsidR="00FC7308">
        <w:rPr>
          <w:rFonts w:ascii="Arial" w:hAnsi="Arial" w:cs="Arial"/>
        </w:rPr>
        <w:t xml:space="preserve"> for Male Prisoners in Wales</w:t>
      </w:r>
    </w:p>
    <w:p w14:paraId="7E49A759" w14:textId="77777777" w:rsidR="003D02A9" w:rsidRPr="00BA08D8" w:rsidRDefault="003D02A9" w:rsidP="003D02A9">
      <w:pPr>
        <w:jc w:val="center"/>
        <w:rPr>
          <w:rFonts w:ascii="Arial" w:hAnsi="Arial" w:cs="Arial"/>
        </w:rPr>
      </w:pPr>
      <w:r w:rsidRPr="00BA08D8">
        <w:rPr>
          <w:rFonts w:ascii="Arial" w:hAnsi="Arial" w:cs="Arial"/>
        </w:rPr>
        <w:t>Module: ECDE7015</w:t>
      </w:r>
    </w:p>
    <w:p w14:paraId="6AA5F372" w14:textId="77777777" w:rsidR="003D02A9" w:rsidRPr="00BA08D8" w:rsidRDefault="003D02A9" w:rsidP="003D02A9">
      <w:pPr>
        <w:jc w:val="center"/>
        <w:rPr>
          <w:rFonts w:ascii="Arial" w:hAnsi="Arial" w:cs="Arial"/>
        </w:rPr>
      </w:pPr>
      <w:r w:rsidRPr="00BA08D8">
        <w:rPr>
          <w:rFonts w:ascii="Arial" w:hAnsi="Arial" w:cs="Arial"/>
        </w:rPr>
        <w:t>Jemma Smith</w:t>
      </w:r>
    </w:p>
    <w:p w14:paraId="7B794ED4" w14:textId="77777777" w:rsidR="003D02A9" w:rsidRPr="00BA08D8" w:rsidRDefault="003D02A9" w:rsidP="003D02A9">
      <w:pPr>
        <w:jc w:val="center"/>
        <w:rPr>
          <w:rFonts w:ascii="Arial" w:hAnsi="Arial" w:cs="Arial"/>
        </w:rPr>
      </w:pPr>
      <w:r w:rsidRPr="00BA08D8">
        <w:rPr>
          <w:rFonts w:ascii="Arial" w:hAnsi="Arial" w:cs="Arial"/>
        </w:rPr>
        <w:t>Student ID: 2516408</w:t>
      </w:r>
    </w:p>
    <w:p w14:paraId="77D202DD" w14:textId="794FDDD3" w:rsidR="003D02A9" w:rsidRPr="00BA08D8" w:rsidRDefault="003D02A9" w:rsidP="003D02A9">
      <w:pPr>
        <w:jc w:val="center"/>
        <w:rPr>
          <w:rFonts w:ascii="Arial" w:hAnsi="Arial" w:cs="Arial"/>
        </w:rPr>
      </w:pPr>
      <w:r w:rsidRPr="00BA08D8">
        <w:rPr>
          <w:rFonts w:ascii="Arial" w:hAnsi="Arial" w:cs="Arial"/>
        </w:rPr>
        <w:t>Lecturer: Dr Gareth Evans</w:t>
      </w:r>
    </w:p>
    <w:p w14:paraId="00D63C90" w14:textId="77777777" w:rsidR="0077323C" w:rsidRPr="00BA08D8" w:rsidRDefault="0077323C" w:rsidP="003D02A9">
      <w:pPr>
        <w:jc w:val="center"/>
        <w:rPr>
          <w:rFonts w:ascii="Arial" w:hAnsi="Arial" w:cs="Arial"/>
        </w:rPr>
      </w:pPr>
    </w:p>
    <w:p w14:paraId="2093819F" w14:textId="77777777" w:rsidR="0077323C" w:rsidRPr="00BA08D8" w:rsidRDefault="0077323C" w:rsidP="003D02A9">
      <w:pPr>
        <w:jc w:val="center"/>
        <w:rPr>
          <w:rFonts w:ascii="Arial" w:hAnsi="Arial" w:cs="Arial"/>
        </w:rPr>
      </w:pPr>
    </w:p>
    <w:p w14:paraId="21351300" w14:textId="77777777" w:rsidR="0077323C" w:rsidRPr="00BA08D8" w:rsidRDefault="0077323C" w:rsidP="003D02A9">
      <w:pPr>
        <w:jc w:val="center"/>
        <w:rPr>
          <w:rFonts w:ascii="Arial" w:hAnsi="Arial" w:cs="Arial"/>
        </w:rPr>
      </w:pPr>
    </w:p>
    <w:p w14:paraId="428AAEC4" w14:textId="77777777" w:rsidR="0077323C" w:rsidRPr="00BA08D8" w:rsidRDefault="0077323C" w:rsidP="003D02A9">
      <w:pPr>
        <w:jc w:val="center"/>
        <w:rPr>
          <w:rFonts w:ascii="Arial" w:hAnsi="Arial" w:cs="Arial"/>
        </w:rPr>
      </w:pPr>
    </w:p>
    <w:p w14:paraId="2F8A5DCF" w14:textId="77777777" w:rsidR="0077323C" w:rsidRPr="00BA08D8" w:rsidRDefault="0077323C" w:rsidP="003D02A9">
      <w:pPr>
        <w:jc w:val="center"/>
        <w:rPr>
          <w:rFonts w:ascii="Arial" w:hAnsi="Arial" w:cs="Arial"/>
        </w:rPr>
      </w:pPr>
    </w:p>
    <w:p w14:paraId="59BDA0CE" w14:textId="77777777" w:rsidR="0077323C" w:rsidRPr="00BA08D8" w:rsidRDefault="0077323C" w:rsidP="003D02A9">
      <w:pPr>
        <w:jc w:val="center"/>
        <w:rPr>
          <w:rFonts w:ascii="Arial" w:hAnsi="Arial" w:cs="Arial"/>
        </w:rPr>
      </w:pPr>
    </w:p>
    <w:p w14:paraId="4D9D2809" w14:textId="77777777" w:rsidR="0077323C" w:rsidRPr="00BA08D8" w:rsidRDefault="0077323C" w:rsidP="003D02A9">
      <w:pPr>
        <w:jc w:val="center"/>
        <w:rPr>
          <w:rFonts w:ascii="Arial" w:hAnsi="Arial" w:cs="Arial"/>
        </w:rPr>
      </w:pPr>
    </w:p>
    <w:p w14:paraId="5978B5B0" w14:textId="77777777" w:rsidR="0077323C" w:rsidRPr="00BA08D8" w:rsidRDefault="0077323C" w:rsidP="003D02A9">
      <w:pPr>
        <w:jc w:val="center"/>
        <w:rPr>
          <w:rFonts w:ascii="Arial" w:hAnsi="Arial" w:cs="Arial"/>
        </w:rPr>
      </w:pPr>
    </w:p>
    <w:p w14:paraId="354CDEB0" w14:textId="77777777" w:rsidR="0077323C" w:rsidRPr="00BA08D8" w:rsidRDefault="0077323C" w:rsidP="003D02A9">
      <w:pPr>
        <w:jc w:val="center"/>
        <w:rPr>
          <w:rFonts w:ascii="Arial" w:hAnsi="Arial" w:cs="Arial"/>
        </w:rPr>
      </w:pPr>
    </w:p>
    <w:p w14:paraId="0420FDFD" w14:textId="77777777" w:rsidR="0077323C" w:rsidRPr="00BA08D8" w:rsidRDefault="0077323C" w:rsidP="003D02A9">
      <w:pPr>
        <w:jc w:val="center"/>
        <w:rPr>
          <w:rFonts w:ascii="Arial" w:hAnsi="Arial" w:cs="Arial"/>
        </w:rPr>
      </w:pPr>
    </w:p>
    <w:p w14:paraId="5C1D4E65" w14:textId="77777777" w:rsidR="0077323C" w:rsidRPr="00BA08D8" w:rsidRDefault="0077323C" w:rsidP="003D02A9">
      <w:pPr>
        <w:jc w:val="center"/>
        <w:rPr>
          <w:rFonts w:ascii="Arial" w:hAnsi="Arial" w:cs="Arial"/>
        </w:rPr>
      </w:pPr>
    </w:p>
    <w:p w14:paraId="374F1BB6" w14:textId="77777777" w:rsidR="00DD2416" w:rsidRPr="00BA08D8" w:rsidRDefault="00DD2416" w:rsidP="003D02A9">
      <w:pPr>
        <w:jc w:val="center"/>
        <w:rPr>
          <w:rFonts w:ascii="Arial" w:hAnsi="Arial" w:cs="Arial"/>
        </w:rPr>
      </w:pPr>
    </w:p>
    <w:p w14:paraId="189A2C56" w14:textId="77777777" w:rsidR="00BA08D8" w:rsidRDefault="00BA08D8" w:rsidP="00BA08D8">
      <w:pPr>
        <w:rPr>
          <w:rFonts w:ascii="Arial" w:hAnsi="Arial" w:cs="Arial"/>
          <w:b/>
          <w:bCs/>
        </w:rPr>
      </w:pPr>
    </w:p>
    <w:p w14:paraId="3ADB2501" w14:textId="77777777" w:rsidR="00BA08D8" w:rsidRDefault="00BA08D8" w:rsidP="00BA08D8">
      <w:pPr>
        <w:rPr>
          <w:rFonts w:ascii="Arial" w:hAnsi="Arial" w:cs="Arial"/>
          <w:b/>
          <w:bCs/>
        </w:rPr>
      </w:pPr>
    </w:p>
    <w:p w14:paraId="755A4A26" w14:textId="77777777" w:rsidR="00BA08D8" w:rsidRDefault="00BA08D8" w:rsidP="00BA08D8">
      <w:pPr>
        <w:rPr>
          <w:rFonts w:ascii="Arial" w:hAnsi="Arial" w:cs="Arial"/>
          <w:b/>
          <w:bCs/>
        </w:rPr>
      </w:pPr>
    </w:p>
    <w:p w14:paraId="16CBD8DE" w14:textId="77777777" w:rsidR="00603BFC" w:rsidRDefault="00603BFC" w:rsidP="000B7281">
      <w:pPr>
        <w:rPr>
          <w:rFonts w:ascii="Arial" w:hAnsi="Arial" w:cs="Arial"/>
          <w:b/>
          <w:bCs/>
        </w:rPr>
      </w:pPr>
    </w:p>
    <w:p w14:paraId="18489052" w14:textId="7B6DC13C" w:rsidR="000B7281" w:rsidRPr="00750457" w:rsidRDefault="000B7281" w:rsidP="000B7281">
      <w:pPr>
        <w:rPr>
          <w:rFonts w:ascii="Arial" w:hAnsi="Arial" w:cs="Arial"/>
          <w:b/>
          <w:bCs/>
        </w:rPr>
      </w:pPr>
      <w:r w:rsidRPr="00750457">
        <w:rPr>
          <w:rFonts w:ascii="Arial" w:hAnsi="Arial" w:cs="Arial"/>
          <w:b/>
          <w:bCs/>
        </w:rPr>
        <w:lastRenderedPageBreak/>
        <w:t xml:space="preserve">Abstract </w:t>
      </w:r>
    </w:p>
    <w:p w14:paraId="58630102" w14:textId="5BAE9A0A" w:rsidR="00647C96" w:rsidRPr="00750457" w:rsidRDefault="002922CC" w:rsidP="00422D7C">
      <w:pPr>
        <w:rPr>
          <w:rFonts w:ascii="Arial" w:hAnsi="Arial" w:cs="Arial"/>
        </w:rPr>
      </w:pPr>
      <w:r w:rsidRPr="00750457">
        <w:rPr>
          <w:rFonts w:ascii="Arial" w:hAnsi="Arial" w:cs="Arial"/>
        </w:rPr>
        <w:t>This article examines employability policy and post-release support for male prisoners in Wales, focusing on the alignment between prison-based education, skills development and resettlement services in supporting sustainable employment. Drawing on documentary policy analysis and a synthesis of research, inspection and evaluation evidence, the paper situates employability within the Welsh governance context, where education and health are devolved, while criminal justice remains largely non-devolved. Recent Welsh policy has emphasised strengthening prison learning and skills provision and improving pathways into work through careers guidance and employer engagement. However, evidence highlights persistent challenges, including disrupted learning caused by regime constraints, limited digital access, weak continuity of support through the gate, employer stigma and uneven regional labour market conditions. Inspection findings also identify gaps in purposeful activity and inconsistent coordination between custody-based provision and community services. The article concludes that improved outcomes depend on integrated, person-centred pathways combining trauma-informed education, coordinated multi-agency resettlement and sustained employer and community support</w:t>
      </w:r>
    </w:p>
    <w:p w14:paraId="3BBF27F1" w14:textId="6517FAA0" w:rsidR="00422D7C" w:rsidRPr="00750457" w:rsidRDefault="00422D7C" w:rsidP="00422D7C">
      <w:pPr>
        <w:rPr>
          <w:rFonts w:ascii="Arial" w:hAnsi="Arial" w:cs="Arial"/>
        </w:rPr>
      </w:pPr>
    </w:p>
    <w:p w14:paraId="2F6C2DC8" w14:textId="77777777" w:rsidR="00422D7C" w:rsidRPr="00750457" w:rsidRDefault="00422D7C" w:rsidP="00422D7C">
      <w:pPr>
        <w:rPr>
          <w:rFonts w:ascii="Arial" w:hAnsi="Arial" w:cs="Arial"/>
          <w:b/>
          <w:bCs/>
        </w:rPr>
      </w:pPr>
      <w:r w:rsidRPr="00750457">
        <w:rPr>
          <w:rFonts w:ascii="Arial" w:hAnsi="Arial" w:cs="Arial"/>
          <w:b/>
          <w:bCs/>
        </w:rPr>
        <w:t>1. Introduction</w:t>
      </w:r>
    </w:p>
    <w:p w14:paraId="64251457" w14:textId="67B1E7F8" w:rsidR="00422D7C" w:rsidRPr="00750457" w:rsidRDefault="00422D7C" w:rsidP="00422D7C">
      <w:pPr>
        <w:rPr>
          <w:rFonts w:ascii="Arial" w:hAnsi="Arial" w:cs="Arial"/>
        </w:rPr>
      </w:pPr>
      <w:r w:rsidRPr="00750457">
        <w:rPr>
          <w:rFonts w:ascii="Arial" w:hAnsi="Arial" w:cs="Arial"/>
        </w:rPr>
        <w:t xml:space="preserve">Employment is repeatedly positioned as a cornerstone of rehabilitation and a protective factor against reoffending. For men leaving prison, paid work can provide </w:t>
      </w:r>
      <w:r w:rsidR="00927621" w:rsidRPr="00750457">
        <w:rPr>
          <w:rFonts w:ascii="Arial" w:hAnsi="Arial" w:cs="Arial"/>
        </w:rPr>
        <w:t>a legitimate income, a routine, prosocial</w:t>
      </w:r>
      <w:r w:rsidRPr="00750457">
        <w:rPr>
          <w:rFonts w:ascii="Arial" w:hAnsi="Arial" w:cs="Arial"/>
        </w:rPr>
        <w:t xml:space="preserve"> networks, and a sense of identity and purpose that supports desistance (McNeill, 2012; Maruna, 2001). Yet securing and sustaining employment after release remains difficult, particularly for individuals with histories of disrupted education, poor health, substance dependence, and insecure housing (Visher and Travis, 2003; Western, 2018</w:t>
      </w:r>
      <w:r w:rsidR="00DF2AE0">
        <w:rPr>
          <w:rFonts w:ascii="Arial" w:hAnsi="Arial" w:cs="Arial"/>
        </w:rPr>
        <w:t>; Welsh Government, 2015</w:t>
      </w:r>
      <w:r w:rsidRPr="00750457">
        <w:rPr>
          <w:rFonts w:ascii="Arial" w:hAnsi="Arial" w:cs="Arial"/>
        </w:rPr>
        <w:t xml:space="preserve">). These challenges are acute for male prisoners, who constitute </w:t>
      </w:r>
      <w:r w:rsidR="00B54AB3" w:rsidRPr="00750457">
        <w:rPr>
          <w:rFonts w:ascii="Arial" w:hAnsi="Arial" w:cs="Arial"/>
        </w:rPr>
        <w:t>much of</w:t>
      </w:r>
      <w:r w:rsidRPr="00750457">
        <w:rPr>
          <w:rFonts w:ascii="Arial" w:hAnsi="Arial" w:cs="Arial"/>
        </w:rPr>
        <w:t xml:space="preserve"> the custodial population and who are disproportionately likely to have experienced labour market exclusion </w:t>
      </w:r>
      <w:r w:rsidR="00CF16E7" w:rsidRPr="00750457">
        <w:rPr>
          <w:rFonts w:ascii="Arial" w:hAnsi="Arial" w:cs="Arial"/>
        </w:rPr>
        <w:t>before</w:t>
      </w:r>
      <w:r w:rsidRPr="00750457">
        <w:rPr>
          <w:rFonts w:ascii="Arial" w:hAnsi="Arial" w:cs="Arial"/>
        </w:rPr>
        <w:t xml:space="preserve"> imprisonment.</w:t>
      </w:r>
    </w:p>
    <w:p w14:paraId="7D8A40C4" w14:textId="77777777" w:rsidR="00422D7C" w:rsidRPr="00750457" w:rsidRDefault="00422D7C" w:rsidP="00422D7C">
      <w:pPr>
        <w:rPr>
          <w:rFonts w:ascii="Arial" w:hAnsi="Arial" w:cs="Arial"/>
        </w:rPr>
      </w:pPr>
      <w:r w:rsidRPr="00750457">
        <w:rPr>
          <w:rFonts w:ascii="Arial" w:hAnsi="Arial" w:cs="Arial"/>
        </w:rPr>
        <w:t>The Welsh context is distinctive. Wales shares the England and Wales legal jurisdiction; prisons and most criminal justice levers remain controlled by the UK Government. However, many of the conditions that shape employability—education and skills, health services, housing and some aspects of social welfare delivery—are devolved. As a result, “employability policy” for prison leavers in Wales operates across overlapping systems, institutional cultures and accountability lines. Recent Welsh Government initiatives have explicitly addressed prison learning and skills provision (Welsh Government, 2024a; Welsh Government, 2024b), alongside employability services intended to support people furthest from the labour market. In parallel, HMPPS policy in Wales emphasises reducing reoffending through improvements in accommodation, employment support and treatment (HMPPS,</w:t>
      </w:r>
      <w:r w:rsidRPr="00854217">
        <w:rPr>
          <w:rFonts w:ascii="Arial" w:hAnsi="Arial" w:cs="Arial"/>
        </w:rPr>
        <w:t xml:space="preserve"> </w:t>
      </w:r>
      <w:r w:rsidRPr="00750457">
        <w:rPr>
          <w:rFonts w:ascii="Arial" w:hAnsi="Arial" w:cs="Arial"/>
        </w:rPr>
        <w:lastRenderedPageBreak/>
        <w:t>2022). Evaluations of Welsh provision have also begun to document what is working—and where gaps persist—particularly in the link between custody-based support and community-based services (Welsh Government, 2025).</w:t>
      </w:r>
    </w:p>
    <w:p w14:paraId="5081198A" w14:textId="77777777" w:rsidR="00AC4895" w:rsidRPr="00750457" w:rsidRDefault="00AC4895" w:rsidP="00422D7C">
      <w:pPr>
        <w:rPr>
          <w:rFonts w:ascii="Arial" w:hAnsi="Arial" w:cs="Arial"/>
        </w:rPr>
      </w:pPr>
      <w:r w:rsidRPr="00750457">
        <w:rPr>
          <w:rFonts w:ascii="Arial" w:hAnsi="Arial" w:cs="Arial"/>
        </w:rPr>
        <w:t>This article offers an education-centred analysis of employability policy and post-release support for male prisoners in Wales. It contends that: (a) education and skills provision should be understood as an integral component of a broader resettlement system rather than a stand-alone intervention; (b) the interface between devolved and non-devolved responsibilities presents both opportunities for more coherent, whole-system provision and risks of policy fragmentation; and (c) post-release employability outcomes are shaped less by short-term notions of “job readiness” than by sustained, coordinated support that tackles structural barriers and supports identity transformation in line with desistance processes.</w:t>
      </w:r>
    </w:p>
    <w:p w14:paraId="27727E6D" w14:textId="6D47B7C0" w:rsidR="00422D7C" w:rsidRPr="00750457" w:rsidRDefault="00422D7C" w:rsidP="00422D7C">
      <w:pPr>
        <w:rPr>
          <w:rFonts w:ascii="Arial" w:hAnsi="Arial" w:cs="Arial"/>
        </w:rPr>
      </w:pPr>
      <w:r w:rsidRPr="00750457">
        <w:rPr>
          <w:rFonts w:ascii="Arial" w:hAnsi="Arial" w:cs="Arial"/>
        </w:rPr>
        <w:t xml:space="preserve">The discussion is structured as follows. Section 2 outlines the policy and governance landscape shaping prison education and post-release support in Wales. Section 3 summarises the evidence </w:t>
      </w:r>
      <w:r w:rsidR="00900B99" w:rsidRPr="00750457">
        <w:rPr>
          <w:rFonts w:ascii="Arial" w:hAnsi="Arial" w:cs="Arial"/>
        </w:rPr>
        <w:t>based</w:t>
      </w:r>
      <w:r w:rsidRPr="00750457">
        <w:rPr>
          <w:rFonts w:ascii="Arial" w:hAnsi="Arial" w:cs="Arial"/>
        </w:rPr>
        <w:t xml:space="preserve"> on employment, prison education and desistance with a particular focus on men. Section 4 sets out the approach take</w:t>
      </w:r>
      <w:r w:rsidR="009A537B" w:rsidRPr="00750457">
        <w:rPr>
          <w:rFonts w:ascii="Arial" w:hAnsi="Arial" w:cs="Arial"/>
        </w:rPr>
        <w:t>n</w:t>
      </w:r>
      <w:r w:rsidRPr="00750457">
        <w:rPr>
          <w:rFonts w:ascii="Arial" w:hAnsi="Arial" w:cs="Arial"/>
        </w:rPr>
        <w:t>. Sections 5</w:t>
      </w:r>
      <w:r w:rsidR="00854217" w:rsidRPr="00750457">
        <w:rPr>
          <w:rFonts w:ascii="Arial" w:hAnsi="Arial" w:cs="Arial"/>
        </w:rPr>
        <w:t xml:space="preserve"> and 6</w:t>
      </w:r>
      <w:r w:rsidRPr="00750457">
        <w:rPr>
          <w:rFonts w:ascii="Arial" w:hAnsi="Arial" w:cs="Arial"/>
        </w:rPr>
        <w:t xml:space="preserve"> analyse key themes: prison learning and skills provision; employer engagement and labour market alignment; and through-the-gate and community resettlement support. Section </w:t>
      </w:r>
      <w:r w:rsidR="00854217" w:rsidRPr="00750457">
        <w:rPr>
          <w:rFonts w:ascii="Arial" w:hAnsi="Arial" w:cs="Arial"/>
        </w:rPr>
        <w:t>7</w:t>
      </w:r>
      <w:r w:rsidRPr="00750457">
        <w:rPr>
          <w:rFonts w:ascii="Arial" w:hAnsi="Arial" w:cs="Arial"/>
        </w:rPr>
        <w:t xml:space="preserve"> proposes implications for education policy and practice. The paper concludes by identifying priorities for research and system improvement.</w:t>
      </w:r>
    </w:p>
    <w:p w14:paraId="6E68F55C" w14:textId="1CDD8A38" w:rsidR="00422D7C" w:rsidRPr="00750457" w:rsidRDefault="00422D7C" w:rsidP="00422D7C">
      <w:pPr>
        <w:rPr>
          <w:rFonts w:ascii="Arial" w:hAnsi="Arial" w:cs="Arial"/>
        </w:rPr>
      </w:pPr>
    </w:p>
    <w:p w14:paraId="4B99BB7D" w14:textId="77777777" w:rsidR="00422D7C" w:rsidRPr="00750457" w:rsidRDefault="00422D7C" w:rsidP="00422D7C">
      <w:pPr>
        <w:rPr>
          <w:rFonts w:ascii="Arial" w:hAnsi="Arial" w:cs="Arial"/>
          <w:b/>
          <w:bCs/>
        </w:rPr>
      </w:pPr>
      <w:r w:rsidRPr="00750457">
        <w:rPr>
          <w:rFonts w:ascii="Arial" w:hAnsi="Arial" w:cs="Arial"/>
          <w:b/>
          <w:bCs/>
        </w:rPr>
        <w:t>2. Policy and governance landscape in Wales</w:t>
      </w:r>
    </w:p>
    <w:p w14:paraId="06001676" w14:textId="77777777" w:rsidR="00422D7C" w:rsidRPr="00750457" w:rsidRDefault="00422D7C" w:rsidP="00422D7C">
      <w:pPr>
        <w:rPr>
          <w:rFonts w:ascii="Arial" w:hAnsi="Arial" w:cs="Arial"/>
        </w:rPr>
      </w:pPr>
      <w:r w:rsidRPr="00750457">
        <w:rPr>
          <w:rFonts w:ascii="Arial" w:hAnsi="Arial" w:cs="Arial"/>
        </w:rPr>
        <w:t>Wales does not have devolved responsibility for prisons, probation law, or sentencing. Nonetheless, Welsh public services play a crucial role in the rehabilitation of people in custody and on release, because devolved services determine access to healthcare, mental health treatment, substance misuse services, education and skills support, and housing—each of which strongly conditions employability (Welsh Government and HMPPS, 2025). The practical consequence is a “shared” resettlement system: prisons are managed through HMPPS, while many resettlement needs are met through Welsh services and local partnerships.</w:t>
      </w:r>
    </w:p>
    <w:p w14:paraId="4C6A51A8" w14:textId="77777777" w:rsidR="00422D7C" w:rsidRPr="00750457" w:rsidRDefault="00422D7C" w:rsidP="00422D7C">
      <w:pPr>
        <w:rPr>
          <w:rFonts w:ascii="Arial" w:hAnsi="Arial" w:cs="Arial"/>
        </w:rPr>
      </w:pPr>
      <w:r w:rsidRPr="00750457">
        <w:rPr>
          <w:rFonts w:ascii="Arial" w:hAnsi="Arial" w:cs="Arial"/>
        </w:rPr>
        <w:t>Policy efforts to manage this interface have included joint planning and governance arrangements and formal agreements intended to coordinate priorities across agencies (Welsh Government and HMPPS, 2025). In principle, this structure allows for integrated support pathways. In practice, it can generate discontinuity: a prisoner may complete learning or training under one commissioning structure and then face different eligibility rules, service thresholds and waiting lists after release.</w:t>
      </w:r>
    </w:p>
    <w:p w14:paraId="0A3A1767" w14:textId="77777777" w:rsidR="00422D7C" w:rsidRPr="00750457" w:rsidRDefault="00422D7C" w:rsidP="00422D7C">
      <w:pPr>
        <w:rPr>
          <w:rFonts w:ascii="Arial" w:hAnsi="Arial" w:cs="Arial"/>
        </w:rPr>
      </w:pPr>
      <w:r w:rsidRPr="00750457">
        <w:rPr>
          <w:rFonts w:ascii="Arial" w:hAnsi="Arial" w:cs="Arial"/>
        </w:rPr>
        <w:t xml:space="preserve">Welsh Government has articulated prison learning and skills as a distinct policy area. Better Learning, Better Chances: prison learning and skills provision in Wales sets </w:t>
      </w:r>
      <w:r w:rsidRPr="00750457">
        <w:rPr>
          <w:rFonts w:ascii="Arial" w:hAnsi="Arial" w:cs="Arial"/>
        </w:rPr>
        <w:lastRenderedPageBreak/>
        <w:t>out an approach intended to “inspire and engage” learners in custody and support readiness for employment and independence (Welsh Government, 2024b). The related policy statement also stresses the relationship between learning, employment and reduced reoffending (Welsh Government, 2024a). These documents are notable for placing learning and skills within a broader social inclusion narrative, consistent with wider Welsh policy framing that emphasises well-being, prevention and collaboration across public bodies (Welsh Government, 2015).</w:t>
      </w:r>
    </w:p>
    <w:p w14:paraId="71A07593" w14:textId="77777777" w:rsidR="00422D7C" w:rsidRPr="00750457" w:rsidRDefault="00422D7C" w:rsidP="00422D7C">
      <w:pPr>
        <w:rPr>
          <w:rFonts w:ascii="Arial" w:hAnsi="Arial" w:cs="Arial"/>
        </w:rPr>
      </w:pPr>
      <w:r w:rsidRPr="00750457">
        <w:rPr>
          <w:rFonts w:ascii="Arial" w:hAnsi="Arial" w:cs="Arial"/>
        </w:rPr>
        <w:t>At the system level, Welsh policy has sought to embed employability support for people facing multiple disadvantages. Although not exclusively designed for prison leavers, employability services can be adapted to meet the needs of those in custody and on release, especially when aligned with careers support and skills pathways (Welsh Government, 2025).</w:t>
      </w:r>
    </w:p>
    <w:p w14:paraId="32042BDC" w14:textId="77777777" w:rsidR="004921DB" w:rsidRPr="00750457" w:rsidRDefault="004921DB" w:rsidP="00422D7C">
      <w:pPr>
        <w:rPr>
          <w:rFonts w:ascii="Arial" w:hAnsi="Arial" w:cs="Arial"/>
        </w:rPr>
      </w:pPr>
      <w:r w:rsidRPr="00750457">
        <w:rPr>
          <w:rFonts w:ascii="Arial" w:hAnsi="Arial" w:cs="Arial"/>
        </w:rPr>
        <w:t>HMPPS in Wales articulates its strategic priorities through reducing reoffending plans that focus on three interrelated pathways: accommodation, employment and treatment (HMPPS, 2022). These pathways reflect a broader UK policy orientation that positions employment not only as a rehabilitative outcome but also as a mechanism for public protection, premised on evidence linking stable work to reduced reoffending. Within this framework, prison education and skills development are expected to contribute directly to employability outcomes, aligning learning provision with labour market needs and post-release pathways. However, HMPPS policy also acknowledges significant operational and geographical challenges. Welsh prisons frequently hold individuals from both Wales and the North West of England, resulting in complex resettlement planning across different local authority areas, service systems and labour markets. This cross-border population flow complicates continuity of education, careers guidance and through-the-gate support, particularly where devolved Welsh services must interface with non-devolved criminal justice arrangements and English local provision. Inspection evidence suggests that these structural factors can undermine coordinated resettlement and dilute the effectiveness of education-led employability interventions (HM Inspectorate of Prisons, 2025a).</w:t>
      </w:r>
    </w:p>
    <w:p w14:paraId="22D75B17" w14:textId="77777777" w:rsidR="00CD1F03" w:rsidRPr="00750457" w:rsidRDefault="00CD1F03" w:rsidP="00CD1F03">
      <w:pPr>
        <w:rPr>
          <w:rFonts w:ascii="Arial" w:hAnsi="Arial" w:cs="Arial"/>
        </w:rPr>
      </w:pPr>
      <w:r w:rsidRPr="00750457">
        <w:rPr>
          <w:rFonts w:ascii="Arial" w:hAnsi="Arial" w:cs="Arial"/>
        </w:rPr>
        <w:t>Education in prisons across England and Wales has been significantly shaped by a series of reforms that have increased governor autonomy, introduced market-based contractual delivery models and reoriented provision towards employability and labour market outcomes (Coates, 2016; Prisoners’ Education Alliance, 2025). These reforms were intended to improve responsiveness to local needs, strengthen links with employers and increase accountability for outcomes. However, evidence suggests that they have also contributed to fragmentation, variability in provision and instability in delivery, particularly where education is subject to frequent contract changes and operational pressures within prisons.</w:t>
      </w:r>
    </w:p>
    <w:p w14:paraId="3ACE3C53" w14:textId="1466CB69" w:rsidR="00CD1F03" w:rsidRPr="00750457" w:rsidRDefault="00CD1F03" w:rsidP="00CD1F03">
      <w:pPr>
        <w:rPr>
          <w:rFonts w:ascii="Arial" w:hAnsi="Arial" w:cs="Arial"/>
        </w:rPr>
      </w:pPr>
      <w:r w:rsidRPr="00750457">
        <w:rPr>
          <w:rFonts w:ascii="Arial" w:hAnsi="Arial" w:cs="Arial"/>
        </w:rPr>
        <w:t>In Wales, approaches to prison education vary by establishment. Some prisons operate insourced education models, enabling closer integration between education,</w:t>
      </w:r>
      <w:r w:rsidRPr="00854217">
        <w:rPr>
          <w:rFonts w:ascii="Arial" w:hAnsi="Arial" w:cs="Arial"/>
        </w:rPr>
        <w:t xml:space="preserve"> </w:t>
      </w:r>
      <w:r w:rsidRPr="00750457">
        <w:rPr>
          <w:rFonts w:ascii="Arial" w:hAnsi="Arial" w:cs="Arial"/>
        </w:rPr>
        <w:lastRenderedPageBreak/>
        <w:t xml:space="preserve">prison regimes and resettlement planning, while others rely on externally contracted providers with differing pedagogical approaches, staffing models and curriculum priorities (House of Commons Committee evidence, 2025). This variability is significant because employability outcomes are highly sensitive to the quality and continuity of learning. </w:t>
      </w:r>
      <w:r w:rsidR="005E1DBE" w:rsidRPr="00750457">
        <w:rPr>
          <w:rFonts w:ascii="Arial" w:hAnsi="Arial" w:cs="Arial"/>
        </w:rPr>
        <w:t>Consistent teaching standards</w:t>
      </w:r>
      <w:r w:rsidRPr="00750457">
        <w:rPr>
          <w:rFonts w:ascii="Arial" w:hAnsi="Arial" w:cs="Arial"/>
        </w:rPr>
        <w:t xml:space="preserve"> protected learning time and coherent progression routes—from basic literacy and numeracy through vocational qualifications to employment or further training—are essential if education is to translate into sustainable post-release employment. Where provision is fragmented or disrupted, learning gains are less likely to convert into meaningful labour market outcomes.</w:t>
      </w:r>
    </w:p>
    <w:p w14:paraId="40FFFB99" w14:textId="3C148005" w:rsidR="00422D7C" w:rsidRPr="00750457" w:rsidRDefault="00422D7C" w:rsidP="00422D7C">
      <w:pPr>
        <w:rPr>
          <w:rFonts w:ascii="Arial" w:hAnsi="Arial" w:cs="Arial"/>
        </w:rPr>
      </w:pPr>
    </w:p>
    <w:p w14:paraId="376400D6" w14:textId="0FB59094" w:rsidR="00422D7C" w:rsidRPr="00750457" w:rsidRDefault="00422D7C" w:rsidP="00422D7C">
      <w:pPr>
        <w:rPr>
          <w:rFonts w:ascii="Arial" w:hAnsi="Arial" w:cs="Arial"/>
          <w:b/>
          <w:bCs/>
        </w:rPr>
      </w:pPr>
      <w:r w:rsidRPr="00750457">
        <w:rPr>
          <w:rFonts w:ascii="Arial" w:hAnsi="Arial" w:cs="Arial"/>
          <w:b/>
          <w:bCs/>
        </w:rPr>
        <w:t xml:space="preserve">3. </w:t>
      </w:r>
      <w:r w:rsidR="008962EC" w:rsidRPr="00750457">
        <w:rPr>
          <w:rFonts w:ascii="Arial" w:hAnsi="Arial" w:cs="Arial"/>
          <w:b/>
          <w:bCs/>
        </w:rPr>
        <w:t>Literature Review</w:t>
      </w:r>
    </w:p>
    <w:p w14:paraId="1FBDCBD2" w14:textId="5264ADB5" w:rsidR="00422D7C" w:rsidRPr="00750457" w:rsidRDefault="006E53DA" w:rsidP="00422D7C">
      <w:pPr>
        <w:rPr>
          <w:rFonts w:ascii="Arial" w:hAnsi="Arial" w:cs="Arial"/>
        </w:rPr>
      </w:pPr>
      <w:r w:rsidRPr="00750457">
        <w:rPr>
          <w:rFonts w:ascii="Arial" w:hAnsi="Arial" w:cs="Arial"/>
        </w:rPr>
        <w:t xml:space="preserve">A substantial body of research demonstrates that stable employment is associated with reduced reoffending, although this relationship is neither automatic nor purely causal. Employment is most protective when it is sustained, of reasonable quality and embedded within supportive relationships and pro-social networks (Sampson and Laub, 1993; </w:t>
      </w:r>
      <w:proofErr w:type="spellStart"/>
      <w:r w:rsidRPr="00750457">
        <w:rPr>
          <w:rFonts w:ascii="Arial" w:hAnsi="Arial" w:cs="Arial"/>
        </w:rPr>
        <w:t>Uggen</w:t>
      </w:r>
      <w:proofErr w:type="spellEnd"/>
      <w:r w:rsidRPr="00750457">
        <w:rPr>
          <w:rFonts w:ascii="Arial" w:hAnsi="Arial" w:cs="Arial"/>
        </w:rPr>
        <w:t>, 2000). For people leaving prison, entry into work can provide short-term benefits, but insecure or low-paid employment may offer limited support for long-term desistance and social integration (Farrall, 2002; Weaver, 201</w:t>
      </w:r>
      <w:r w:rsidR="000F5DA3">
        <w:rPr>
          <w:rFonts w:ascii="Arial" w:hAnsi="Arial" w:cs="Arial"/>
        </w:rPr>
        <w:t>3</w:t>
      </w:r>
      <w:r w:rsidRPr="00750457">
        <w:rPr>
          <w:rFonts w:ascii="Arial" w:hAnsi="Arial" w:cs="Arial"/>
        </w:rPr>
        <w:t>). This evidence suggests that employability policy should extend beyond job entry to address job retention, progression and workplace inclusion.</w:t>
      </w:r>
      <w:r w:rsidR="00055C47" w:rsidRPr="00750457">
        <w:rPr>
          <w:rFonts w:ascii="Arial" w:hAnsi="Arial" w:cs="Arial"/>
        </w:rPr>
        <w:t xml:space="preserve"> </w:t>
      </w:r>
      <w:r w:rsidRPr="00750457">
        <w:rPr>
          <w:rFonts w:ascii="Arial" w:hAnsi="Arial" w:cs="Arial"/>
        </w:rPr>
        <w:t>Educational attainment among prison populations is consistently lower than in the general population, with higher prevalence of literacy and numeracy needs, disrupted educational trajectories and unmet special educational needs (Coates, 2016). Prison education</w:t>
      </w:r>
      <w:r w:rsidR="00F515D5">
        <w:rPr>
          <w:rFonts w:ascii="Arial" w:hAnsi="Arial" w:cs="Arial"/>
        </w:rPr>
        <w:t>,</w:t>
      </w:r>
      <w:r w:rsidRPr="00750457">
        <w:rPr>
          <w:rFonts w:ascii="Arial" w:hAnsi="Arial" w:cs="Arial"/>
        </w:rPr>
        <w:t xml:space="preserve"> therefore</w:t>
      </w:r>
      <w:r w:rsidR="00C47B5B" w:rsidRPr="00750457">
        <w:rPr>
          <w:rFonts w:ascii="Arial" w:hAnsi="Arial" w:cs="Arial"/>
        </w:rPr>
        <w:t>,</w:t>
      </w:r>
      <w:r w:rsidRPr="00750457">
        <w:rPr>
          <w:rFonts w:ascii="Arial" w:hAnsi="Arial" w:cs="Arial"/>
        </w:rPr>
        <w:t xml:space="preserve"> plays a critical role in supporting employability through the development of foundational and vocational skills. However, its contribution extends beyond labour market preparation. Research on desistance highlights the importance of education in fostering self-efficacy, future orientation and processes of identity reconstruction, through which individuals come to view themselves as learners and workers rather than offenders (Maruna, 2001; McNeill, 2012). From an education perspective, this dual function is significant, as an overly narrow focus on ‘employer-ready’ outcomes risks undervaluing learning that supports motivation, agency and social </w:t>
      </w:r>
      <w:r w:rsidR="00C47B5B" w:rsidRPr="00750457">
        <w:rPr>
          <w:rFonts w:ascii="Arial" w:hAnsi="Arial" w:cs="Arial"/>
        </w:rPr>
        <w:t>reintegration. Male</w:t>
      </w:r>
      <w:r w:rsidRPr="00750457">
        <w:rPr>
          <w:rFonts w:ascii="Arial" w:hAnsi="Arial" w:cs="Arial"/>
        </w:rPr>
        <w:t xml:space="preserve"> prisoners often face a distinctive constellation of barriers to employment, including histories of precarious work in low-skilled sectors, limited formal qualifications, and high levels of health or substance misuse need. Employer stigma and criminal record disclosure requirements further constrain access to work (Pager, 2003). In addition, family responsibilities and relationship breakdown can affect housing stability and job search capacity following release (Travis, Solomon and Waul, 2001). In Wales, these individual barriers intersect with regional labour market conditions, particularly in post-industrial communities where employment opportunities are limited, highlighting the importance of place-sensitive employability strategies.</w:t>
      </w:r>
      <w:r w:rsidR="00C47B5B" w:rsidRPr="00750457">
        <w:rPr>
          <w:rFonts w:ascii="Arial" w:hAnsi="Arial" w:cs="Arial"/>
        </w:rPr>
        <w:t xml:space="preserve"> </w:t>
      </w:r>
      <w:r w:rsidRPr="00750457">
        <w:rPr>
          <w:rFonts w:ascii="Arial" w:hAnsi="Arial" w:cs="Arial"/>
        </w:rPr>
        <w:t xml:space="preserve">Continuity of support between custody and community has </w:t>
      </w:r>
      <w:r w:rsidRPr="00750457">
        <w:rPr>
          <w:rFonts w:ascii="Arial" w:hAnsi="Arial" w:cs="Arial"/>
        </w:rPr>
        <w:lastRenderedPageBreak/>
        <w:t xml:space="preserve">been a longstanding policy concern, with ‘through-the-gate’ models designed to mitigate the sharp transition at release (National Audit Office, 2019). However, evaluations frequently identify variability in quality, weak coordination across services and insufficient personalisation. Evidence from Wales similarly points to both potential and persistent gaps in continuity of employability support for people in prison (Welsh Government, 2025). From an educational standpoint, such discontinuities are particularly problematic, as learning progression and skill development depend on stable pathways that are often disrupted by prison regimes and the transition to community </w:t>
      </w:r>
      <w:r w:rsidR="005E1DBE" w:rsidRPr="00750457">
        <w:rPr>
          <w:rFonts w:ascii="Arial" w:hAnsi="Arial" w:cs="Arial"/>
        </w:rPr>
        <w:t>life. Taken</w:t>
      </w:r>
      <w:r w:rsidRPr="00750457">
        <w:rPr>
          <w:rFonts w:ascii="Arial" w:hAnsi="Arial" w:cs="Arial"/>
        </w:rPr>
        <w:t xml:space="preserve"> together, this literature highlights the central role of education in shaping employability and desistance outcomes, while also revealing persistent structural and systemic barriers. It points to the need for analysis that examines how employability policy operates as an educational and resettlement system, particularly within the distinctive devolved governance context of Wales.</w:t>
      </w:r>
    </w:p>
    <w:p w14:paraId="4F40E7C4" w14:textId="6A168656" w:rsidR="00422D7C" w:rsidRPr="00750457" w:rsidRDefault="00422D7C" w:rsidP="00422D7C">
      <w:pPr>
        <w:rPr>
          <w:rFonts w:ascii="Arial" w:hAnsi="Arial" w:cs="Arial"/>
        </w:rPr>
      </w:pPr>
    </w:p>
    <w:p w14:paraId="0808380D" w14:textId="5BF394BE" w:rsidR="00422D7C" w:rsidRPr="00750457" w:rsidRDefault="00422D7C" w:rsidP="00422D7C">
      <w:pPr>
        <w:rPr>
          <w:rFonts w:ascii="Arial" w:hAnsi="Arial" w:cs="Arial"/>
          <w:b/>
          <w:bCs/>
        </w:rPr>
      </w:pPr>
      <w:r w:rsidRPr="00750457">
        <w:rPr>
          <w:rFonts w:ascii="Arial" w:hAnsi="Arial" w:cs="Arial"/>
          <w:b/>
          <w:bCs/>
        </w:rPr>
        <w:t xml:space="preserve">4. </w:t>
      </w:r>
      <w:r w:rsidR="00664E2C" w:rsidRPr="00750457">
        <w:rPr>
          <w:rFonts w:ascii="Arial" w:hAnsi="Arial" w:cs="Arial"/>
          <w:b/>
          <w:bCs/>
        </w:rPr>
        <w:t>Methodology</w:t>
      </w:r>
    </w:p>
    <w:p w14:paraId="3C25DD9B" w14:textId="77777777" w:rsidR="00A406B7" w:rsidRPr="00750457" w:rsidRDefault="00A406B7" w:rsidP="00A406B7">
      <w:pPr>
        <w:rPr>
          <w:rFonts w:ascii="Arial" w:hAnsi="Arial" w:cs="Arial"/>
        </w:rPr>
      </w:pPr>
      <w:r w:rsidRPr="00750457">
        <w:rPr>
          <w:rFonts w:ascii="Arial" w:hAnsi="Arial" w:cs="Arial"/>
        </w:rPr>
        <w:t>This article employs a qualitative documentary policy analysis and evidence synthesis to examine employability policy and post-release support for male prisoners in Wales. The analysis draws on policy, inspection and evaluation sources that shape prison-based education, skills provision and resettlement within the Welsh context. Core materials include Welsh Government policy publications on prison learning and skills (Welsh Government, 2024a; Welsh Government, 2024b), which set out strategic priorities for learner engagement, progression and employability in custody, alongside evaluation evidence on prison-based employability and careers support services in Wales (Welsh Government, 2025). These sources are complemented by HMPPS Wales reducing reoffending priorities (HMPPS, 2022), which frame employment as a central rehabilitative pathway, and by inspection findings from HM Inspectorate of Prisons that provide insight into operational conditions, levels of purposeful activity and participation in education within Welsh prisons (HM Inspectorate of Prisons, 2025a).</w:t>
      </w:r>
    </w:p>
    <w:p w14:paraId="13B35309" w14:textId="4C9BCDB6" w:rsidR="00A406B7" w:rsidRPr="00750457" w:rsidRDefault="00A406B7" w:rsidP="00A406B7">
      <w:pPr>
        <w:rPr>
          <w:rFonts w:ascii="Arial" w:hAnsi="Arial" w:cs="Arial"/>
        </w:rPr>
      </w:pPr>
      <w:r w:rsidRPr="00750457">
        <w:rPr>
          <w:rFonts w:ascii="Arial" w:hAnsi="Arial" w:cs="Arial"/>
        </w:rPr>
        <w:t>The analysis also incorporates Welsh-focused material on employer engagement and employment support for people leaving custody, including the operation of employment hubs linked to prisons in Wales (New Futures Network, 202</w:t>
      </w:r>
      <w:r w:rsidR="00B85F0A" w:rsidRPr="00750457">
        <w:rPr>
          <w:rFonts w:ascii="Arial" w:hAnsi="Arial" w:cs="Arial"/>
        </w:rPr>
        <w:t>5</w:t>
      </w:r>
      <w:r w:rsidRPr="00750457">
        <w:rPr>
          <w:rFonts w:ascii="Arial" w:hAnsi="Arial" w:cs="Arial"/>
        </w:rPr>
        <w:t>). These policy and practice sources are interpreted alongside established research literature on desistance, employment and prison education to inform analysis of how learning and employability contribute to rehabilitation.</w:t>
      </w:r>
    </w:p>
    <w:p w14:paraId="61853DEF" w14:textId="77777777" w:rsidR="00A406B7" w:rsidRPr="00750457" w:rsidRDefault="00A406B7" w:rsidP="00A406B7">
      <w:pPr>
        <w:rPr>
          <w:rFonts w:ascii="Arial" w:hAnsi="Arial" w:cs="Arial"/>
        </w:rPr>
      </w:pPr>
      <w:r w:rsidRPr="00750457">
        <w:rPr>
          <w:rFonts w:ascii="Arial" w:hAnsi="Arial" w:cs="Arial"/>
        </w:rPr>
        <w:t>The purpose of this approach is not to evaluate a single programme or intervention, but to examine how employability policy operates as an interconnected educational and resettlement system within Wales. By exploring points of alignment and fragmentation across prison education, employability services and post-release</w:t>
      </w:r>
      <w:r w:rsidRPr="00854217">
        <w:rPr>
          <w:rFonts w:ascii="Arial" w:hAnsi="Arial" w:cs="Arial"/>
        </w:rPr>
        <w:t xml:space="preserve"> </w:t>
      </w:r>
      <w:r w:rsidRPr="00750457">
        <w:rPr>
          <w:rFonts w:ascii="Arial" w:hAnsi="Arial" w:cs="Arial"/>
        </w:rPr>
        <w:lastRenderedPageBreak/>
        <w:t>support, the analysis identifies opportunities to strengthen policy coherence, educational practice and employability outcomes for male prison leavers in Wales.</w:t>
      </w:r>
    </w:p>
    <w:p w14:paraId="457A6951" w14:textId="0E32564F" w:rsidR="00422D7C" w:rsidRPr="00750457" w:rsidRDefault="00422D7C" w:rsidP="00422D7C">
      <w:pPr>
        <w:rPr>
          <w:rFonts w:ascii="Arial" w:hAnsi="Arial" w:cs="Arial"/>
        </w:rPr>
      </w:pPr>
    </w:p>
    <w:p w14:paraId="04272DF5" w14:textId="3405D6D5" w:rsidR="00422D7C" w:rsidRPr="00750457" w:rsidRDefault="00422D7C" w:rsidP="00422D7C">
      <w:pPr>
        <w:rPr>
          <w:rFonts w:ascii="Arial" w:hAnsi="Arial" w:cs="Arial"/>
        </w:rPr>
      </w:pPr>
    </w:p>
    <w:p w14:paraId="6E1AC833" w14:textId="549DF74A" w:rsidR="00422D7C" w:rsidRPr="00750457" w:rsidRDefault="00422D7C" w:rsidP="00422D7C">
      <w:pPr>
        <w:rPr>
          <w:rFonts w:ascii="Arial" w:hAnsi="Arial" w:cs="Arial"/>
          <w:b/>
          <w:bCs/>
        </w:rPr>
      </w:pPr>
      <w:r w:rsidRPr="00750457">
        <w:rPr>
          <w:rFonts w:ascii="Arial" w:hAnsi="Arial" w:cs="Arial"/>
          <w:b/>
          <w:bCs/>
        </w:rPr>
        <w:t xml:space="preserve">5. </w:t>
      </w:r>
      <w:r w:rsidR="00BB4909" w:rsidRPr="00750457">
        <w:rPr>
          <w:rFonts w:ascii="Arial" w:hAnsi="Arial" w:cs="Arial"/>
          <w:b/>
          <w:bCs/>
        </w:rPr>
        <w:t>Findings</w:t>
      </w:r>
    </w:p>
    <w:p w14:paraId="254BA8BE" w14:textId="77777777" w:rsidR="00BB4909" w:rsidRPr="00750457" w:rsidRDefault="00BB4909" w:rsidP="00BB4909">
      <w:pPr>
        <w:rPr>
          <w:rFonts w:ascii="Arial" w:hAnsi="Arial" w:cs="Arial"/>
        </w:rPr>
      </w:pPr>
      <w:r w:rsidRPr="00750457">
        <w:rPr>
          <w:rFonts w:ascii="Arial" w:hAnsi="Arial" w:cs="Arial"/>
        </w:rPr>
        <w:t>Analysis of Welsh policy documents indicates a clear strategic commitment to positioning prison learning and skills as a foundation for employability, independence and rehabilitation. Better Learning, Better Chances frames engagement in education as both a rehabilitative good and a social investment, aligned with wider Welsh policy priorities around well-being, prevention and social inclusion (Welsh Government, 2024b). Across the policy framework, learning is presented as a progressive pathway, supported through individual learning and work plans, attention to barriers to engagement, and clearer routes from foundational skills into vocational training and employment-related activity (Welsh Government and HMPPS, 2025). This reflects an explicit intention to strengthen continuity between learning in custody and post-release employability outcomes.</w:t>
      </w:r>
    </w:p>
    <w:p w14:paraId="629546A1" w14:textId="3E03BC13" w:rsidR="00BB4909" w:rsidRPr="00750457" w:rsidRDefault="00BB4909" w:rsidP="00BB4909">
      <w:pPr>
        <w:rPr>
          <w:rFonts w:ascii="Arial" w:hAnsi="Arial" w:cs="Arial"/>
        </w:rPr>
      </w:pPr>
      <w:r w:rsidRPr="00750457">
        <w:rPr>
          <w:rFonts w:ascii="Arial" w:hAnsi="Arial" w:cs="Arial"/>
        </w:rPr>
        <w:t>However, analysis of inspection evidence highlights a persistent gap between policy ambition and operational delivery. Inspection findings from Welsh prisons, including HMP Berwyn, consistently identify regime instability as a significant barrier to effective education and skills provision (HM Inspectorate of Prisons, 2025a). Even where the quality of teaching is assessed as reasonable, participation is frequently undermined by low attendance, restricted movement and insufficient opportunities for purposeful activity. The analysis shows that fragmented access to education disrupts learning progression, reduces qualification completion and weakens the development of learner identity. These conditions undermine the assumptions embedded within employability policy, which relies on stable attendance, continuity and assessment in order to support progression. Regime constraints therefore</w:t>
      </w:r>
      <w:r w:rsidR="00441394">
        <w:rPr>
          <w:rFonts w:ascii="Arial" w:hAnsi="Arial" w:cs="Arial"/>
        </w:rPr>
        <w:t>,</w:t>
      </w:r>
      <w:r w:rsidRPr="00750457">
        <w:rPr>
          <w:rFonts w:ascii="Arial" w:hAnsi="Arial" w:cs="Arial"/>
        </w:rPr>
        <w:t xml:space="preserve"> emerge as a structural factor that directly shapes employability outcomes and must be understood as an educational issue rather than solely an operational one.</w:t>
      </w:r>
    </w:p>
    <w:p w14:paraId="13C384E1" w14:textId="77777777" w:rsidR="00BB4909" w:rsidRPr="00750457" w:rsidRDefault="00BB4909" w:rsidP="00BB4909">
      <w:pPr>
        <w:rPr>
          <w:rFonts w:ascii="Arial" w:hAnsi="Arial" w:cs="Arial"/>
        </w:rPr>
      </w:pPr>
      <w:r w:rsidRPr="00750457">
        <w:rPr>
          <w:rFonts w:ascii="Arial" w:hAnsi="Arial" w:cs="Arial"/>
        </w:rPr>
        <w:t xml:space="preserve">A further finding relates to the persistent “progression gap” between foundational learning and employment-focused outcomes. Policy documents explicitly acknowledge that many men in custody enter prison with low levels of educational attainment, significant literacy and numeracy needs, disrupted schooling histories and unmet additional learning needs (Welsh Government, 2024b). The analysis confirms that prison education plays a critical role in addressing these deficits and supporting employability through recognised qualifications and vocational skills. However, inspection evidence indicates that restricted access to education, variable participation and limited purposeful activity frequently constrain this role (HM Inspectorate of Prisons, 2025a). As a result, foundational learning does not consistently translate into coherent progression towards employment, particularly </w:t>
      </w:r>
      <w:r w:rsidRPr="00750457">
        <w:rPr>
          <w:rFonts w:ascii="Arial" w:hAnsi="Arial" w:cs="Arial"/>
        </w:rPr>
        <w:lastRenderedPageBreak/>
        <w:t>where release planning and community-based provision are weakly connected to custody-based learning.</w:t>
      </w:r>
    </w:p>
    <w:p w14:paraId="4ECD5EEA" w14:textId="13B6D6B0" w:rsidR="00BB4909" w:rsidRPr="00750457" w:rsidRDefault="00BB4909" w:rsidP="00BB4909">
      <w:pPr>
        <w:rPr>
          <w:rFonts w:ascii="Arial" w:hAnsi="Arial" w:cs="Arial"/>
        </w:rPr>
      </w:pPr>
      <w:r w:rsidRPr="00750457">
        <w:rPr>
          <w:rFonts w:ascii="Arial" w:hAnsi="Arial" w:cs="Arial"/>
        </w:rPr>
        <w:t xml:space="preserve">Digital exclusion emerges as a further structural barrier within the Welsh context. Analysis of policy and inspection material shows that digital capability is increasingly essential for employment, welfare access and participation in post-release services, yet access to digital learning opportunities in custody remains limited and uneven. Security constraints restrict access to online platforms and digital tools, and provision varies between establishments. For men returning to communities where public services and job search processes are predominantly digital, this exclusion compounds existing disadvantage and undermines employability pathways. The findings suggest that </w:t>
      </w:r>
      <w:r w:rsidR="00F515D5">
        <w:rPr>
          <w:rFonts w:ascii="Arial" w:hAnsi="Arial" w:cs="Arial"/>
        </w:rPr>
        <w:t xml:space="preserve">an </w:t>
      </w:r>
      <w:r w:rsidRPr="00750457">
        <w:rPr>
          <w:rFonts w:ascii="Arial" w:hAnsi="Arial" w:cs="Arial"/>
        </w:rPr>
        <w:t>employability policy which does not explicitly address digital capability risks being misaligned with contemporary labour market and service delivery realities in Wales.</w:t>
      </w:r>
    </w:p>
    <w:p w14:paraId="37BF132C" w14:textId="0E61E5F3" w:rsidR="00BB4909" w:rsidRPr="00750457" w:rsidRDefault="00BB4909" w:rsidP="00BB4909">
      <w:pPr>
        <w:rPr>
          <w:rFonts w:ascii="Arial" w:hAnsi="Arial" w:cs="Arial"/>
        </w:rPr>
      </w:pPr>
      <w:r w:rsidRPr="00750457">
        <w:rPr>
          <w:rFonts w:ascii="Arial" w:hAnsi="Arial" w:cs="Arial"/>
        </w:rPr>
        <w:t xml:space="preserve">Finally, the analysis highlights the tension between narrowly instrumental approaches to employability and the broader educational aims articulated within Welsh policy. While employability outcomes are a central policy objective, Welsh Government strategy also emphasises learner engagement, confidence, independence and long-term rehabilitation (Welsh Government, 2024b). The findings indicate that education in custody supports not only skills acquisition but also processes of identity change, motivation and future orientation, which are critical to sustained engagement in work and learning after release. However, these broader outcomes are vulnerable </w:t>
      </w:r>
      <w:r w:rsidR="00F515D5">
        <w:rPr>
          <w:rFonts w:ascii="Arial" w:hAnsi="Arial" w:cs="Arial"/>
        </w:rPr>
        <w:t>when</w:t>
      </w:r>
      <w:r w:rsidRPr="00750457">
        <w:rPr>
          <w:rFonts w:ascii="Arial" w:hAnsi="Arial" w:cs="Arial"/>
        </w:rPr>
        <w:t xml:space="preserve"> education is framed predominantly in terms of short-term job readiness. The analysis therefore suggests that safeguarding the educational integrity of prison learning—through relational, trauma-informed and learner-centred approaches—is essential if employability policy is to deliver sustainable outcomes for male prisoners in Wales.</w:t>
      </w:r>
    </w:p>
    <w:p w14:paraId="7058C333" w14:textId="663D1304" w:rsidR="00422D7C" w:rsidRPr="00750457" w:rsidRDefault="00422D7C" w:rsidP="00422D7C">
      <w:pPr>
        <w:rPr>
          <w:rFonts w:ascii="Arial" w:hAnsi="Arial" w:cs="Arial"/>
        </w:rPr>
      </w:pPr>
    </w:p>
    <w:p w14:paraId="3A6C8058" w14:textId="72A35D6F" w:rsidR="00422D7C" w:rsidRPr="00750457" w:rsidRDefault="00422D7C" w:rsidP="00422D7C">
      <w:pPr>
        <w:rPr>
          <w:rFonts w:ascii="Arial" w:hAnsi="Arial" w:cs="Arial"/>
          <w:b/>
          <w:bCs/>
        </w:rPr>
      </w:pPr>
      <w:r w:rsidRPr="00750457">
        <w:rPr>
          <w:rFonts w:ascii="Arial" w:hAnsi="Arial" w:cs="Arial"/>
          <w:b/>
          <w:bCs/>
        </w:rPr>
        <w:t xml:space="preserve">6. </w:t>
      </w:r>
      <w:r w:rsidR="00127A8A" w:rsidRPr="00750457">
        <w:rPr>
          <w:rFonts w:ascii="Arial" w:hAnsi="Arial" w:cs="Arial"/>
          <w:b/>
          <w:bCs/>
        </w:rPr>
        <w:t>Discussion</w:t>
      </w:r>
    </w:p>
    <w:p w14:paraId="6ABE92A2" w14:textId="77777777" w:rsidR="00127A8A" w:rsidRPr="00750457" w:rsidRDefault="00127A8A" w:rsidP="00127A8A">
      <w:pPr>
        <w:rPr>
          <w:rFonts w:ascii="Arial" w:hAnsi="Arial" w:cs="Arial"/>
        </w:rPr>
      </w:pPr>
      <w:r w:rsidRPr="00750457">
        <w:rPr>
          <w:rFonts w:ascii="Arial" w:hAnsi="Arial" w:cs="Arial"/>
        </w:rPr>
        <w:t>The findings illuminate the complex role of employer engagement in translating prison-based education and training into sustainable employment for male prisoners in Wales. Employer-focused initiatives, including employment hubs and prison employment leads, reflect a shift away from models that place responsibility solely on individuals and towards system-level approaches that mediate relationships between prisons and employers (New Futures Network, 2026a; New Futures Network, 2026b). From an educational perspective, this shift recognises that employability is shaped not only by individual skills and qualifications but also by employer perceptions, labour market structures and access to opportunity. These models seek to address stigma and information asymmetries that can disadvantage people leaving custody, although their effectiveness remains contingent on wider contextual and structural factors.</w:t>
      </w:r>
    </w:p>
    <w:p w14:paraId="2C0C3089" w14:textId="77777777" w:rsidR="00127A8A" w:rsidRPr="00750457" w:rsidRDefault="00127A8A" w:rsidP="00127A8A">
      <w:pPr>
        <w:rPr>
          <w:rFonts w:ascii="Arial" w:hAnsi="Arial" w:cs="Arial"/>
        </w:rPr>
      </w:pPr>
      <w:r w:rsidRPr="00750457">
        <w:rPr>
          <w:rFonts w:ascii="Arial" w:hAnsi="Arial" w:cs="Arial"/>
        </w:rPr>
        <w:lastRenderedPageBreak/>
        <w:t>Labour market geography emerges as a key consideration within the Welsh context. Employment opportunities differ substantially between urban centres and rural or post-industrial areas, influencing both the feasibility and sustainability of post-release employment. For men returning to areas with limited vacancy turnover, employability pathways are shaped by structural constraints that extend beyond individual readiness or motivation. This reinforces the need to understand employability as a place-based process, shaped by local opportunity structures and regional economic conditions rather than solely by national policy frameworks.</w:t>
      </w:r>
    </w:p>
    <w:p w14:paraId="6AAECFE2" w14:textId="77777777" w:rsidR="00127A8A" w:rsidRPr="00750457" w:rsidRDefault="00127A8A" w:rsidP="00127A8A">
      <w:pPr>
        <w:rPr>
          <w:rFonts w:ascii="Arial" w:hAnsi="Arial" w:cs="Arial"/>
        </w:rPr>
      </w:pPr>
      <w:r w:rsidRPr="00750457">
        <w:rPr>
          <w:rFonts w:ascii="Arial" w:hAnsi="Arial" w:cs="Arial"/>
        </w:rPr>
        <w:t>Employer stigma remains a persistent barrier to employment for people with criminal records. Concerns around risk, disclosure and workplace support continue to influence employer decision-making, even where there is a stated willingness to engage (Pager, 2003). The findings suggest that employer engagement is best understood as an ongoing relational process rather than a discrete recruitment activity, involving communication, reassurance and relationship-building over time. Without sustained engagement, initial employment opportunities may be fragile, particularly where individuals encounter challenges related to housing instability, health needs or other resettlement pressures.</w:t>
      </w:r>
    </w:p>
    <w:p w14:paraId="4F6A0251" w14:textId="77777777" w:rsidR="00127A8A" w:rsidRPr="00750457" w:rsidRDefault="00127A8A" w:rsidP="00127A8A">
      <w:pPr>
        <w:rPr>
          <w:rFonts w:ascii="Arial" w:hAnsi="Arial" w:cs="Arial"/>
        </w:rPr>
      </w:pPr>
      <w:r w:rsidRPr="00750457">
        <w:rPr>
          <w:rFonts w:ascii="Arial" w:hAnsi="Arial" w:cs="Arial"/>
        </w:rPr>
        <w:t>The alignment between prison education provision and labour market demand is also revealed as a significant issue. While vocational education forms a central component of prison learning, the findings indicate that provision does not always align with regional employment opportunities. In Wales, labour market conditions vary considerably across regions, complicating efforts to design training that is both meaningful in custody and relevant after release. This misalignment reflects broader coordination challenges across education, skills planning and employability systems, particularly where prisons, colleges, regional skills partnerships and community-based services operate within different governance and commissioning arrangements.</w:t>
      </w:r>
    </w:p>
    <w:p w14:paraId="30E7C8E0" w14:textId="77777777" w:rsidR="00127A8A" w:rsidRPr="00750457" w:rsidRDefault="00127A8A" w:rsidP="00127A8A">
      <w:pPr>
        <w:rPr>
          <w:rFonts w:ascii="Arial" w:hAnsi="Arial" w:cs="Arial"/>
        </w:rPr>
      </w:pPr>
      <w:r w:rsidRPr="00750457">
        <w:rPr>
          <w:rFonts w:ascii="Arial" w:hAnsi="Arial" w:cs="Arial"/>
        </w:rPr>
        <w:t>Measurement practices further shape how employability is understood and prioritised. An emphasis on short-term employment outcomes can obscure the longer and often non-linear trajectories many men experience between custody and stable employment. The findings highlight the importance of recognising progression and continuity, particularly in the context of disrupted educational histories and complex resettlement needs. When employability is framed narrowly in terms of job entry, it risks overlooking the processes through which learning, confidence and stability develop over time.</w:t>
      </w:r>
    </w:p>
    <w:p w14:paraId="4711FEFC" w14:textId="24C34987" w:rsidR="00127A8A" w:rsidRPr="00750457" w:rsidRDefault="00127A8A" w:rsidP="00127A8A">
      <w:pPr>
        <w:rPr>
          <w:rFonts w:ascii="Arial" w:hAnsi="Arial" w:cs="Arial"/>
        </w:rPr>
      </w:pPr>
      <w:r w:rsidRPr="00750457">
        <w:rPr>
          <w:rFonts w:ascii="Arial" w:hAnsi="Arial" w:cs="Arial"/>
        </w:rPr>
        <w:t xml:space="preserve">Continuity of support across the transition from custody to community remains a central challenge. Evidence from </w:t>
      </w:r>
      <w:r w:rsidR="00441394">
        <w:rPr>
          <w:rFonts w:ascii="Arial" w:hAnsi="Arial" w:cs="Arial"/>
        </w:rPr>
        <w:t xml:space="preserve">the </w:t>
      </w:r>
      <w:r w:rsidRPr="00750457">
        <w:rPr>
          <w:rFonts w:ascii="Arial" w:hAnsi="Arial" w:cs="Arial"/>
        </w:rPr>
        <w:t xml:space="preserve">Welsh evaluation of Working Wales in prisons highlights both the potential value of employability support delivered in custody and the fragility of its impact where community-side provision is fragmented, delayed or difficult to access (Welsh Government, 2025). The immediate post-release period is frequently characterised by competing demands, particularly in relation to housing </w:t>
      </w:r>
      <w:r w:rsidRPr="00750457">
        <w:rPr>
          <w:rFonts w:ascii="Arial" w:hAnsi="Arial" w:cs="Arial"/>
        </w:rPr>
        <w:lastRenderedPageBreak/>
        <w:t>and health, which shape engagement with employment and training. These pressures underscore the interconnected nature of education, employability and resettlement within the Welsh system.</w:t>
      </w:r>
    </w:p>
    <w:p w14:paraId="186FD993" w14:textId="77777777" w:rsidR="00127A8A" w:rsidRPr="00750457" w:rsidRDefault="00127A8A" w:rsidP="00127A8A">
      <w:pPr>
        <w:rPr>
          <w:rFonts w:ascii="Arial" w:hAnsi="Arial" w:cs="Arial"/>
        </w:rPr>
      </w:pPr>
      <w:r w:rsidRPr="00750457">
        <w:rPr>
          <w:rFonts w:ascii="Arial" w:hAnsi="Arial" w:cs="Arial"/>
        </w:rPr>
        <w:t>Cross-border movement further complicates this landscape. Welsh prisons frequently hold individuals from multiple geographic areas, including across the England–Wales border, making consistent planning and continuity of support more difficult. Inspection commentary highlights the challenges associated with coordinating resettlement services across Wales and the North West of England, particularly where post-release destinations are uncertain (HM Inspectorate of Prisons, 2025a). In such contexts, aligning education and training with appropriate labour markets and services becomes increasingly complex, and referral pathways may break down.</w:t>
      </w:r>
    </w:p>
    <w:p w14:paraId="15FA8F95" w14:textId="77777777" w:rsidR="00127A8A" w:rsidRPr="00750457" w:rsidRDefault="00127A8A" w:rsidP="00127A8A">
      <w:pPr>
        <w:rPr>
          <w:rFonts w:ascii="Arial" w:hAnsi="Arial" w:cs="Arial"/>
        </w:rPr>
      </w:pPr>
      <w:r w:rsidRPr="00750457">
        <w:rPr>
          <w:rFonts w:ascii="Arial" w:hAnsi="Arial" w:cs="Arial"/>
        </w:rPr>
        <w:t>Finally, the findings must be interpreted within the broader context of operational and resourcing pressures affecting prison education. Public reporting and inspection commentary have raised concerns that budgetary constraints, staffing shortages and restricted regimes can reduce access to education and purposeful activity (Taylor, 2025; The Guardian, 2025). Although not always Wales-specific, these pressures affect the England and Wales prison system as a whole and shape the conditions under which education and employability support are delivered in Welsh prisons. This context is critical for understanding the extent to which employability outcomes are influenced by systemic and structural factors beyond individual participation or effort.</w:t>
      </w:r>
    </w:p>
    <w:p w14:paraId="5C330B34" w14:textId="4A8E7E92" w:rsidR="00422D7C" w:rsidRPr="00750457" w:rsidRDefault="00422D7C" w:rsidP="00422D7C">
      <w:pPr>
        <w:rPr>
          <w:rFonts w:ascii="Arial" w:hAnsi="Arial" w:cs="Arial"/>
        </w:rPr>
      </w:pPr>
    </w:p>
    <w:p w14:paraId="2D41A3A8" w14:textId="2DA9F0D6" w:rsidR="00422D7C" w:rsidRPr="00750457" w:rsidRDefault="00854217" w:rsidP="00422D7C">
      <w:pPr>
        <w:rPr>
          <w:rFonts w:ascii="Arial" w:hAnsi="Arial" w:cs="Arial"/>
          <w:b/>
          <w:bCs/>
        </w:rPr>
      </w:pPr>
      <w:r w:rsidRPr="00750457">
        <w:rPr>
          <w:rFonts w:ascii="Arial" w:hAnsi="Arial" w:cs="Arial"/>
          <w:b/>
          <w:bCs/>
        </w:rPr>
        <w:t>7</w:t>
      </w:r>
      <w:r w:rsidR="00422D7C" w:rsidRPr="00750457">
        <w:rPr>
          <w:rFonts w:ascii="Arial" w:hAnsi="Arial" w:cs="Arial"/>
          <w:b/>
          <w:bCs/>
        </w:rPr>
        <w:t xml:space="preserve">. Implications </w:t>
      </w:r>
    </w:p>
    <w:p w14:paraId="240BC6C1" w14:textId="1BAF66E5" w:rsidR="00731604" w:rsidRPr="00750457" w:rsidRDefault="00731604" w:rsidP="00731604">
      <w:pPr>
        <w:rPr>
          <w:rFonts w:ascii="Arial" w:hAnsi="Arial" w:cs="Arial"/>
        </w:rPr>
      </w:pPr>
      <w:r w:rsidRPr="00750457">
        <w:rPr>
          <w:rFonts w:ascii="Arial" w:hAnsi="Arial" w:cs="Arial"/>
        </w:rPr>
        <w:t xml:space="preserve">Employability outcomes are most effective when education is conceived as a coherent pathway rather than a series of discrete interventions. This pathway typically involves initial assessment, the development of foundational skills, progression into vocational learning, the acquisition of employability skills, opportunities for work experience, structured transition planning and sustained post-release support. Welsh policy places increasing emphasis on individual learning and work plans, which provide a valuable framework for this approach (Welsh Government and HMPPS, 2025). However, a persistent challenge lies in ensuring that such pathways are implemented consistently across establishments and meaningfully connected to community-based provision. Embedding progression mapping for each learner, with clear identification of next steps and a named community contact </w:t>
      </w:r>
      <w:r w:rsidR="007B0D37">
        <w:rPr>
          <w:rFonts w:ascii="Arial" w:hAnsi="Arial" w:cs="Arial"/>
        </w:rPr>
        <w:t>before</w:t>
      </w:r>
      <w:r w:rsidRPr="00750457">
        <w:rPr>
          <w:rFonts w:ascii="Arial" w:hAnsi="Arial" w:cs="Arial"/>
        </w:rPr>
        <w:t xml:space="preserve"> release, would strengthen continuity and accountability.</w:t>
      </w:r>
    </w:p>
    <w:p w14:paraId="72D49A66" w14:textId="782E6473" w:rsidR="00731604" w:rsidRPr="00750457" w:rsidRDefault="00731604" w:rsidP="00731604">
      <w:pPr>
        <w:rPr>
          <w:rFonts w:ascii="Arial" w:hAnsi="Arial" w:cs="Arial"/>
        </w:rPr>
      </w:pPr>
      <w:r w:rsidRPr="00750457">
        <w:rPr>
          <w:rFonts w:ascii="Arial" w:hAnsi="Arial" w:cs="Arial"/>
        </w:rPr>
        <w:t>Given the high prevalence of trauma, exclusion</w:t>
      </w:r>
      <w:r w:rsidR="007B0D37">
        <w:rPr>
          <w:rFonts w:ascii="Arial" w:hAnsi="Arial" w:cs="Arial"/>
        </w:rPr>
        <w:t>,</w:t>
      </w:r>
      <w:r w:rsidRPr="00750457">
        <w:rPr>
          <w:rFonts w:ascii="Arial" w:hAnsi="Arial" w:cs="Arial"/>
        </w:rPr>
        <w:t xml:space="preserve"> and adverse childhood experiences among male prisoners, trauma-informed and relational pedagogical approaches are essential to effective employability support. Teaching practices that prioritise trust, emotional safety and learner agency can improve engagement and persistence,</w:t>
      </w:r>
      <w:r w:rsidRPr="00854217">
        <w:rPr>
          <w:rFonts w:ascii="Arial" w:hAnsi="Arial" w:cs="Arial"/>
        </w:rPr>
        <w:t xml:space="preserve"> </w:t>
      </w:r>
      <w:r w:rsidRPr="00750457">
        <w:rPr>
          <w:rFonts w:ascii="Arial" w:hAnsi="Arial" w:cs="Arial"/>
        </w:rPr>
        <w:lastRenderedPageBreak/>
        <w:t>which are critical to qualification completion and skill development. Education that builds self-efficacy also supports job retention and adaptation to workplace expectations after release. These aims require sustained investment in staff development, including training in trauma-informed practice, motivational interviewing and strategies to support neurodiversity and special educational needs.</w:t>
      </w:r>
    </w:p>
    <w:p w14:paraId="61343569" w14:textId="6A22261D" w:rsidR="00731604" w:rsidRPr="00750457" w:rsidRDefault="00731604" w:rsidP="00731604">
      <w:pPr>
        <w:rPr>
          <w:rFonts w:ascii="Arial" w:hAnsi="Arial" w:cs="Arial"/>
        </w:rPr>
      </w:pPr>
      <w:r w:rsidRPr="00750457">
        <w:rPr>
          <w:rFonts w:ascii="Arial" w:hAnsi="Arial" w:cs="Arial"/>
        </w:rPr>
        <w:t>Digital capability represents another critical dimension of employability that requires explicit attention. Digital exclusion continues to limit access to employment, training and welfare services for many prison leavers. While security constraints restrict internet access in custody, controlled simulation, offline digital learning</w:t>
      </w:r>
      <w:r w:rsidR="007B0D37">
        <w:rPr>
          <w:rFonts w:ascii="Arial" w:hAnsi="Arial" w:cs="Arial"/>
        </w:rPr>
        <w:t>,</w:t>
      </w:r>
      <w:r w:rsidRPr="00750457">
        <w:rPr>
          <w:rFonts w:ascii="Arial" w:hAnsi="Arial" w:cs="Arial"/>
        </w:rPr>
        <w:t xml:space="preserve"> and scaffolded exposure to digital tools can still develop essential competencies. Preparation for online job search, digital applications and basic workplace technologies should therefore form a core component of prison education curricula, aligned with the realities of community access and local labour market expectations.</w:t>
      </w:r>
    </w:p>
    <w:p w14:paraId="2AF1EED0" w14:textId="77777777" w:rsidR="00731604" w:rsidRPr="00750457" w:rsidRDefault="00731604" w:rsidP="00731604">
      <w:pPr>
        <w:rPr>
          <w:rFonts w:ascii="Arial" w:hAnsi="Arial" w:cs="Arial"/>
        </w:rPr>
      </w:pPr>
      <w:r w:rsidRPr="00750457">
        <w:rPr>
          <w:rFonts w:ascii="Arial" w:hAnsi="Arial" w:cs="Arial"/>
        </w:rPr>
        <w:t>Employer engagement also plays a central role in translating education into employment. Models such as employment hubs and prison employment leads have the potential to reduce stigma and create clearer pathways into work (New Futures Network, 2026b). However, securing sustainable outcomes depends on the availability of post-placement support and rapid problem-solving when difficulties arise. Joint protocols involving employers, probation services and employability providers can help shift the focus from short-term job entry towards retention and progression.</w:t>
      </w:r>
    </w:p>
    <w:p w14:paraId="1E636A18" w14:textId="45369153" w:rsidR="00731604" w:rsidRPr="00750457" w:rsidRDefault="00731604" w:rsidP="00731604">
      <w:pPr>
        <w:rPr>
          <w:rFonts w:ascii="Arial" w:hAnsi="Arial" w:cs="Arial"/>
        </w:rPr>
      </w:pPr>
      <w:r w:rsidRPr="00750457">
        <w:rPr>
          <w:rFonts w:ascii="Arial" w:hAnsi="Arial" w:cs="Arial"/>
        </w:rPr>
        <w:t xml:space="preserve">Finally, effective employability support requires attention to the practical and administrative barriers that shape the transition from custody to community. Access to identification documents, bank accounts, licences, CVs, interview clothing and work tools can determine whether education and training convert into employment. Through-the-gate provision should therefore integrate these elements within release planning, supported by standardised employability checklists completed </w:t>
      </w:r>
      <w:r w:rsidR="007B0D37">
        <w:rPr>
          <w:rFonts w:ascii="Arial" w:hAnsi="Arial" w:cs="Arial"/>
        </w:rPr>
        <w:t>before</w:t>
      </w:r>
      <w:r w:rsidRPr="00750457">
        <w:rPr>
          <w:rFonts w:ascii="Arial" w:hAnsi="Arial" w:cs="Arial"/>
        </w:rPr>
        <w:t xml:space="preserve"> release and verified shortly afterwards. At a system level, stronger governance and accountability mechanisms are also required. Shared outcomes should be tracked across custody and community settings, supported by data-sharing arrangements that enable follow-up and evaluation. Developing a Wales-wide employability outcomes framework that includes intermediate educational outcomes and employment retention measures would support more coherent and evidence-informed policy and practice.</w:t>
      </w:r>
    </w:p>
    <w:p w14:paraId="47D429A3" w14:textId="0E391045" w:rsidR="00422D7C" w:rsidRPr="00750457" w:rsidRDefault="00422D7C" w:rsidP="00422D7C">
      <w:pPr>
        <w:rPr>
          <w:rFonts w:ascii="Arial" w:hAnsi="Arial" w:cs="Arial"/>
        </w:rPr>
      </w:pPr>
    </w:p>
    <w:p w14:paraId="314E338C" w14:textId="010EAD31" w:rsidR="00422D7C" w:rsidRPr="00750457" w:rsidRDefault="00854217" w:rsidP="00422D7C">
      <w:pPr>
        <w:rPr>
          <w:rFonts w:ascii="Arial" w:hAnsi="Arial" w:cs="Arial"/>
          <w:b/>
          <w:bCs/>
        </w:rPr>
      </w:pPr>
      <w:r w:rsidRPr="00750457">
        <w:rPr>
          <w:rFonts w:ascii="Arial" w:hAnsi="Arial" w:cs="Arial"/>
          <w:b/>
          <w:bCs/>
        </w:rPr>
        <w:t>8</w:t>
      </w:r>
      <w:r w:rsidR="00422D7C" w:rsidRPr="00750457">
        <w:rPr>
          <w:rFonts w:ascii="Arial" w:hAnsi="Arial" w:cs="Arial"/>
          <w:b/>
          <w:bCs/>
        </w:rPr>
        <w:t>. Conclusion</w:t>
      </w:r>
    </w:p>
    <w:p w14:paraId="201C59D4" w14:textId="77777777" w:rsidR="00422D7C" w:rsidRPr="00750457" w:rsidRDefault="00422D7C" w:rsidP="00422D7C">
      <w:pPr>
        <w:rPr>
          <w:rFonts w:ascii="Arial" w:hAnsi="Arial" w:cs="Arial"/>
        </w:rPr>
      </w:pPr>
      <w:r w:rsidRPr="00750457">
        <w:rPr>
          <w:rFonts w:ascii="Arial" w:hAnsi="Arial" w:cs="Arial"/>
        </w:rPr>
        <w:t>Employability policy and post-release support for male prisoners in Wales sits at the intersection of education, labour markets, resettlement practice and a distinctive devolved/non-devolved governance structure. Welsh policy has articulated a clearer vision for prison learning and skills, emphasising engagement, progression and</w:t>
      </w:r>
      <w:r w:rsidRPr="00854217">
        <w:rPr>
          <w:rFonts w:ascii="Arial" w:hAnsi="Arial" w:cs="Arial"/>
        </w:rPr>
        <w:t xml:space="preserve"> </w:t>
      </w:r>
      <w:r w:rsidRPr="00750457">
        <w:rPr>
          <w:rFonts w:ascii="Arial" w:hAnsi="Arial" w:cs="Arial"/>
        </w:rPr>
        <w:lastRenderedPageBreak/>
        <w:t>readiness for employment (Welsh Government, 2024b). HMPPS in Wales positions employment alongside accommodation and treatment as key reducing reoffending priorities (HMPPS, 2022). Yet evidence continues to point to barriers: regime instability limiting purposeful activity and learning participation (HM Inspectorate of Prisons, 2025a), digital exclusion, weak continuity through the gate, and persistent employer stigma.</w:t>
      </w:r>
    </w:p>
    <w:p w14:paraId="7AAED6EE" w14:textId="5D174FCA" w:rsidR="00422D7C" w:rsidRPr="00750457" w:rsidRDefault="00422D7C" w:rsidP="00422D7C">
      <w:pPr>
        <w:rPr>
          <w:rFonts w:ascii="Arial" w:hAnsi="Arial" w:cs="Arial"/>
        </w:rPr>
      </w:pPr>
      <w:r w:rsidRPr="00750457">
        <w:rPr>
          <w:rFonts w:ascii="Arial" w:hAnsi="Arial" w:cs="Arial"/>
        </w:rPr>
        <w:t>From an education journal perspective, the central finding is that employability cannot be achieved through isolated interventions. It depends on coherent learning pathways, stable educational access, and sustained community support that addresses structural barriers and enables desistance-oriented identity change. Improving outcomes for male prison leavers in Wales</w:t>
      </w:r>
      <w:r w:rsidR="007B0D37">
        <w:rPr>
          <w:rFonts w:ascii="Arial" w:hAnsi="Arial" w:cs="Arial"/>
        </w:rPr>
        <w:t>,</w:t>
      </w:r>
      <w:r w:rsidRPr="00750457">
        <w:rPr>
          <w:rFonts w:ascii="Arial" w:hAnsi="Arial" w:cs="Arial"/>
        </w:rPr>
        <w:t xml:space="preserve"> therefore</w:t>
      </w:r>
      <w:r w:rsidR="007B0D37">
        <w:rPr>
          <w:rFonts w:ascii="Arial" w:hAnsi="Arial" w:cs="Arial"/>
        </w:rPr>
        <w:t>,</w:t>
      </w:r>
      <w:r w:rsidRPr="00750457">
        <w:rPr>
          <w:rFonts w:ascii="Arial" w:hAnsi="Arial" w:cs="Arial"/>
        </w:rPr>
        <w:t xml:space="preserve"> requires integrated practice: trauma-informed education; labour market-aligned training developed with employers and regional skills bodies; and coordinated, accountable through-the-gate support that continues well beyond the immediate release period. Future research should prioritise longitudinal Welsh studies that track learning progression into sustained employment, with attention to regional labour markets and cross-border movement, to better identify what combinations of educational and resettlement support produce durable reintegration.</w:t>
      </w:r>
    </w:p>
    <w:p w14:paraId="597B3469" w14:textId="77777777" w:rsidR="00603BFC" w:rsidRPr="00854217" w:rsidRDefault="00603BFC" w:rsidP="000B7281">
      <w:pPr>
        <w:rPr>
          <w:rFonts w:ascii="Arial" w:hAnsi="Arial" w:cs="Arial"/>
        </w:rPr>
      </w:pPr>
    </w:p>
    <w:p w14:paraId="5E38FC2C" w14:textId="77777777" w:rsidR="00BA6DE7" w:rsidRPr="00854217" w:rsidRDefault="00BA6DE7" w:rsidP="000B7281">
      <w:pPr>
        <w:rPr>
          <w:rFonts w:ascii="Arial" w:hAnsi="Arial" w:cs="Arial"/>
        </w:rPr>
      </w:pPr>
    </w:p>
    <w:p w14:paraId="6783FA06" w14:textId="77777777" w:rsidR="00BA6DE7" w:rsidRPr="00854217" w:rsidRDefault="00BA6DE7" w:rsidP="000B7281">
      <w:pPr>
        <w:rPr>
          <w:rFonts w:ascii="Arial" w:hAnsi="Arial" w:cs="Arial"/>
        </w:rPr>
      </w:pPr>
    </w:p>
    <w:p w14:paraId="50F83DF2" w14:textId="77777777" w:rsidR="00C53151" w:rsidRPr="00854217" w:rsidRDefault="00C53151" w:rsidP="000B7281">
      <w:pPr>
        <w:rPr>
          <w:rFonts w:ascii="Arial" w:hAnsi="Arial" w:cs="Arial"/>
        </w:rPr>
      </w:pPr>
    </w:p>
    <w:p w14:paraId="2020B8B8" w14:textId="77777777" w:rsidR="00C53151" w:rsidRPr="00854217" w:rsidRDefault="00C53151" w:rsidP="000B7281">
      <w:pPr>
        <w:rPr>
          <w:rFonts w:ascii="Arial" w:hAnsi="Arial" w:cs="Arial"/>
        </w:rPr>
      </w:pPr>
    </w:p>
    <w:p w14:paraId="20DA1118" w14:textId="77777777" w:rsidR="00C53151" w:rsidRPr="00854217" w:rsidRDefault="00C53151" w:rsidP="000B7281">
      <w:pPr>
        <w:rPr>
          <w:rFonts w:ascii="Arial" w:hAnsi="Arial" w:cs="Arial"/>
        </w:rPr>
      </w:pPr>
    </w:p>
    <w:p w14:paraId="58B80F09" w14:textId="77777777" w:rsidR="00C53151" w:rsidRPr="00854217" w:rsidRDefault="00C53151" w:rsidP="000B7281">
      <w:pPr>
        <w:rPr>
          <w:rFonts w:ascii="Arial" w:hAnsi="Arial" w:cs="Arial"/>
        </w:rPr>
      </w:pPr>
    </w:p>
    <w:p w14:paraId="491CFDED" w14:textId="77777777" w:rsidR="00C53151" w:rsidRPr="00854217" w:rsidRDefault="00C53151" w:rsidP="000B7281">
      <w:pPr>
        <w:rPr>
          <w:rFonts w:ascii="Arial" w:hAnsi="Arial" w:cs="Arial"/>
        </w:rPr>
      </w:pPr>
    </w:p>
    <w:p w14:paraId="3DAB9960" w14:textId="77777777" w:rsidR="00C53151" w:rsidRPr="00854217" w:rsidRDefault="00C53151" w:rsidP="000B7281">
      <w:pPr>
        <w:rPr>
          <w:rFonts w:ascii="Arial" w:hAnsi="Arial" w:cs="Arial"/>
        </w:rPr>
      </w:pPr>
    </w:p>
    <w:p w14:paraId="3EC54C43" w14:textId="77777777" w:rsidR="00C53151" w:rsidRPr="00854217" w:rsidRDefault="00C53151" w:rsidP="000B7281">
      <w:pPr>
        <w:rPr>
          <w:rFonts w:ascii="Arial" w:hAnsi="Arial" w:cs="Arial"/>
        </w:rPr>
      </w:pPr>
    </w:p>
    <w:p w14:paraId="7B55D801" w14:textId="77777777" w:rsidR="00C53151" w:rsidRPr="00854217" w:rsidRDefault="00C53151" w:rsidP="000B7281">
      <w:pPr>
        <w:rPr>
          <w:rFonts w:ascii="Arial" w:hAnsi="Arial" w:cs="Arial"/>
        </w:rPr>
      </w:pPr>
    </w:p>
    <w:p w14:paraId="40F337DB" w14:textId="77777777" w:rsidR="00C53151" w:rsidRPr="00854217" w:rsidRDefault="00C53151" w:rsidP="000B7281">
      <w:pPr>
        <w:rPr>
          <w:rFonts w:ascii="Arial" w:hAnsi="Arial" w:cs="Arial"/>
        </w:rPr>
      </w:pPr>
    </w:p>
    <w:p w14:paraId="57D1DDCE" w14:textId="77777777" w:rsidR="00C53151" w:rsidRPr="00854217" w:rsidRDefault="00C53151" w:rsidP="000B7281">
      <w:pPr>
        <w:rPr>
          <w:rFonts w:ascii="Arial" w:hAnsi="Arial" w:cs="Arial"/>
        </w:rPr>
      </w:pPr>
    </w:p>
    <w:p w14:paraId="41251A8B" w14:textId="77777777" w:rsidR="00C53151" w:rsidRPr="00854217" w:rsidRDefault="00C53151" w:rsidP="000B7281">
      <w:pPr>
        <w:rPr>
          <w:rFonts w:ascii="Arial" w:hAnsi="Arial" w:cs="Arial"/>
        </w:rPr>
      </w:pPr>
    </w:p>
    <w:p w14:paraId="642A4FAF" w14:textId="77777777" w:rsidR="00C53151" w:rsidRPr="00854217" w:rsidRDefault="00C53151" w:rsidP="000B7281">
      <w:pPr>
        <w:rPr>
          <w:rFonts w:ascii="Arial" w:hAnsi="Arial" w:cs="Arial"/>
        </w:rPr>
      </w:pPr>
    </w:p>
    <w:p w14:paraId="18F6334F" w14:textId="77777777" w:rsidR="00C53151" w:rsidRPr="00854217" w:rsidRDefault="00C53151" w:rsidP="000B7281">
      <w:pPr>
        <w:rPr>
          <w:rFonts w:ascii="Arial" w:hAnsi="Arial" w:cs="Arial"/>
        </w:rPr>
      </w:pPr>
    </w:p>
    <w:p w14:paraId="3270D842" w14:textId="4C274490" w:rsidR="00C53151" w:rsidRPr="0040132A" w:rsidRDefault="00C53151" w:rsidP="000B7281">
      <w:pPr>
        <w:rPr>
          <w:rFonts w:ascii="Arial" w:hAnsi="Arial" w:cs="Arial"/>
          <w:b/>
          <w:bCs/>
        </w:rPr>
      </w:pPr>
      <w:r w:rsidRPr="0040132A">
        <w:rPr>
          <w:rFonts w:ascii="Arial" w:hAnsi="Arial" w:cs="Arial"/>
          <w:b/>
          <w:bCs/>
        </w:rPr>
        <w:lastRenderedPageBreak/>
        <w:t>References</w:t>
      </w:r>
    </w:p>
    <w:p w14:paraId="76DD6EE6" w14:textId="579F89F4" w:rsidR="00C22A0A" w:rsidRPr="00C22A0A" w:rsidRDefault="00C22A0A" w:rsidP="00C22A0A">
      <w:pPr>
        <w:rPr>
          <w:rFonts w:ascii="Arial" w:hAnsi="Arial" w:cs="Arial"/>
        </w:rPr>
      </w:pPr>
      <w:r w:rsidRPr="00C22A0A">
        <w:rPr>
          <w:rFonts w:ascii="Arial" w:hAnsi="Arial" w:cs="Arial"/>
        </w:rPr>
        <w:t>Coates, S. (2016)</w:t>
      </w:r>
      <w:r w:rsidR="00F01F6C">
        <w:rPr>
          <w:rFonts w:ascii="Arial" w:hAnsi="Arial" w:cs="Arial"/>
        </w:rPr>
        <w:t>.</w:t>
      </w:r>
      <w:r w:rsidRPr="00C22A0A">
        <w:rPr>
          <w:rFonts w:ascii="Arial" w:hAnsi="Arial" w:cs="Arial"/>
        </w:rPr>
        <w:t xml:space="preserve"> </w:t>
      </w:r>
      <w:r w:rsidRPr="00C22A0A">
        <w:rPr>
          <w:rFonts w:ascii="Arial" w:hAnsi="Arial" w:cs="Arial"/>
          <w:i/>
          <w:iCs/>
        </w:rPr>
        <w:t>Unlocking potential: A review of education in prison</w:t>
      </w:r>
      <w:r w:rsidRPr="00C22A0A">
        <w:rPr>
          <w:rFonts w:ascii="Arial" w:hAnsi="Arial" w:cs="Arial"/>
        </w:rPr>
        <w:t>. London: Ministry of Justice. Available at:</w:t>
      </w:r>
      <w:r w:rsidRPr="00C22A0A">
        <w:rPr>
          <w:rFonts w:ascii="Arial" w:hAnsi="Arial" w:cs="Arial"/>
        </w:rPr>
        <w:br/>
      </w:r>
      <w:hyperlink r:id="rId7" w:tgtFrame="_new" w:history="1">
        <w:r w:rsidRPr="00C22A0A">
          <w:rPr>
            <w:rStyle w:val="Hyperlink"/>
            <w:rFonts w:ascii="Arial" w:hAnsi="Arial" w:cs="Arial"/>
          </w:rPr>
          <w:t>https://www.gov.uk/government/publications/unlocking-potential-a-review-of-education-in-prison</w:t>
        </w:r>
      </w:hyperlink>
      <w:r w:rsidRPr="00C22A0A">
        <w:rPr>
          <w:rFonts w:ascii="Arial" w:hAnsi="Arial" w:cs="Arial"/>
        </w:rPr>
        <w:br/>
        <w:t>(Accessed:</w:t>
      </w:r>
      <w:r w:rsidR="00DE6556">
        <w:rPr>
          <w:rFonts w:ascii="Arial" w:hAnsi="Arial" w:cs="Arial"/>
        </w:rPr>
        <w:t>23</w:t>
      </w:r>
      <w:r w:rsidRPr="00C22A0A">
        <w:rPr>
          <w:rFonts w:ascii="Arial" w:hAnsi="Arial" w:cs="Arial"/>
        </w:rPr>
        <w:t xml:space="preserve"> </w:t>
      </w:r>
      <w:r w:rsidR="00F01F6C">
        <w:rPr>
          <w:rFonts w:ascii="Arial" w:hAnsi="Arial" w:cs="Arial"/>
        </w:rPr>
        <w:t>December 2025</w:t>
      </w:r>
      <w:r w:rsidRPr="00C22A0A">
        <w:rPr>
          <w:rFonts w:ascii="Arial" w:hAnsi="Arial" w:cs="Arial"/>
        </w:rPr>
        <w:t>).</w:t>
      </w:r>
    </w:p>
    <w:p w14:paraId="07797EC3" w14:textId="466B1EE7" w:rsidR="00C22A0A" w:rsidRPr="00C22A0A" w:rsidRDefault="00C22A0A" w:rsidP="00C22A0A">
      <w:pPr>
        <w:rPr>
          <w:rFonts w:ascii="Arial" w:hAnsi="Arial" w:cs="Arial"/>
        </w:rPr>
      </w:pPr>
      <w:r w:rsidRPr="00C22A0A">
        <w:rPr>
          <w:rFonts w:ascii="Arial" w:hAnsi="Arial" w:cs="Arial"/>
        </w:rPr>
        <w:t>HM Inspectorate of Prisons (2025a)</w:t>
      </w:r>
      <w:r w:rsidR="00F01F6C">
        <w:rPr>
          <w:rFonts w:ascii="Arial" w:hAnsi="Arial" w:cs="Arial"/>
        </w:rPr>
        <w:t>.</w:t>
      </w:r>
      <w:r w:rsidRPr="00C22A0A">
        <w:rPr>
          <w:rFonts w:ascii="Arial" w:hAnsi="Arial" w:cs="Arial"/>
        </w:rPr>
        <w:t xml:space="preserve"> </w:t>
      </w:r>
      <w:r w:rsidRPr="00C22A0A">
        <w:rPr>
          <w:rFonts w:ascii="Arial" w:hAnsi="Arial" w:cs="Arial"/>
          <w:i/>
          <w:iCs/>
        </w:rPr>
        <w:t>Report on an unannounced inspection of HMP Berwyn</w:t>
      </w:r>
      <w:r w:rsidRPr="00C22A0A">
        <w:rPr>
          <w:rFonts w:ascii="Arial" w:hAnsi="Arial" w:cs="Arial"/>
        </w:rPr>
        <w:t>. London: HM Inspectorate of Prisons. Available at:</w:t>
      </w:r>
      <w:r w:rsidRPr="00C22A0A">
        <w:rPr>
          <w:rFonts w:ascii="Arial" w:hAnsi="Arial" w:cs="Arial"/>
        </w:rPr>
        <w:br/>
      </w:r>
      <w:hyperlink r:id="rId8" w:tgtFrame="_new" w:history="1">
        <w:r w:rsidRPr="00C22A0A">
          <w:rPr>
            <w:rStyle w:val="Hyperlink"/>
            <w:rFonts w:ascii="Arial" w:hAnsi="Arial" w:cs="Arial"/>
          </w:rPr>
          <w:t>https://www.justiceinspectorates.gov.uk/hmiprisons/inspections/hmp-berwyn/</w:t>
        </w:r>
      </w:hyperlink>
      <w:r w:rsidRPr="00C22A0A">
        <w:rPr>
          <w:rFonts w:ascii="Arial" w:hAnsi="Arial" w:cs="Arial"/>
        </w:rPr>
        <w:br/>
        <w:t>(Accessed:</w:t>
      </w:r>
      <w:r w:rsidR="00FB037C">
        <w:rPr>
          <w:rFonts w:ascii="Arial" w:hAnsi="Arial" w:cs="Arial"/>
        </w:rPr>
        <w:t>2</w:t>
      </w:r>
      <w:r w:rsidR="00DF0716">
        <w:rPr>
          <w:rFonts w:ascii="Arial" w:hAnsi="Arial" w:cs="Arial"/>
        </w:rPr>
        <w:t>9</w:t>
      </w:r>
      <w:r w:rsidR="00F01F6C">
        <w:rPr>
          <w:rFonts w:ascii="Arial" w:hAnsi="Arial" w:cs="Arial"/>
        </w:rPr>
        <w:t xml:space="preserve"> December 2025</w:t>
      </w:r>
      <w:r w:rsidRPr="00C22A0A">
        <w:rPr>
          <w:rFonts w:ascii="Arial" w:hAnsi="Arial" w:cs="Arial"/>
        </w:rPr>
        <w:t>).</w:t>
      </w:r>
    </w:p>
    <w:p w14:paraId="110D9797" w14:textId="5D5DBB1B" w:rsidR="00273374" w:rsidRDefault="00C22A0A" w:rsidP="00273374">
      <w:pPr>
        <w:spacing w:after="0"/>
        <w:rPr>
          <w:rFonts w:ascii="Arial" w:hAnsi="Arial" w:cs="Arial"/>
        </w:rPr>
      </w:pPr>
      <w:r w:rsidRPr="00C22A0A">
        <w:rPr>
          <w:rFonts w:ascii="Arial" w:hAnsi="Arial" w:cs="Arial"/>
        </w:rPr>
        <w:t>HM Prison and Probation Service (HMPPS) (2019)</w:t>
      </w:r>
      <w:r w:rsidR="00F01F6C">
        <w:rPr>
          <w:rFonts w:ascii="Arial" w:hAnsi="Arial" w:cs="Arial"/>
        </w:rPr>
        <w:t>.</w:t>
      </w:r>
      <w:r w:rsidRPr="00C22A0A">
        <w:rPr>
          <w:rFonts w:ascii="Arial" w:hAnsi="Arial" w:cs="Arial"/>
        </w:rPr>
        <w:t xml:space="preserve"> </w:t>
      </w:r>
      <w:r w:rsidRPr="00C22A0A">
        <w:rPr>
          <w:rFonts w:ascii="Arial" w:hAnsi="Arial" w:cs="Arial"/>
          <w:i/>
          <w:iCs/>
        </w:rPr>
        <w:t>Learning and skills strategy for Wales prisons</w:t>
      </w:r>
      <w:r w:rsidRPr="00C22A0A">
        <w:rPr>
          <w:rFonts w:ascii="Arial" w:hAnsi="Arial" w:cs="Arial"/>
        </w:rPr>
        <w:t>. London: HM Prison and Probation Service. Available at:</w:t>
      </w:r>
      <w:r w:rsidRPr="00C22A0A">
        <w:rPr>
          <w:rFonts w:ascii="Arial" w:hAnsi="Arial" w:cs="Arial"/>
        </w:rPr>
        <w:br/>
      </w:r>
      <w:hyperlink r:id="rId9" w:history="1">
        <w:r w:rsidR="00273374" w:rsidRPr="00273374">
          <w:rPr>
            <w:rStyle w:val="Hyperlink"/>
            <w:rFonts w:ascii="Arial" w:hAnsi="Arial" w:cs="Arial"/>
          </w:rPr>
          <w:t>HMPPS in Wales</w:t>
        </w:r>
      </w:hyperlink>
      <w:r w:rsidR="00273374">
        <w:rPr>
          <w:rFonts w:ascii="Arial" w:hAnsi="Arial" w:cs="Arial"/>
        </w:rPr>
        <w:t xml:space="preserve"> </w:t>
      </w:r>
    </w:p>
    <w:p w14:paraId="5B00B529" w14:textId="7B6AAC91" w:rsidR="00C22A0A" w:rsidRDefault="00C22A0A" w:rsidP="00273374">
      <w:pPr>
        <w:spacing w:after="0"/>
        <w:rPr>
          <w:rFonts w:ascii="Arial" w:hAnsi="Arial" w:cs="Arial"/>
        </w:rPr>
      </w:pPr>
      <w:r w:rsidRPr="00C22A0A">
        <w:rPr>
          <w:rFonts w:ascii="Arial" w:hAnsi="Arial" w:cs="Arial"/>
        </w:rPr>
        <w:t>(Accessed:</w:t>
      </w:r>
      <w:r w:rsidR="00FB037C">
        <w:rPr>
          <w:rFonts w:ascii="Arial" w:hAnsi="Arial" w:cs="Arial"/>
        </w:rPr>
        <w:t>2</w:t>
      </w:r>
      <w:r w:rsidR="00DF0716">
        <w:rPr>
          <w:rFonts w:ascii="Arial" w:hAnsi="Arial" w:cs="Arial"/>
        </w:rPr>
        <w:t>9</w:t>
      </w:r>
      <w:r w:rsidRPr="00C22A0A">
        <w:rPr>
          <w:rFonts w:ascii="Arial" w:hAnsi="Arial" w:cs="Arial"/>
        </w:rPr>
        <w:t xml:space="preserve"> </w:t>
      </w:r>
      <w:r w:rsidR="00FB037C">
        <w:rPr>
          <w:rFonts w:ascii="Arial" w:hAnsi="Arial" w:cs="Arial"/>
        </w:rPr>
        <w:t>December 2025</w:t>
      </w:r>
      <w:r w:rsidRPr="00C22A0A">
        <w:rPr>
          <w:rFonts w:ascii="Arial" w:hAnsi="Arial" w:cs="Arial"/>
        </w:rPr>
        <w:t>).</w:t>
      </w:r>
    </w:p>
    <w:p w14:paraId="4C84AAEB" w14:textId="77777777" w:rsidR="00273374" w:rsidRPr="00C22A0A" w:rsidRDefault="00273374" w:rsidP="00273374">
      <w:pPr>
        <w:spacing w:after="0"/>
        <w:rPr>
          <w:rFonts w:ascii="Arial" w:hAnsi="Arial" w:cs="Arial"/>
        </w:rPr>
      </w:pPr>
    </w:p>
    <w:p w14:paraId="4532DA2F" w14:textId="46644364" w:rsidR="00C22A0A" w:rsidRPr="00C22A0A" w:rsidRDefault="00C22A0A" w:rsidP="00C22A0A">
      <w:pPr>
        <w:rPr>
          <w:rFonts w:ascii="Arial" w:hAnsi="Arial" w:cs="Arial"/>
        </w:rPr>
      </w:pPr>
      <w:r w:rsidRPr="00C22A0A">
        <w:rPr>
          <w:rFonts w:ascii="Arial" w:hAnsi="Arial" w:cs="Arial"/>
        </w:rPr>
        <w:t xml:space="preserve">HM Prison and Probation Service (HMPPS) (2022) </w:t>
      </w:r>
      <w:r w:rsidRPr="00C22A0A">
        <w:rPr>
          <w:rFonts w:ascii="Arial" w:hAnsi="Arial" w:cs="Arial"/>
          <w:i/>
          <w:iCs/>
        </w:rPr>
        <w:t>Wales reducing reoffending plan 2022–2025</w:t>
      </w:r>
      <w:r w:rsidRPr="00C22A0A">
        <w:rPr>
          <w:rFonts w:ascii="Arial" w:hAnsi="Arial" w:cs="Arial"/>
        </w:rPr>
        <w:t>. London: HM Prison and Probation Service. Available at:</w:t>
      </w:r>
      <w:r w:rsidRPr="00C22A0A">
        <w:rPr>
          <w:rFonts w:ascii="Arial" w:hAnsi="Arial" w:cs="Arial"/>
        </w:rPr>
        <w:br/>
      </w:r>
      <w:hyperlink r:id="rId10" w:history="1">
        <w:r w:rsidR="00DE1DF2" w:rsidRPr="00DE1DF2">
          <w:rPr>
            <w:rStyle w:val="Hyperlink"/>
            <w:rFonts w:ascii="Arial" w:hAnsi="Arial" w:cs="Arial"/>
          </w:rPr>
          <w:t>Reducing Reoffending Plan 2022-25 for Wales</w:t>
        </w:r>
      </w:hyperlink>
      <w:r w:rsidRPr="00C22A0A">
        <w:rPr>
          <w:rFonts w:ascii="Arial" w:hAnsi="Arial" w:cs="Arial"/>
        </w:rPr>
        <w:br/>
        <w:t>(Accessed:</w:t>
      </w:r>
      <w:r w:rsidR="00FB037C">
        <w:rPr>
          <w:rFonts w:ascii="Arial" w:hAnsi="Arial" w:cs="Arial"/>
        </w:rPr>
        <w:t>2</w:t>
      </w:r>
      <w:r w:rsidR="00DF0716">
        <w:rPr>
          <w:rFonts w:ascii="Arial" w:hAnsi="Arial" w:cs="Arial"/>
        </w:rPr>
        <w:t>9</w:t>
      </w:r>
      <w:r w:rsidRPr="00C22A0A">
        <w:rPr>
          <w:rFonts w:ascii="Arial" w:hAnsi="Arial" w:cs="Arial"/>
        </w:rPr>
        <w:t xml:space="preserve"> </w:t>
      </w:r>
      <w:r w:rsidR="00FB037C">
        <w:rPr>
          <w:rFonts w:ascii="Arial" w:hAnsi="Arial" w:cs="Arial"/>
        </w:rPr>
        <w:t>December 2025</w:t>
      </w:r>
      <w:r w:rsidRPr="00C22A0A">
        <w:rPr>
          <w:rFonts w:ascii="Arial" w:hAnsi="Arial" w:cs="Arial"/>
        </w:rPr>
        <w:t>).</w:t>
      </w:r>
    </w:p>
    <w:p w14:paraId="4AE91351" w14:textId="5FCFBD83" w:rsidR="00C22A0A" w:rsidRPr="00C22A0A" w:rsidRDefault="00C22A0A" w:rsidP="00C22A0A">
      <w:pPr>
        <w:rPr>
          <w:rFonts w:ascii="Arial" w:hAnsi="Arial" w:cs="Arial"/>
        </w:rPr>
      </w:pPr>
      <w:r w:rsidRPr="00C22A0A">
        <w:rPr>
          <w:rFonts w:ascii="Arial" w:hAnsi="Arial" w:cs="Arial"/>
        </w:rPr>
        <w:t>House of Commons (2025)</w:t>
      </w:r>
      <w:r w:rsidR="007B0D37">
        <w:rPr>
          <w:rFonts w:ascii="Arial" w:hAnsi="Arial" w:cs="Arial"/>
        </w:rPr>
        <w:t>.</w:t>
      </w:r>
      <w:r w:rsidRPr="00C22A0A">
        <w:rPr>
          <w:rFonts w:ascii="Arial" w:hAnsi="Arial" w:cs="Arial"/>
        </w:rPr>
        <w:t xml:space="preserve"> </w:t>
      </w:r>
      <w:r w:rsidRPr="00C22A0A">
        <w:rPr>
          <w:rFonts w:ascii="Arial" w:hAnsi="Arial" w:cs="Arial"/>
          <w:i/>
          <w:iCs/>
        </w:rPr>
        <w:t>Evidence on prison education and contracting in Wales</w:t>
      </w:r>
      <w:r w:rsidRPr="00C22A0A">
        <w:rPr>
          <w:rFonts w:ascii="Arial" w:hAnsi="Arial" w:cs="Arial"/>
        </w:rPr>
        <w:t>. London: UK Parliament. Available at:</w:t>
      </w:r>
      <w:r w:rsidRPr="00C22A0A">
        <w:rPr>
          <w:rFonts w:ascii="Arial" w:hAnsi="Arial" w:cs="Arial"/>
        </w:rPr>
        <w:br/>
      </w:r>
      <w:hyperlink r:id="rId11" w:tgtFrame="_new" w:history="1">
        <w:r w:rsidRPr="00C22A0A">
          <w:rPr>
            <w:rStyle w:val="Hyperlink"/>
            <w:rFonts w:ascii="Arial" w:hAnsi="Arial" w:cs="Arial"/>
          </w:rPr>
          <w:t>https://committees.parliament.uk</w:t>
        </w:r>
      </w:hyperlink>
      <w:r w:rsidRPr="00C22A0A">
        <w:rPr>
          <w:rFonts w:ascii="Arial" w:hAnsi="Arial" w:cs="Arial"/>
        </w:rPr>
        <w:br/>
        <w:t>(Accessed:</w:t>
      </w:r>
      <w:r w:rsidR="00FB037C">
        <w:rPr>
          <w:rFonts w:ascii="Arial" w:hAnsi="Arial" w:cs="Arial"/>
        </w:rPr>
        <w:t>2</w:t>
      </w:r>
      <w:r w:rsidR="00DF0716">
        <w:rPr>
          <w:rFonts w:ascii="Arial" w:hAnsi="Arial" w:cs="Arial"/>
        </w:rPr>
        <w:t>9</w:t>
      </w:r>
      <w:r w:rsidRPr="00C22A0A">
        <w:rPr>
          <w:rFonts w:ascii="Arial" w:hAnsi="Arial" w:cs="Arial"/>
        </w:rPr>
        <w:t xml:space="preserve"> </w:t>
      </w:r>
      <w:r w:rsidR="00FB037C">
        <w:rPr>
          <w:rFonts w:ascii="Arial" w:hAnsi="Arial" w:cs="Arial"/>
        </w:rPr>
        <w:t>December 2025</w:t>
      </w:r>
      <w:r w:rsidRPr="00C22A0A">
        <w:rPr>
          <w:rFonts w:ascii="Arial" w:hAnsi="Arial" w:cs="Arial"/>
        </w:rPr>
        <w:t>).</w:t>
      </w:r>
    </w:p>
    <w:p w14:paraId="6A96E6E3" w14:textId="19596497" w:rsidR="00C22A0A" w:rsidRDefault="00C22A0A" w:rsidP="00FB037C">
      <w:pPr>
        <w:spacing w:after="0"/>
        <w:rPr>
          <w:rFonts w:ascii="Arial" w:hAnsi="Arial" w:cs="Arial"/>
        </w:rPr>
      </w:pPr>
      <w:r w:rsidRPr="00C22A0A">
        <w:rPr>
          <w:rFonts w:ascii="Arial" w:hAnsi="Arial" w:cs="Arial"/>
        </w:rPr>
        <w:t>Maruna, S. (2001)</w:t>
      </w:r>
      <w:r w:rsidR="007B0D37">
        <w:rPr>
          <w:rFonts w:ascii="Arial" w:hAnsi="Arial" w:cs="Arial"/>
        </w:rPr>
        <w:t>.</w:t>
      </w:r>
      <w:r w:rsidRPr="00C22A0A">
        <w:rPr>
          <w:rFonts w:ascii="Arial" w:hAnsi="Arial" w:cs="Arial"/>
        </w:rPr>
        <w:t xml:space="preserve"> </w:t>
      </w:r>
      <w:r w:rsidRPr="00C22A0A">
        <w:rPr>
          <w:rFonts w:ascii="Arial" w:hAnsi="Arial" w:cs="Arial"/>
          <w:i/>
          <w:iCs/>
        </w:rPr>
        <w:t>Making good: How ex-convicts reform and rebuild their lives</w:t>
      </w:r>
      <w:r w:rsidRPr="00C22A0A">
        <w:rPr>
          <w:rFonts w:ascii="Arial" w:hAnsi="Arial" w:cs="Arial"/>
        </w:rPr>
        <w:t>. Washington, DC: American Psychological Association</w:t>
      </w:r>
      <w:r w:rsidR="004D303A">
        <w:rPr>
          <w:rFonts w:ascii="Arial" w:hAnsi="Arial" w:cs="Arial"/>
        </w:rPr>
        <w:t xml:space="preserve">. Available at: </w:t>
      </w:r>
      <w:hyperlink r:id="rId12" w:history="1">
        <w:r w:rsidR="004D303A" w:rsidRPr="004D303A">
          <w:rPr>
            <w:rStyle w:val="Hyperlink"/>
            <w:rFonts w:ascii="Arial" w:hAnsi="Arial" w:cs="Arial"/>
          </w:rPr>
          <w:t>(PDF) Making Good: How Ex-Convicts Reform and Rebuild Their Lives</w:t>
        </w:r>
      </w:hyperlink>
    </w:p>
    <w:p w14:paraId="62022A50" w14:textId="34740CB6" w:rsidR="00DA7412" w:rsidRDefault="00DA7412" w:rsidP="00FB037C">
      <w:pPr>
        <w:spacing w:after="0"/>
        <w:rPr>
          <w:rFonts w:ascii="Arial" w:hAnsi="Arial" w:cs="Arial"/>
        </w:rPr>
      </w:pPr>
      <w:r>
        <w:rPr>
          <w:rFonts w:ascii="Arial" w:hAnsi="Arial" w:cs="Arial"/>
        </w:rPr>
        <w:t>(Accessed:</w:t>
      </w:r>
      <w:r w:rsidR="00FB037C">
        <w:rPr>
          <w:rFonts w:ascii="Arial" w:hAnsi="Arial" w:cs="Arial"/>
        </w:rPr>
        <w:t xml:space="preserve">23 </w:t>
      </w:r>
      <w:r w:rsidR="00FB037C">
        <w:rPr>
          <w:rFonts w:ascii="Arial" w:hAnsi="Arial" w:cs="Arial"/>
        </w:rPr>
        <w:t>December 2025</w:t>
      </w:r>
      <w:r>
        <w:rPr>
          <w:rFonts w:ascii="Arial" w:hAnsi="Arial" w:cs="Arial"/>
        </w:rPr>
        <w:t>)</w:t>
      </w:r>
    </w:p>
    <w:p w14:paraId="2177C258" w14:textId="77777777" w:rsidR="00FB037C" w:rsidRPr="00C22A0A" w:rsidRDefault="00FB037C" w:rsidP="00FB037C">
      <w:pPr>
        <w:spacing w:after="0"/>
        <w:rPr>
          <w:rFonts w:ascii="Arial" w:hAnsi="Arial" w:cs="Arial"/>
        </w:rPr>
      </w:pPr>
    </w:p>
    <w:p w14:paraId="3A2471D9" w14:textId="0ED20337" w:rsidR="00C22A0A" w:rsidRPr="00C22A0A" w:rsidRDefault="00C22A0A" w:rsidP="00C22A0A">
      <w:pPr>
        <w:rPr>
          <w:rFonts w:ascii="Arial" w:hAnsi="Arial" w:cs="Arial"/>
        </w:rPr>
      </w:pPr>
      <w:r w:rsidRPr="00C22A0A">
        <w:rPr>
          <w:rFonts w:ascii="Arial" w:hAnsi="Arial" w:cs="Arial"/>
        </w:rPr>
        <w:t>McNeill, F. (2012)</w:t>
      </w:r>
      <w:r w:rsidR="00EA0690">
        <w:rPr>
          <w:rFonts w:ascii="Arial" w:hAnsi="Arial" w:cs="Arial"/>
        </w:rPr>
        <w:t>.</w:t>
      </w:r>
      <w:r w:rsidRPr="00C22A0A">
        <w:rPr>
          <w:rFonts w:ascii="Arial" w:hAnsi="Arial" w:cs="Arial"/>
        </w:rPr>
        <w:t xml:space="preserve"> ‘Four forms of “offender” rehabilitation: Towards an interdisciplinary perspective’, </w:t>
      </w:r>
      <w:r w:rsidRPr="00C22A0A">
        <w:rPr>
          <w:rFonts w:ascii="Arial" w:hAnsi="Arial" w:cs="Arial"/>
          <w:i/>
          <w:iCs/>
        </w:rPr>
        <w:t>Legal and Criminological Psychology</w:t>
      </w:r>
      <w:r w:rsidRPr="00C22A0A">
        <w:rPr>
          <w:rFonts w:ascii="Arial" w:hAnsi="Arial" w:cs="Arial"/>
        </w:rPr>
        <w:t>, 17(1), pp. 18–36. Available at:</w:t>
      </w:r>
      <w:r w:rsidRPr="00C22A0A">
        <w:rPr>
          <w:rFonts w:ascii="Arial" w:hAnsi="Arial" w:cs="Arial"/>
        </w:rPr>
        <w:br/>
      </w:r>
      <w:hyperlink r:id="rId13" w:tgtFrame="_new" w:history="1">
        <w:r w:rsidRPr="00C22A0A">
          <w:rPr>
            <w:rStyle w:val="Hyperlink"/>
            <w:rFonts w:ascii="Arial" w:hAnsi="Arial" w:cs="Arial"/>
          </w:rPr>
          <w:t>https://doi.org/10.1111/j.2044-8333.2011.02039.x</w:t>
        </w:r>
      </w:hyperlink>
      <w:r w:rsidRPr="00C22A0A">
        <w:rPr>
          <w:rFonts w:ascii="Arial" w:hAnsi="Arial" w:cs="Arial"/>
        </w:rPr>
        <w:br/>
        <w:t>(Accessed:</w:t>
      </w:r>
      <w:r w:rsidR="0028132D">
        <w:rPr>
          <w:rFonts w:ascii="Arial" w:hAnsi="Arial" w:cs="Arial"/>
        </w:rPr>
        <w:t>3</w:t>
      </w:r>
      <w:r w:rsidRPr="00C22A0A">
        <w:rPr>
          <w:rFonts w:ascii="Arial" w:hAnsi="Arial" w:cs="Arial"/>
        </w:rPr>
        <w:t xml:space="preserve"> January 2026).</w:t>
      </w:r>
    </w:p>
    <w:p w14:paraId="73396AE7" w14:textId="7BB3DA9D" w:rsidR="00E76E07" w:rsidRDefault="00C22A0A" w:rsidP="00E14BA0">
      <w:pPr>
        <w:spacing w:after="0"/>
        <w:rPr>
          <w:rFonts w:ascii="Arial" w:hAnsi="Arial" w:cs="Arial"/>
        </w:rPr>
      </w:pPr>
      <w:r w:rsidRPr="00C22A0A">
        <w:rPr>
          <w:rFonts w:ascii="Arial" w:hAnsi="Arial" w:cs="Arial"/>
        </w:rPr>
        <w:t>National Audit Office (2019)</w:t>
      </w:r>
      <w:r w:rsidR="00EA0690">
        <w:rPr>
          <w:rFonts w:ascii="Arial" w:hAnsi="Arial" w:cs="Arial"/>
        </w:rPr>
        <w:t>.</w:t>
      </w:r>
      <w:r w:rsidRPr="00C22A0A">
        <w:rPr>
          <w:rFonts w:ascii="Arial" w:hAnsi="Arial" w:cs="Arial"/>
        </w:rPr>
        <w:t xml:space="preserve"> </w:t>
      </w:r>
      <w:r w:rsidRPr="00C22A0A">
        <w:rPr>
          <w:rFonts w:ascii="Arial" w:hAnsi="Arial" w:cs="Arial"/>
          <w:i/>
          <w:iCs/>
        </w:rPr>
        <w:t>Improving the outcomes for people in custody and on temporary licence</w:t>
      </w:r>
      <w:r w:rsidRPr="00C22A0A">
        <w:rPr>
          <w:rFonts w:ascii="Arial" w:hAnsi="Arial" w:cs="Arial"/>
        </w:rPr>
        <w:t>. London: NAO. Available at:</w:t>
      </w:r>
      <w:r w:rsidRPr="00C22A0A">
        <w:rPr>
          <w:rFonts w:ascii="Arial" w:hAnsi="Arial" w:cs="Arial"/>
        </w:rPr>
        <w:br/>
      </w:r>
      <w:hyperlink r:id="rId14" w:history="1">
        <w:r w:rsidR="00E14BA0" w:rsidRPr="00E14BA0">
          <w:rPr>
            <w:rStyle w:val="Hyperlink"/>
            <w:rFonts w:ascii="Arial" w:hAnsi="Arial" w:cs="Arial"/>
          </w:rPr>
          <w:t>Transforming Rehabilitation: Progress review</w:t>
        </w:r>
      </w:hyperlink>
    </w:p>
    <w:p w14:paraId="14EFC807" w14:textId="6DF4912E" w:rsidR="00C22A0A" w:rsidRDefault="00C22A0A" w:rsidP="00E14BA0">
      <w:pPr>
        <w:spacing w:after="0"/>
        <w:rPr>
          <w:rFonts w:ascii="Arial" w:hAnsi="Arial" w:cs="Arial"/>
        </w:rPr>
      </w:pPr>
      <w:r w:rsidRPr="00C22A0A">
        <w:rPr>
          <w:rFonts w:ascii="Arial" w:hAnsi="Arial" w:cs="Arial"/>
        </w:rPr>
        <w:t>(Accessed:</w:t>
      </w:r>
      <w:r w:rsidR="0028132D">
        <w:rPr>
          <w:rFonts w:ascii="Arial" w:hAnsi="Arial" w:cs="Arial"/>
        </w:rPr>
        <w:t xml:space="preserve">3 </w:t>
      </w:r>
      <w:r w:rsidRPr="00C22A0A">
        <w:rPr>
          <w:rFonts w:ascii="Arial" w:hAnsi="Arial" w:cs="Arial"/>
        </w:rPr>
        <w:t>January 2026).</w:t>
      </w:r>
    </w:p>
    <w:p w14:paraId="34EA97CB" w14:textId="77777777" w:rsidR="00E14BA0" w:rsidRPr="00C22A0A" w:rsidRDefault="00E14BA0" w:rsidP="00E14BA0">
      <w:pPr>
        <w:spacing w:after="0"/>
        <w:rPr>
          <w:rFonts w:ascii="Arial" w:hAnsi="Arial" w:cs="Arial"/>
        </w:rPr>
      </w:pPr>
    </w:p>
    <w:p w14:paraId="4DD97821" w14:textId="5AD44CE4" w:rsidR="00C22A0A" w:rsidRPr="00C22A0A" w:rsidRDefault="00C22A0A" w:rsidP="00C22A0A">
      <w:pPr>
        <w:rPr>
          <w:rFonts w:ascii="Arial" w:hAnsi="Arial" w:cs="Arial"/>
        </w:rPr>
      </w:pPr>
      <w:r w:rsidRPr="00C22A0A">
        <w:rPr>
          <w:rFonts w:ascii="Arial" w:hAnsi="Arial" w:cs="Arial"/>
        </w:rPr>
        <w:t>New Futures Network (202</w:t>
      </w:r>
      <w:r w:rsidR="004E7368">
        <w:rPr>
          <w:rFonts w:ascii="Arial" w:hAnsi="Arial" w:cs="Arial"/>
        </w:rPr>
        <w:t>5</w:t>
      </w:r>
      <w:r w:rsidRPr="00C22A0A">
        <w:rPr>
          <w:rFonts w:ascii="Arial" w:hAnsi="Arial" w:cs="Arial"/>
        </w:rPr>
        <w:t>)</w:t>
      </w:r>
      <w:r w:rsidR="00EA0690">
        <w:rPr>
          <w:rFonts w:ascii="Arial" w:hAnsi="Arial" w:cs="Arial"/>
        </w:rPr>
        <w:t>.</w:t>
      </w:r>
      <w:r w:rsidRPr="00C22A0A">
        <w:rPr>
          <w:rFonts w:ascii="Arial" w:hAnsi="Arial" w:cs="Arial"/>
        </w:rPr>
        <w:t xml:space="preserve"> </w:t>
      </w:r>
      <w:r w:rsidRPr="00C22A0A">
        <w:rPr>
          <w:rFonts w:ascii="Arial" w:hAnsi="Arial" w:cs="Arial"/>
          <w:i/>
          <w:iCs/>
        </w:rPr>
        <w:t>About New Futures Network and employment on release</w:t>
      </w:r>
      <w:r w:rsidRPr="00C22A0A">
        <w:rPr>
          <w:rFonts w:ascii="Arial" w:hAnsi="Arial" w:cs="Arial"/>
        </w:rPr>
        <w:t>. London: HM Prison and Probation Service. Available at:</w:t>
      </w:r>
      <w:r w:rsidRPr="00C22A0A">
        <w:rPr>
          <w:rFonts w:ascii="Arial" w:hAnsi="Arial" w:cs="Arial"/>
        </w:rPr>
        <w:br/>
      </w:r>
      <w:hyperlink r:id="rId15" w:history="1">
        <w:r w:rsidR="004E7368" w:rsidRPr="004E7368">
          <w:rPr>
            <w:rStyle w:val="Hyperlink"/>
            <w:rFonts w:ascii="Arial" w:hAnsi="Arial" w:cs="Arial"/>
          </w:rPr>
          <w:t>Building Bridges Between Prison and Civil Service Employment – Life Chance Recruitment – Going Forward into Employment (</w:t>
        </w:r>
        <w:proofErr w:type="spellStart"/>
        <w:r w:rsidR="004E7368" w:rsidRPr="004E7368">
          <w:rPr>
            <w:rStyle w:val="Hyperlink"/>
            <w:rFonts w:ascii="Arial" w:hAnsi="Arial" w:cs="Arial"/>
          </w:rPr>
          <w:t>GFiE</w:t>
        </w:r>
        <w:proofErr w:type="spellEnd"/>
        <w:r w:rsidR="004E7368" w:rsidRPr="004E7368">
          <w:rPr>
            <w:rStyle w:val="Hyperlink"/>
            <w:rFonts w:ascii="Arial" w:hAnsi="Arial" w:cs="Arial"/>
          </w:rPr>
          <w:t>)</w:t>
        </w:r>
      </w:hyperlink>
      <w:r w:rsidRPr="00C22A0A">
        <w:rPr>
          <w:rFonts w:ascii="Arial" w:hAnsi="Arial" w:cs="Arial"/>
        </w:rPr>
        <w:br/>
        <w:t>(Accessed:15 January 2026).</w:t>
      </w:r>
    </w:p>
    <w:p w14:paraId="4930D84B" w14:textId="7F86360B" w:rsidR="00C22A0A" w:rsidRPr="00C22A0A" w:rsidRDefault="00C22A0A" w:rsidP="00C22A0A">
      <w:pPr>
        <w:rPr>
          <w:rFonts w:ascii="Arial" w:hAnsi="Arial" w:cs="Arial"/>
        </w:rPr>
      </w:pPr>
      <w:r w:rsidRPr="00C22A0A">
        <w:rPr>
          <w:rFonts w:ascii="Arial" w:hAnsi="Arial" w:cs="Arial"/>
        </w:rPr>
        <w:t>Pager, D. (2003)</w:t>
      </w:r>
      <w:r w:rsidR="00EA0690">
        <w:rPr>
          <w:rFonts w:ascii="Arial" w:hAnsi="Arial" w:cs="Arial"/>
        </w:rPr>
        <w:t>.</w:t>
      </w:r>
      <w:r w:rsidRPr="00C22A0A">
        <w:rPr>
          <w:rFonts w:ascii="Arial" w:hAnsi="Arial" w:cs="Arial"/>
        </w:rPr>
        <w:t xml:space="preserve"> ‘The mark of a criminal record’, </w:t>
      </w:r>
      <w:r w:rsidRPr="00C22A0A">
        <w:rPr>
          <w:rFonts w:ascii="Arial" w:hAnsi="Arial" w:cs="Arial"/>
          <w:i/>
          <w:iCs/>
        </w:rPr>
        <w:t>American Journal of Sociology</w:t>
      </w:r>
      <w:r w:rsidRPr="00C22A0A">
        <w:rPr>
          <w:rFonts w:ascii="Arial" w:hAnsi="Arial" w:cs="Arial"/>
        </w:rPr>
        <w:t>, 108(5), pp. 937–975. Available at:</w:t>
      </w:r>
      <w:r w:rsidRPr="00C22A0A">
        <w:rPr>
          <w:rFonts w:ascii="Arial" w:hAnsi="Arial" w:cs="Arial"/>
        </w:rPr>
        <w:br/>
      </w:r>
      <w:hyperlink r:id="rId16" w:tgtFrame="_new" w:history="1">
        <w:r w:rsidRPr="00C22A0A">
          <w:rPr>
            <w:rStyle w:val="Hyperlink"/>
            <w:rFonts w:ascii="Arial" w:hAnsi="Arial" w:cs="Arial"/>
          </w:rPr>
          <w:t>https://www.jstor.org/stable/10.1086/374403</w:t>
        </w:r>
      </w:hyperlink>
      <w:r w:rsidRPr="00C22A0A">
        <w:rPr>
          <w:rFonts w:ascii="Arial" w:hAnsi="Arial" w:cs="Arial"/>
        </w:rPr>
        <w:br/>
        <w:t>(Accessed:15 January 2026).</w:t>
      </w:r>
    </w:p>
    <w:p w14:paraId="33E11E1D" w14:textId="33DC4AAD" w:rsidR="00C22A0A" w:rsidRDefault="00C22A0A" w:rsidP="00887A09">
      <w:pPr>
        <w:spacing w:after="0"/>
        <w:rPr>
          <w:rFonts w:ascii="Arial" w:hAnsi="Arial" w:cs="Arial"/>
        </w:rPr>
      </w:pPr>
      <w:r w:rsidRPr="00C22A0A">
        <w:rPr>
          <w:rFonts w:ascii="Arial" w:hAnsi="Arial" w:cs="Arial"/>
        </w:rPr>
        <w:t>Sampson, R.J. and Laub, J.H. (1993)</w:t>
      </w:r>
      <w:r w:rsidR="00EA0690">
        <w:rPr>
          <w:rFonts w:ascii="Arial" w:hAnsi="Arial" w:cs="Arial"/>
        </w:rPr>
        <w:t>.</w:t>
      </w:r>
      <w:r w:rsidRPr="00C22A0A">
        <w:rPr>
          <w:rFonts w:ascii="Arial" w:hAnsi="Arial" w:cs="Arial"/>
        </w:rPr>
        <w:t xml:space="preserve"> </w:t>
      </w:r>
      <w:r w:rsidRPr="00C22A0A">
        <w:rPr>
          <w:rFonts w:ascii="Arial" w:hAnsi="Arial" w:cs="Arial"/>
          <w:i/>
          <w:iCs/>
        </w:rPr>
        <w:t>Crime in the making: Pathways and turning points through life</w:t>
      </w:r>
      <w:r w:rsidRPr="00C22A0A">
        <w:rPr>
          <w:rFonts w:ascii="Arial" w:hAnsi="Arial" w:cs="Arial"/>
        </w:rPr>
        <w:t xml:space="preserve">. Cambridge, MA: Harvard University </w:t>
      </w:r>
      <w:r w:rsidR="00887A09" w:rsidRPr="00C22A0A">
        <w:rPr>
          <w:rFonts w:ascii="Arial" w:hAnsi="Arial" w:cs="Arial"/>
        </w:rPr>
        <w:t>Press.</w:t>
      </w:r>
      <w:r w:rsidR="00887A09">
        <w:rPr>
          <w:rFonts w:ascii="Arial" w:hAnsi="Arial" w:cs="Arial"/>
        </w:rPr>
        <w:t xml:space="preserve"> Available</w:t>
      </w:r>
      <w:r w:rsidR="000B64DC">
        <w:rPr>
          <w:rFonts w:ascii="Arial" w:hAnsi="Arial" w:cs="Arial"/>
        </w:rPr>
        <w:t xml:space="preserve"> at: </w:t>
      </w:r>
      <w:hyperlink r:id="rId17" w:history="1">
        <w:r w:rsidR="000B64DC" w:rsidRPr="000B64DC">
          <w:rPr>
            <w:rStyle w:val="Hyperlink"/>
            <w:rFonts w:ascii="Arial" w:hAnsi="Arial" w:cs="Arial"/>
          </w:rPr>
          <w:t>CRIME IN THE MAKING: PATHWAYS AND TURNING POINTS THROUGH LIFE | Office of Justice Programs</w:t>
        </w:r>
      </w:hyperlink>
    </w:p>
    <w:p w14:paraId="1393AA72" w14:textId="555A496F" w:rsidR="00887A09" w:rsidRDefault="00887A09" w:rsidP="00887A09">
      <w:pPr>
        <w:spacing w:after="0"/>
        <w:rPr>
          <w:rFonts w:ascii="Arial" w:hAnsi="Arial" w:cs="Arial"/>
        </w:rPr>
      </w:pPr>
      <w:r>
        <w:rPr>
          <w:rFonts w:ascii="Arial" w:hAnsi="Arial" w:cs="Arial"/>
        </w:rPr>
        <w:t>(Accessed:15 January 2026)</w:t>
      </w:r>
    </w:p>
    <w:p w14:paraId="5CA1096C" w14:textId="77777777" w:rsidR="00887A09" w:rsidRDefault="00887A09" w:rsidP="00887A09">
      <w:pPr>
        <w:spacing w:after="0"/>
        <w:rPr>
          <w:rFonts w:ascii="Arial" w:hAnsi="Arial" w:cs="Arial"/>
        </w:rPr>
      </w:pPr>
    </w:p>
    <w:p w14:paraId="5E4D1EAB" w14:textId="6B06D0D4" w:rsidR="00C22A0A" w:rsidRDefault="00C22A0A" w:rsidP="00887A09">
      <w:pPr>
        <w:spacing w:after="0"/>
        <w:rPr>
          <w:rFonts w:ascii="Arial" w:hAnsi="Arial" w:cs="Arial"/>
        </w:rPr>
      </w:pPr>
      <w:r w:rsidRPr="00C22A0A">
        <w:rPr>
          <w:rFonts w:ascii="Arial" w:hAnsi="Arial" w:cs="Arial"/>
        </w:rPr>
        <w:t>Taylor, C. (2025)</w:t>
      </w:r>
      <w:r w:rsidR="00EA0690">
        <w:rPr>
          <w:rFonts w:ascii="Arial" w:hAnsi="Arial" w:cs="Arial"/>
        </w:rPr>
        <w:t>.</w:t>
      </w:r>
      <w:r w:rsidRPr="00C22A0A">
        <w:rPr>
          <w:rFonts w:ascii="Arial" w:hAnsi="Arial" w:cs="Arial"/>
        </w:rPr>
        <w:t xml:space="preserve"> </w:t>
      </w:r>
      <w:r w:rsidRPr="00C22A0A">
        <w:rPr>
          <w:rFonts w:ascii="Arial" w:hAnsi="Arial" w:cs="Arial"/>
          <w:i/>
          <w:iCs/>
        </w:rPr>
        <w:t>Chief Inspector of Prisons: Thematic findings on education and purposeful activity</w:t>
      </w:r>
      <w:r w:rsidRPr="00C22A0A">
        <w:rPr>
          <w:rFonts w:ascii="Arial" w:hAnsi="Arial" w:cs="Arial"/>
        </w:rPr>
        <w:t>. London: HM Inspectorate of Prisons. Available at:</w:t>
      </w:r>
      <w:r w:rsidRPr="00C22A0A">
        <w:rPr>
          <w:rFonts w:ascii="Arial" w:hAnsi="Arial" w:cs="Arial"/>
        </w:rPr>
        <w:br/>
      </w:r>
      <w:hyperlink r:id="rId18" w:tgtFrame="_new" w:history="1">
        <w:r w:rsidRPr="00C22A0A">
          <w:rPr>
            <w:rStyle w:val="Hyperlink"/>
            <w:rFonts w:ascii="Arial" w:hAnsi="Arial" w:cs="Arial"/>
          </w:rPr>
          <w:t>https://www.justiceinspectorates.gov.uk/hmiprisons</w:t>
        </w:r>
      </w:hyperlink>
      <w:r w:rsidRPr="00C22A0A">
        <w:rPr>
          <w:rFonts w:ascii="Arial" w:hAnsi="Arial" w:cs="Arial"/>
        </w:rPr>
        <w:br/>
        <w:t>(Accessed:</w:t>
      </w:r>
      <w:r w:rsidR="006F1B47">
        <w:rPr>
          <w:rFonts w:ascii="Arial" w:hAnsi="Arial" w:cs="Arial"/>
        </w:rPr>
        <w:t>3</w:t>
      </w:r>
      <w:r w:rsidRPr="00C22A0A">
        <w:rPr>
          <w:rFonts w:ascii="Arial" w:hAnsi="Arial" w:cs="Arial"/>
        </w:rPr>
        <w:t xml:space="preserve"> January 2026).</w:t>
      </w:r>
    </w:p>
    <w:p w14:paraId="18ED21BE" w14:textId="77777777" w:rsidR="00887A09" w:rsidRPr="00C22A0A" w:rsidRDefault="00887A09" w:rsidP="00887A09">
      <w:pPr>
        <w:spacing w:after="0"/>
        <w:rPr>
          <w:rFonts w:ascii="Arial" w:hAnsi="Arial" w:cs="Arial"/>
        </w:rPr>
      </w:pPr>
    </w:p>
    <w:p w14:paraId="4F9E61AF" w14:textId="1D969B46" w:rsidR="00C22A0A" w:rsidRPr="00C22A0A" w:rsidRDefault="00C22A0A" w:rsidP="00C22A0A">
      <w:pPr>
        <w:rPr>
          <w:rFonts w:ascii="Arial" w:hAnsi="Arial" w:cs="Arial"/>
        </w:rPr>
      </w:pPr>
      <w:r w:rsidRPr="00C22A0A">
        <w:rPr>
          <w:rFonts w:ascii="Arial" w:hAnsi="Arial" w:cs="Arial"/>
        </w:rPr>
        <w:t>The Guardian (2025)</w:t>
      </w:r>
      <w:r w:rsidR="00EA0690">
        <w:rPr>
          <w:rFonts w:ascii="Arial" w:hAnsi="Arial" w:cs="Arial"/>
        </w:rPr>
        <w:t>.</w:t>
      </w:r>
      <w:r w:rsidRPr="00C22A0A">
        <w:rPr>
          <w:rFonts w:ascii="Arial" w:hAnsi="Arial" w:cs="Arial"/>
        </w:rPr>
        <w:t xml:space="preserve"> ‘Education cuts in prisons ultimately endanger the public, watchdog says’, </w:t>
      </w:r>
      <w:r w:rsidRPr="00C22A0A">
        <w:rPr>
          <w:rFonts w:ascii="Arial" w:hAnsi="Arial" w:cs="Arial"/>
          <w:i/>
          <w:iCs/>
        </w:rPr>
        <w:t>The Guardian</w:t>
      </w:r>
      <w:r w:rsidRPr="00C22A0A">
        <w:rPr>
          <w:rFonts w:ascii="Arial" w:hAnsi="Arial" w:cs="Arial"/>
        </w:rPr>
        <w:t>, 13 October. Available at:</w:t>
      </w:r>
      <w:r w:rsidRPr="00C22A0A">
        <w:rPr>
          <w:rFonts w:ascii="Arial" w:hAnsi="Arial" w:cs="Arial"/>
        </w:rPr>
        <w:br/>
      </w:r>
      <w:hyperlink r:id="rId19" w:tgtFrame="_new" w:history="1">
        <w:r w:rsidRPr="00C22A0A">
          <w:rPr>
            <w:rStyle w:val="Hyperlink"/>
            <w:rFonts w:ascii="Arial" w:hAnsi="Arial" w:cs="Arial"/>
          </w:rPr>
          <w:t>https://www.theguardian.com</w:t>
        </w:r>
      </w:hyperlink>
      <w:r w:rsidRPr="00C22A0A">
        <w:rPr>
          <w:rFonts w:ascii="Arial" w:hAnsi="Arial" w:cs="Arial"/>
        </w:rPr>
        <w:br/>
        <w:t>(Accessed:15 January 2026).</w:t>
      </w:r>
    </w:p>
    <w:p w14:paraId="71085F55" w14:textId="5DDAA2A6" w:rsidR="00DE6556" w:rsidRDefault="00C22A0A" w:rsidP="00DE6556">
      <w:pPr>
        <w:spacing w:after="0"/>
        <w:rPr>
          <w:rFonts w:ascii="Arial" w:hAnsi="Arial" w:cs="Arial"/>
        </w:rPr>
      </w:pPr>
      <w:r w:rsidRPr="00C22A0A">
        <w:rPr>
          <w:rFonts w:ascii="Arial" w:hAnsi="Arial" w:cs="Arial"/>
        </w:rPr>
        <w:t>Travis, J., Solomon, A.L. and Waul, M. (2001)</w:t>
      </w:r>
      <w:r w:rsidR="00EA0690">
        <w:rPr>
          <w:rFonts w:ascii="Arial" w:hAnsi="Arial" w:cs="Arial"/>
        </w:rPr>
        <w:t>.</w:t>
      </w:r>
      <w:r w:rsidRPr="00C22A0A">
        <w:rPr>
          <w:rFonts w:ascii="Arial" w:hAnsi="Arial" w:cs="Arial"/>
        </w:rPr>
        <w:t xml:space="preserve"> </w:t>
      </w:r>
      <w:r w:rsidRPr="00C22A0A">
        <w:rPr>
          <w:rFonts w:ascii="Arial" w:hAnsi="Arial" w:cs="Arial"/>
          <w:i/>
          <w:iCs/>
        </w:rPr>
        <w:t xml:space="preserve">From prison to home: The dimensions and consequences of prisoner </w:t>
      </w:r>
      <w:r w:rsidR="00DF0716" w:rsidRPr="00C22A0A">
        <w:rPr>
          <w:rFonts w:ascii="Arial" w:hAnsi="Arial" w:cs="Arial"/>
          <w:i/>
          <w:iCs/>
        </w:rPr>
        <w:t>re-entry</w:t>
      </w:r>
      <w:r w:rsidRPr="00C22A0A">
        <w:rPr>
          <w:rFonts w:ascii="Arial" w:hAnsi="Arial" w:cs="Arial"/>
        </w:rPr>
        <w:t>. Washington, DC: Urban Institute. Available at:</w:t>
      </w:r>
      <w:r w:rsidRPr="00C22A0A">
        <w:rPr>
          <w:rFonts w:ascii="Arial" w:hAnsi="Arial" w:cs="Arial"/>
        </w:rPr>
        <w:br/>
      </w:r>
      <w:hyperlink r:id="rId20" w:history="1">
        <w:r w:rsidR="00DE6556" w:rsidRPr="00DE6556">
          <w:rPr>
            <w:rStyle w:val="Hyperlink"/>
            <w:rFonts w:ascii="Arial" w:hAnsi="Arial" w:cs="Arial"/>
          </w:rPr>
          <w:t xml:space="preserve">From Prison to Home - The Dimensions and Consequences of Prisoner </w:t>
        </w:r>
        <w:proofErr w:type="spellStart"/>
        <w:r w:rsidR="00DE6556" w:rsidRPr="00DE6556">
          <w:rPr>
            <w:rStyle w:val="Hyperlink"/>
            <w:rFonts w:ascii="Arial" w:hAnsi="Arial" w:cs="Arial"/>
          </w:rPr>
          <w:t>Reentry</w:t>
        </w:r>
        <w:proofErr w:type="spellEnd"/>
      </w:hyperlink>
    </w:p>
    <w:p w14:paraId="0A164F11" w14:textId="498CAF46" w:rsidR="00C22A0A" w:rsidRDefault="00C22A0A" w:rsidP="00DE6556">
      <w:pPr>
        <w:spacing w:after="0"/>
        <w:rPr>
          <w:rFonts w:ascii="Arial" w:hAnsi="Arial" w:cs="Arial"/>
        </w:rPr>
      </w:pPr>
      <w:r w:rsidRPr="00C22A0A">
        <w:rPr>
          <w:rFonts w:ascii="Arial" w:hAnsi="Arial" w:cs="Arial"/>
        </w:rPr>
        <w:t>(Accessed</w:t>
      </w:r>
      <w:r w:rsidR="00235394">
        <w:rPr>
          <w:rFonts w:ascii="Arial" w:hAnsi="Arial" w:cs="Arial"/>
        </w:rPr>
        <w:t>:3</w:t>
      </w:r>
      <w:r w:rsidRPr="00C22A0A">
        <w:rPr>
          <w:rFonts w:ascii="Arial" w:hAnsi="Arial" w:cs="Arial"/>
        </w:rPr>
        <w:t xml:space="preserve"> January 2026).</w:t>
      </w:r>
    </w:p>
    <w:p w14:paraId="11BD7384" w14:textId="77777777" w:rsidR="00DE6556" w:rsidRPr="00C22A0A" w:rsidRDefault="00DE6556" w:rsidP="00DE6556">
      <w:pPr>
        <w:spacing w:after="0"/>
        <w:rPr>
          <w:rFonts w:ascii="Arial" w:hAnsi="Arial" w:cs="Arial"/>
        </w:rPr>
      </w:pPr>
    </w:p>
    <w:p w14:paraId="6BC84C39" w14:textId="77777777" w:rsidR="007E5137" w:rsidRDefault="00C22A0A" w:rsidP="007E5137">
      <w:pPr>
        <w:spacing w:after="0"/>
        <w:rPr>
          <w:rFonts w:ascii="Arial" w:hAnsi="Arial" w:cs="Arial"/>
        </w:rPr>
      </w:pPr>
      <w:proofErr w:type="spellStart"/>
      <w:r w:rsidRPr="00C22A0A">
        <w:rPr>
          <w:rFonts w:ascii="Arial" w:hAnsi="Arial" w:cs="Arial"/>
        </w:rPr>
        <w:t>Uggen</w:t>
      </w:r>
      <w:proofErr w:type="spellEnd"/>
      <w:r w:rsidRPr="00C22A0A">
        <w:rPr>
          <w:rFonts w:ascii="Arial" w:hAnsi="Arial" w:cs="Arial"/>
        </w:rPr>
        <w:t>, C. (2000)</w:t>
      </w:r>
      <w:r w:rsidR="00EA0690">
        <w:rPr>
          <w:rFonts w:ascii="Arial" w:hAnsi="Arial" w:cs="Arial"/>
        </w:rPr>
        <w:t>.</w:t>
      </w:r>
      <w:r w:rsidRPr="00C22A0A">
        <w:rPr>
          <w:rFonts w:ascii="Arial" w:hAnsi="Arial" w:cs="Arial"/>
        </w:rPr>
        <w:t xml:space="preserve"> </w:t>
      </w:r>
      <w:r w:rsidR="00EA0690">
        <w:rPr>
          <w:rFonts w:ascii="Arial" w:hAnsi="Arial" w:cs="Arial"/>
        </w:rPr>
        <w:t>‘</w:t>
      </w:r>
      <w:r w:rsidRPr="00C22A0A">
        <w:rPr>
          <w:rFonts w:ascii="Arial" w:hAnsi="Arial" w:cs="Arial"/>
        </w:rPr>
        <w:t xml:space="preserve">Work as a turning point in the life course of criminals: A duration model of age, employment, and recidivism’, </w:t>
      </w:r>
      <w:r w:rsidRPr="00C22A0A">
        <w:rPr>
          <w:rFonts w:ascii="Arial" w:hAnsi="Arial" w:cs="Arial"/>
          <w:i/>
          <w:iCs/>
        </w:rPr>
        <w:t>American Sociological Review</w:t>
      </w:r>
      <w:r w:rsidRPr="00C22A0A">
        <w:rPr>
          <w:rFonts w:ascii="Arial" w:hAnsi="Arial" w:cs="Arial"/>
        </w:rPr>
        <w:t>, 65(4), pp. 529–546. Available at:</w:t>
      </w:r>
      <w:r w:rsidRPr="00C22A0A">
        <w:rPr>
          <w:rFonts w:ascii="Arial" w:hAnsi="Arial" w:cs="Arial"/>
        </w:rPr>
        <w:br/>
      </w:r>
      <w:hyperlink r:id="rId21" w:history="1">
        <w:r w:rsidR="007E5137" w:rsidRPr="007E5137">
          <w:rPr>
            <w:rStyle w:val="Hyperlink"/>
            <w:rFonts w:ascii="Arial" w:hAnsi="Arial" w:cs="Arial"/>
          </w:rPr>
          <w:t>Work as a Turning Point in the Life Course of Criminals: A Duration Model of Age, Employment, and Recidivism on JSTOR</w:t>
        </w:r>
      </w:hyperlink>
    </w:p>
    <w:p w14:paraId="0ADA8012" w14:textId="25EC50E4" w:rsidR="00C22A0A" w:rsidRDefault="00C22A0A" w:rsidP="007E5137">
      <w:pPr>
        <w:spacing w:after="0"/>
        <w:rPr>
          <w:rFonts w:ascii="Arial" w:hAnsi="Arial" w:cs="Arial"/>
        </w:rPr>
      </w:pPr>
      <w:r w:rsidRPr="00C22A0A">
        <w:rPr>
          <w:rFonts w:ascii="Arial" w:hAnsi="Arial" w:cs="Arial"/>
        </w:rPr>
        <w:t>(Accessed:</w:t>
      </w:r>
      <w:r w:rsidR="00235394">
        <w:rPr>
          <w:rFonts w:ascii="Arial" w:hAnsi="Arial" w:cs="Arial"/>
        </w:rPr>
        <w:t>4</w:t>
      </w:r>
      <w:r w:rsidRPr="00C22A0A">
        <w:rPr>
          <w:rFonts w:ascii="Arial" w:hAnsi="Arial" w:cs="Arial"/>
        </w:rPr>
        <w:t xml:space="preserve"> January 2026).</w:t>
      </w:r>
    </w:p>
    <w:p w14:paraId="7FC9DC05" w14:textId="77777777" w:rsidR="007E5137" w:rsidRPr="00C22A0A" w:rsidRDefault="007E5137" w:rsidP="007E5137">
      <w:pPr>
        <w:spacing w:after="0"/>
        <w:rPr>
          <w:rFonts w:ascii="Arial" w:hAnsi="Arial" w:cs="Arial"/>
        </w:rPr>
      </w:pPr>
    </w:p>
    <w:p w14:paraId="12AEFE36" w14:textId="77777777" w:rsidR="000B1EC6" w:rsidRPr="0040132A" w:rsidRDefault="00C22A0A" w:rsidP="00F57E4F">
      <w:pPr>
        <w:spacing w:after="0"/>
        <w:rPr>
          <w:rFonts w:ascii="Arial" w:hAnsi="Arial" w:cs="Arial"/>
        </w:rPr>
      </w:pPr>
      <w:r w:rsidRPr="00C22A0A">
        <w:rPr>
          <w:rFonts w:ascii="Arial" w:hAnsi="Arial" w:cs="Arial"/>
        </w:rPr>
        <w:t xml:space="preserve">Visher, C.A. and Travis, J. (2003) ‘Transitions from prison to community: Understanding individual pathways’, </w:t>
      </w:r>
      <w:r w:rsidRPr="00C22A0A">
        <w:rPr>
          <w:rFonts w:ascii="Arial" w:hAnsi="Arial" w:cs="Arial"/>
          <w:i/>
          <w:iCs/>
        </w:rPr>
        <w:t>Annual Review of Sociology</w:t>
      </w:r>
      <w:r w:rsidRPr="00C22A0A">
        <w:rPr>
          <w:rFonts w:ascii="Arial" w:hAnsi="Arial" w:cs="Arial"/>
        </w:rPr>
        <w:t>, 29, pp. 89–113. Available at</w:t>
      </w:r>
      <w:r w:rsidR="000B1EC6" w:rsidRPr="0040132A">
        <w:rPr>
          <w:rFonts w:ascii="Arial" w:hAnsi="Arial" w:cs="Arial"/>
        </w:rPr>
        <w:t xml:space="preserve">: </w:t>
      </w:r>
      <w:hyperlink r:id="rId22" w:history="1">
        <w:r w:rsidR="000B1EC6" w:rsidRPr="00C22A0A">
          <w:rPr>
            <w:rStyle w:val="Hyperlink"/>
            <w:rFonts w:ascii="Arial" w:hAnsi="Arial" w:cs="Arial"/>
          </w:rPr>
          <w:t>https://doi.org/10.1146/annurev.soc.29.010202.095931</w:t>
        </w:r>
      </w:hyperlink>
    </w:p>
    <w:p w14:paraId="7B6FFA04" w14:textId="1380E502" w:rsidR="00C22A0A" w:rsidRPr="0040132A" w:rsidRDefault="00C22A0A" w:rsidP="00F57E4F">
      <w:pPr>
        <w:spacing w:after="0"/>
        <w:rPr>
          <w:rFonts w:ascii="Arial" w:hAnsi="Arial" w:cs="Arial"/>
        </w:rPr>
      </w:pPr>
      <w:r w:rsidRPr="00C22A0A">
        <w:rPr>
          <w:rFonts w:ascii="Arial" w:hAnsi="Arial" w:cs="Arial"/>
        </w:rPr>
        <w:t>(Accessed:</w:t>
      </w:r>
      <w:r w:rsidR="00235394">
        <w:rPr>
          <w:rFonts w:ascii="Arial" w:hAnsi="Arial" w:cs="Arial"/>
        </w:rPr>
        <w:t>4</w:t>
      </w:r>
      <w:r w:rsidRPr="00C22A0A">
        <w:rPr>
          <w:rFonts w:ascii="Arial" w:hAnsi="Arial" w:cs="Arial"/>
        </w:rPr>
        <w:t xml:space="preserve"> January 2026).</w:t>
      </w:r>
    </w:p>
    <w:p w14:paraId="20D9D3B6" w14:textId="77777777" w:rsidR="00F57E4F" w:rsidRPr="00C22A0A" w:rsidRDefault="00F57E4F" w:rsidP="00F57E4F">
      <w:pPr>
        <w:spacing w:after="0"/>
        <w:rPr>
          <w:rFonts w:ascii="Arial" w:hAnsi="Arial" w:cs="Arial"/>
        </w:rPr>
      </w:pPr>
    </w:p>
    <w:p w14:paraId="11D77699" w14:textId="3A1C27A4" w:rsidR="00C22A0A" w:rsidRPr="00C22A0A" w:rsidRDefault="00C22A0A" w:rsidP="00C22A0A">
      <w:pPr>
        <w:rPr>
          <w:rFonts w:ascii="Arial" w:hAnsi="Arial" w:cs="Arial"/>
        </w:rPr>
      </w:pPr>
      <w:r w:rsidRPr="00C22A0A">
        <w:rPr>
          <w:rFonts w:ascii="Arial" w:hAnsi="Arial" w:cs="Arial"/>
        </w:rPr>
        <w:t>Weaver, B. (201</w:t>
      </w:r>
      <w:r w:rsidR="000F5DA3">
        <w:rPr>
          <w:rFonts w:ascii="Arial" w:hAnsi="Arial" w:cs="Arial"/>
        </w:rPr>
        <w:t>3</w:t>
      </w:r>
      <w:r w:rsidRPr="00C22A0A">
        <w:rPr>
          <w:rFonts w:ascii="Arial" w:hAnsi="Arial" w:cs="Arial"/>
        </w:rPr>
        <w:t>)</w:t>
      </w:r>
      <w:r w:rsidR="00EA0690">
        <w:rPr>
          <w:rFonts w:ascii="Arial" w:hAnsi="Arial" w:cs="Arial"/>
        </w:rPr>
        <w:t>.</w:t>
      </w:r>
      <w:r w:rsidRPr="00C22A0A">
        <w:rPr>
          <w:rFonts w:ascii="Arial" w:hAnsi="Arial" w:cs="Arial"/>
        </w:rPr>
        <w:t xml:space="preserve"> </w:t>
      </w:r>
      <w:r w:rsidRPr="00C22A0A">
        <w:rPr>
          <w:rFonts w:ascii="Arial" w:hAnsi="Arial" w:cs="Arial"/>
          <w:i/>
          <w:iCs/>
        </w:rPr>
        <w:t>Co-producing desistance: Who works to support desistance?</w:t>
      </w:r>
      <w:r w:rsidRPr="00C22A0A">
        <w:rPr>
          <w:rFonts w:ascii="Arial" w:hAnsi="Arial" w:cs="Arial"/>
        </w:rPr>
        <w:t xml:space="preserve"> Glasgow: University of Strathclyde. Available at:</w:t>
      </w:r>
      <w:r w:rsidRPr="00C22A0A">
        <w:rPr>
          <w:rFonts w:ascii="Arial" w:hAnsi="Arial" w:cs="Arial"/>
        </w:rPr>
        <w:br/>
      </w:r>
      <w:hyperlink r:id="rId23" w:history="1">
        <w:r w:rsidR="000F5DA3" w:rsidRPr="000F5DA3">
          <w:rPr>
            <w:rStyle w:val="Hyperlink"/>
            <w:rFonts w:ascii="Arial" w:hAnsi="Arial" w:cs="Arial"/>
          </w:rPr>
          <w:t xml:space="preserve">Co-producing desistance : who works to support desistance - </w:t>
        </w:r>
        <w:proofErr w:type="spellStart"/>
        <w:r w:rsidR="000F5DA3" w:rsidRPr="000F5DA3">
          <w:rPr>
            <w:rStyle w:val="Hyperlink"/>
            <w:rFonts w:ascii="Arial" w:hAnsi="Arial" w:cs="Arial"/>
          </w:rPr>
          <w:t>Strathprints</w:t>
        </w:r>
        <w:proofErr w:type="spellEnd"/>
      </w:hyperlink>
      <w:r w:rsidRPr="00C22A0A">
        <w:rPr>
          <w:rFonts w:ascii="Arial" w:hAnsi="Arial" w:cs="Arial"/>
        </w:rPr>
        <w:br/>
        <w:t xml:space="preserve">(Accessed: </w:t>
      </w:r>
      <w:r w:rsidR="00235394">
        <w:rPr>
          <w:rFonts w:ascii="Arial" w:hAnsi="Arial" w:cs="Arial"/>
        </w:rPr>
        <w:t>3</w:t>
      </w:r>
      <w:r w:rsidRPr="00C22A0A">
        <w:rPr>
          <w:rFonts w:ascii="Arial" w:hAnsi="Arial" w:cs="Arial"/>
        </w:rPr>
        <w:t xml:space="preserve"> January 2026).</w:t>
      </w:r>
    </w:p>
    <w:p w14:paraId="11ED8AE6" w14:textId="663D45B2" w:rsidR="00C22A0A" w:rsidRPr="00C22A0A" w:rsidRDefault="00C22A0A" w:rsidP="00C22A0A">
      <w:pPr>
        <w:rPr>
          <w:rFonts w:ascii="Arial" w:hAnsi="Arial" w:cs="Arial"/>
        </w:rPr>
      </w:pPr>
      <w:r w:rsidRPr="00C22A0A">
        <w:rPr>
          <w:rFonts w:ascii="Arial" w:hAnsi="Arial" w:cs="Arial"/>
        </w:rPr>
        <w:t xml:space="preserve">Welsh Government (2015) </w:t>
      </w:r>
      <w:r w:rsidRPr="00C22A0A">
        <w:rPr>
          <w:rFonts w:ascii="Arial" w:hAnsi="Arial" w:cs="Arial"/>
          <w:i/>
          <w:iCs/>
        </w:rPr>
        <w:t>Well-being of Future Generations (Wales) Act 2015</w:t>
      </w:r>
      <w:r w:rsidRPr="00C22A0A">
        <w:rPr>
          <w:rFonts w:ascii="Arial" w:hAnsi="Arial" w:cs="Arial"/>
        </w:rPr>
        <w:t>. Cardiff: Welsh Government. Available at:</w:t>
      </w:r>
      <w:r w:rsidRPr="00C22A0A">
        <w:rPr>
          <w:rFonts w:ascii="Arial" w:hAnsi="Arial" w:cs="Arial"/>
        </w:rPr>
        <w:br/>
      </w:r>
      <w:hyperlink r:id="rId24" w:tgtFrame="_new" w:history="1">
        <w:r w:rsidRPr="00C22A0A">
          <w:rPr>
            <w:rStyle w:val="Hyperlink"/>
            <w:rFonts w:ascii="Arial" w:hAnsi="Arial" w:cs="Arial"/>
          </w:rPr>
          <w:t>https://www.legislation.gov.uk/anaw/2015/2/contents</w:t>
        </w:r>
      </w:hyperlink>
      <w:r w:rsidRPr="00C22A0A">
        <w:rPr>
          <w:rFonts w:ascii="Arial" w:hAnsi="Arial" w:cs="Arial"/>
        </w:rPr>
        <w:br/>
        <w:t>(Accessed:</w:t>
      </w:r>
      <w:r w:rsidR="00505E4D">
        <w:rPr>
          <w:rFonts w:ascii="Arial" w:hAnsi="Arial" w:cs="Arial"/>
        </w:rPr>
        <w:t>2</w:t>
      </w:r>
      <w:r w:rsidR="00DF0716">
        <w:rPr>
          <w:rFonts w:ascii="Arial" w:hAnsi="Arial" w:cs="Arial"/>
        </w:rPr>
        <w:t>9</w:t>
      </w:r>
      <w:r w:rsidR="00505E4D" w:rsidRPr="00C22A0A">
        <w:rPr>
          <w:rFonts w:ascii="Arial" w:hAnsi="Arial" w:cs="Arial"/>
        </w:rPr>
        <w:t xml:space="preserve"> </w:t>
      </w:r>
      <w:r w:rsidR="00505E4D">
        <w:rPr>
          <w:rFonts w:ascii="Arial" w:hAnsi="Arial" w:cs="Arial"/>
        </w:rPr>
        <w:t>December 2025</w:t>
      </w:r>
      <w:r w:rsidRPr="00C22A0A">
        <w:rPr>
          <w:rFonts w:ascii="Arial" w:hAnsi="Arial" w:cs="Arial"/>
        </w:rPr>
        <w:t>).</w:t>
      </w:r>
    </w:p>
    <w:p w14:paraId="60F65FB0" w14:textId="57EF8D8C" w:rsidR="00C22A0A" w:rsidRPr="00C22A0A" w:rsidRDefault="00C22A0A" w:rsidP="00C22A0A">
      <w:pPr>
        <w:rPr>
          <w:rFonts w:ascii="Arial" w:hAnsi="Arial" w:cs="Arial"/>
        </w:rPr>
      </w:pPr>
      <w:r w:rsidRPr="00C22A0A">
        <w:rPr>
          <w:rFonts w:ascii="Arial" w:hAnsi="Arial" w:cs="Arial"/>
        </w:rPr>
        <w:t>Welsh Government (2024a)</w:t>
      </w:r>
      <w:r w:rsidR="00EA0690">
        <w:rPr>
          <w:rFonts w:ascii="Arial" w:hAnsi="Arial" w:cs="Arial"/>
        </w:rPr>
        <w:t>.</w:t>
      </w:r>
      <w:r w:rsidRPr="00C22A0A">
        <w:rPr>
          <w:rFonts w:ascii="Arial" w:hAnsi="Arial" w:cs="Arial"/>
        </w:rPr>
        <w:t xml:space="preserve"> </w:t>
      </w:r>
      <w:r w:rsidRPr="00C22A0A">
        <w:rPr>
          <w:rFonts w:ascii="Arial" w:hAnsi="Arial" w:cs="Arial"/>
          <w:i/>
          <w:iCs/>
        </w:rPr>
        <w:t>A new prison learning and skills policy for Wales</w:t>
      </w:r>
      <w:r w:rsidRPr="00C22A0A">
        <w:rPr>
          <w:rFonts w:ascii="Arial" w:hAnsi="Arial" w:cs="Arial"/>
        </w:rPr>
        <w:t>. Cardiff: Welsh Government. Available at:</w:t>
      </w:r>
      <w:r w:rsidRPr="00C22A0A">
        <w:rPr>
          <w:rFonts w:ascii="Arial" w:hAnsi="Arial" w:cs="Arial"/>
        </w:rPr>
        <w:br/>
      </w:r>
      <w:hyperlink r:id="rId25" w:tgtFrame="_new" w:history="1">
        <w:r w:rsidRPr="00C22A0A">
          <w:rPr>
            <w:rStyle w:val="Hyperlink"/>
            <w:rFonts w:ascii="Arial" w:hAnsi="Arial" w:cs="Arial"/>
          </w:rPr>
          <w:t>https://www.gov.wales/new-prison-learning-and-skills-policy-wales</w:t>
        </w:r>
      </w:hyperlink>
      <w:r w:rsidRPr="00C22A0A">
        <w:rPr>
          <w:rFonts w:ascii="Arial" w:hAnsi="Arial" w:cs="Arial"/>
        </w:rPr>
        <w:br/>
        <w:t>(Accessed</w:t>
      </w:r>
      <w:r w:rsidR="00505E4D">
        <w:rPr>
          <w:rFonts w:ascii="Arial" w:hAnsi="Arial" w:cs="Arial"/>
        </w:rPr>
        <w:t>:</w:t>
      </w:r>
      <w:r w:rsidR="00505E4D">
        <w:rPr>
          <w:rFonts w:ascii="Arial" w:hAnsi="Arial" w:cs="Arial"/>
        </w:rPr>
        <w:t>2</w:t>
      </w:r>
      <w:r w:rsidR="00DF0716">
        <w:rPr>
          <w:rFonts w:ascii="Arial" w:hAnsi="Arial" w:cs="Arial"/>
        </w:rPr>
        <w:t>9</w:t>
      </w:r>
      <w:r w:rsidR="00505E4D" w:rsidRPr="00C22A0A">
        <w:rPr>
          <w:rFonts w:ascii="Arial" w:hAnsi="Arial" w:cs="Arial"/>
        </w:rPr>
        <w:t xml:space="preserve"> </w:t>
      </w:r>
      <w:r w:rsidR="00505E4D">
        <w:rPr>
          <w:rFonts w:ascii="Arial" w:hAnsi="Arial" w:cs="Arial"/>
        </w:rPr>
        <w:t>December 2025</w:t>
      </w:r>
      <w:r w:rsidRPr="00C22A0A">
        <w:rPr>
          <w:rFonts w:ascii="Arial" w:hAnsi="Arial" w:cs="Arial"/>
        </w:rPr>
        <w:t>).</w:t>
      </w:r>
    </w:p>
    <w:p w14:paraId="66C1BD60" w14:textId="13F8EAA3" w:rsidR="00C22A0A" w:rsidRPr="00C22A0A" w:rsidRDefault="00C22A0A" w:rsidP="00C22A0A">
      <w:pPr>
        <w:rPr>
          <w:rFonts w:ascii="Arial" w:hAnsi="Arial" w:cs="Arial"/>
        </w:rPr>
      </w:pPr>
      <w:r w:rsidRPr="00C22A0A">
        <w:rPr>
          <w:rFonts w:ascii="Arial" w:hAnsi="Arial" w:cs="Arial"/>
        </w:rPr>
        <w:t>Welsh Government (2024b)</w:t>
      </w:r>
      <w:r w:rsidR="00EA0690">
        <w:rPr>
          <w:rFonts w:ascii="Arial" w:hAnsi="Arial" w:cs="Arial"/>
        </w:rPr>
        <w:t>.</w:t>
      </w:r>
      <w:r w:rsidRPr="00C22A0A">
        <w:rPr>
          <w:rFonts w:ascii="Arial" w:hAnsi="Arial" w:cs="Arial"/>
        </w:rPr>
        <w:t xml:space="preserve"> </w:t>
      </w:r>
      <w:r w:rsidRPr="00C22A0A">
        <w:rPr>
          <w:rFonts w:ascii="Arial" w:hAnsi="Arial" w:cs="Arial"/>
          <w:i/>
          <w:iCs/>
        </w:rPr>
        <w:t>Better learning, better chances: Prison learning and skills provision in Wales</w:t>
      </w:r>
      <w:r w:rsidRPr="00C22A0A">
        <w:rPr>
          <w:rFonts w:ascii="Arial" w:hAnsi="Arial" w:cs="Arial"/>
        </w:rPr>
        <w:t>. Cardiff: Welsh Government. Available at:</w:t>
      </w:r>
      <w:r w:rsidRPr="00C22A0A">
        <w:rPr>
          <w:rFonts w:ascii="Arial" w:hAnsi="Arial" w:cs="Arial"/>
        </w:rPr>
        <w:br/>
      </w:r>
      <w:hyperlink r:id="rId26" w:tgtFrame="_new" w:history="1">
        <w:r w:rsidRPr="00C22A0A">
          <w:rPr>
            <w:rStyle w:val="Hyperlink"/>
            <w:rFonts w:ascii="Arial" w:hAnsi="Arial" w:cs="Arial"/>
          </w:rPr>
          <w:t>https://www.gov.wales/better-learning-better-chances-prison-learning-and-skills-provision-wales</w:t>
        </w:r>
      </w:hyperlink>
      <w:r w:rsidRPr="00C22A0A">
        <w:rPr>
          <w:rFonts w:ascii="Arial" w:hAnsi="Arial" w:cs="Arial"/>
        </w:rPr>
        <w:br/>
        <w:t>(Accessed:</w:t>
      </w:r>
      <w:r w:rsidR="00505E4D">
        <w:rPr>
          <w:rFonts w:ascii="Arial" w:hAnsi="Arial" w:cs="Arial"/>
        </w:rPr>
        <w:t>2</w:t>
      </w:r>
      <w:r w:rsidR="00DF0716">
        <w:rPr>
          <w:rFonts w:ascii="Arial" w:hAnsi="Arial" w:cs="Arial"/>
        </w:rPr>
        <w:t>9</w:t>
      </w:r>
      <w:r w:rsidR="00505E4D" w:rsidRPr="00C22A0A">
        <w:rPr>
          <w:rFonts w:ascii="Arial" w:hAnsi="Arial" w:cs="Arial"/>
        </w:rPr>
        <w:t xml:space="preserve"> </w:t>
      </w:r>
      <w:r w:rsidR="00505E4D">
        <w:rPr>
          <w:rFonts w:ascii="Arial" w:hAnsi="Arial" w:cs="Arial"/>
        </w:rPr>
        <w:t>December 2025</w:t>
      </w:r>
      <w:r w:rsidRPr="00C22A0A">
        <w:rPr>
          <w:rFonts w:ascii="Arial" w:hAnsi="Arial" w:cs="Arial"/>
        </w:rPr>
        <w:t>).</w:t>
      </w:r>
    </w:p>
    <w:p w14:paraId="318AEEEE" w14:textId="020903D3" w:rsidR="00C22A0A" w:rsidRPr="00C22A0A" w:rsidRDefault="00C22A0A" w:rsidP="00C22A0A">
      <w:pPr>
        <w:rPr>
          <w:rFonts w:ascii="Arial" w:hAnsi="Arial" w:cs="Arial"/>
        </w:rPr>
      </w:pPr>
      <w:r w:rsidRPr="00C22A0A">
        <w:rPr>
          <w:rFonts w:ascii="Arial" w:hAnsi="Arial" w:cs="Arial"/>
        </w:rPr>
        <w:t>Welsh Government (2025)</w:t>
      </w:r>
      <w:r w:rsidR="00EA0690">
        <w:rPr>
          <w:rFonts w:ascii="Arial" w:hAnsi="Arial" w:cs="Arial"/>
        </w:rPr>
        <w:t>.</w:t>
      </w:r>
      <w:r w:rsidRPr="00C22A0A">
        <w:rPr>
          <w:rFonts w:ascii="Arial" w:hAnsi="Arial" w:cs="Arial"/>
        </w:rPr>
        <w:t xml:space="preserve"> </w:t>
      </w:r>
      <w:r w:rsidRPr="00C22A0A">
        <w:rPr>
          <w:rFonts w:ascii="Arial" w:hAnsi="Arial" w:cs="Arial"/>
          <w:i/>
          <w:iCs/>
        </w:rPr>
        <w:t>Evaluation of Working Wales in prisons</w:t>
      </w:r>
      <w:r w:rsidRPr="00C22A0A">
        <w:rPr>
          <w:rFonts w:ascii="Arial" w:hAnsi="Arial" w:cs="Arial"/>
        </w:rPr>
        <w:t>. Cardiff: Welsh Government. Available at:</w:t>
      </w:r>
      <w:r w:rsidRPr="00C22A0A">
        <w:rPr>
          <w:rFonts w:ascii="Arial" w:hAnsi="Arial" w:cs="Arial"/>
        </w:rPr>
        <w:br/>
      </w:r>
      <w:hyperlink r:id="rId27" w:tgtFrame="_new" w:history="1">
        <w:r w:rsidRPr="00C22A0A">
          <w:rPr>
            <w:rStyle w:val="Hyperlink"/>
            <w:rFonts w:ascii="Arial" w:hAnsi="Arial" w:cs="Arial"/>
          </w:rPr>
          <w:t>https://www.gov.wales/evaluation-working-wales-prisons</w:t>
        </w:r>
      </w:hyperlink>
      <w:r w:rsidRPr="00C22A0A">
        <w:rPr>
          <w:rFonts w:ascii="Arial" w:hAnsi="Arial" w:cs="Arial"/>
        </w:rPr>
        <w:br/>
        <w:t>(Accessed:</w:t>
      </w:r>
      <w:r w:rsidR="00505E4D">
        <w:rPr>
          <w:rFonts w:ascii="Arial" w:hAnsi="Arial" w:cs="Arial"/>
        </w:rPr>
        <w:t>2</w:t>
      </w:r>
      <w:r w:rsidR="00DF0716">
        <w:rPr>
          <w:rFonts w:ascii="Arial" w:hAnsi="Arial" w:cs="Arial"/>
        </w:rPr>
        <w:t>9</w:t>
      </w:r>
      <w:r w:rsidR="00505E4D" w:rsidRPr="00C22A0A">
        <w:rPr>
          <w:rFonts w:ascii="Arial" w:hAnsi="Arial" w:cs="Arial"/>
        </w:rPr>
        <w:t xml:space="preserve"> </w:t>
      </w:r>
      <w:r w:rsidR="00505E4D">
        <w:rPr>
          <w:rFonts w:ascii="Arial" w:hAnsi="Arial" w:cs="Arial"/>
        </w:rPr>
        <w:t>December 2025</w:t>
      </w:r>
      <w:r w:rsidRPr="00C22A0A">
        <w:rPr>
          <w:rFonts w:ascii="Arial" w:hAnsi="Arial" w:cs="Arial"/>
        </w:rPr>
        <w:t>).</w:t>
      </w:r>
    </w:p>
    <w:p w14:paraId="39FCFF3F" w14:textId="0A8DF515" w:rsidR="00C22A0A" w:rsidRPr="00C22A0A" w:rsidRDefault="00C22A0A" w:rsidP="00C22A0A">
      <w:pPr>
        <w:rPr>
          <w:rFonts w:ascii="Arial" w:hAnsi="Arial" w:cs="Arial"/>
        </w:rPr>
      </w:pPr>
      <w:r w:rsidRPr="00451084">
        <w:rPr>
          <w:rFonts w:ascii="Arial" w:hAnsi="Arial" w:cs="Arial"/>
        </w:rPr>
        <w:t>Welsh Government and HM Prison and Probation Service (HMPPS) (2025)</w:t>
      </w:r>
      <w:r w:rsidR="00EA0690">
        <w:rPr>
          <w:rFonts w:ascii="Arial" w:hAnsi="Arial" w:cs="Arial"/>
        </w:rPr>
        <w:t>.</w:t>
      </w:r>
      <w:r w:rsidRPr="00451084">
        <w:rPr>
          <w:rFonts w:ascii="Arial" w:hAnsi="Arial" w:cs="Arial"/>
        </w:rPr>
        <w:t xml:space="preserve"> Memorandum of </w:t>
      </w:r>
      <w:r w:rsidR="00451084">
        <w:rPr>
          <w:rFonts w:ascii="Arial" w:hAnsi="Arial" w:cs="Arial"/>
        </w:rPr>
        <w:t>U</w:t>
      </w:r>
      <w:r w:rsidRPr="00451084">
        <w:rPr>
          <w:rFonts w:ascii="Arial" w:hAnsi="Arial" w:cs="Arial"/>
        </w:rPr>
        <w:t>nderstanding between Welsh Ministers and HM Prison and Probation Service. Cardiff/London: Welsh Government and HMPPS. Available</w:t>
      </w:r>
      <w:r w:rsidRPr="00C22A0A">
        <w:rPr>
          <w:rFonts w:ascii="Arial" w:hAnsi="Arial" w:cs="Arial"/>
        </w:rPr>
        <w:t xml:space="preserve"> at:</w:t>
      </w:r>
      <w:r w:rsidRPr="00C22A0A">
        <w:rPr>
          <w:rFonts w:ascii="Arial" w:hAnsi="Arial" w:cs="Arial"/>
        </w:rPr>
        <w:br/>
      </w:r>
      <w:hyperlink r:id="rId28" w:history="1">
        <w:r w:rsidR="00451084" w:rsidRPr="00451084">
          <w:rPr>
            <w:rStyle w:val="Hyperlink"/>
            <w:rFonts w:ascii="Arial" w:hAnsi="Arial" w:cs="Arial"/>
          </w:rPr>
          <w:t>Memorandum of understanding: Welsh Ministers and HM Prison and Probation Service</w:t>
        </w:r>
      </w:hyperlink>
      <w:r w:rsidRPr="00C22A0A">
        <w:rPr>
          <w:rFonts w:ascii="Arial" w:hAnsi="Arial" w:cs="Arial"/>
        </w:rPr>
        <w:br/>
        <w:t>(Accessed:</w:t>
      </w:r>
      <w:r w:rsidR="00505E4D">
        <w:rPr>
          <w:rFonts w:ascii="Arial" w:hAnsi="Arial" w:cs="Arial"/>
        </w:rPr>
        <w:t>2</w:t>
      </w:r>
      <w:r w:rsidR="00DF0716">
        <w:rPr>
          <w:rFonts w:ascii="Arial" w:hAnsi="Arial" w:cs="Arial"/>
        </w:rPr>
        <w:t>9</w:t>
      </w:r>
      <w:r w:rsidR="00505E4D" w:rsidRPr="00C22A0A">
        <w:rPr>
          <w:rFonts w:ascii="Arial" w:hAnsi="Arial" w:cs="Arial"/>
        </w:rPr>
        <w:t xml:space="preserve"> </w:t>
      </w:r>
      <w:r w:rsidR="00505E4D">
        <w:rPr>
          <w:rFonts w:ascii="Arial" w:hAnsi="Arial" w:cs="Arial"/>
        </w:rPr>
        <w:t>December 2025</w:t>
      </w:r>
      <w:r w:rsidRPr="00C22A0A">
        <w:rPr>
          <w:rFonts w:ascii="Arial" w:hAnsi="Arial" w:cs="Arial"/>
        </w:rPr>
        <w:t>).</w:t>
      </w:r>
    </w:p>
    <w:p w14:paraId="04763C90" w14:textId="3C05704D" w:rsidR="007F2899" w:rsidRPr="007F2899" w:rsidRDefault="007F2899" w:rsidP="007F2899">
      <w:pPr>
        <w:tabs>
          <w:tab w:val="left" w:pos="3585"/>
        </w:tabs>
        <w:rPr>
          <w:rFonts w:ascii="Arial" w:hAnsi="Arial" w:cs="Arial"/>
        </w:rPr>
      </w:pPr>
    </w:p>
    <w:sectPr w:rsidR="007F2899" w:rsidRPr="007F289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8F29" w14:textId="77777777" w:rsidR="00364EC0" w:rsidRDefault="00364EC0" w:rsidP="00C44900">
      <w:pPr>
        <w:spacing w:after="0" w:line="240" w:lineRule="auto"/>
      </w:pPr>
      <w:r>
        <w:separator/>
      </w:r>
    </w:p>
  </w:endnote>
  <w:endnote w:type="continuationSeparator" w:id="0">
    <w:p w14:paraId="36CF3950" w14:textId="77777777" w:rsidR="00364EC0" w:rsidRDefault="00364EC0" w:rsidP="00C44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1539997"/>
      <w:docPartObj>
        <w:docPartGallery w:val="Page Numbers (Bottom of Page)"/>
        <w:docPartUnique/>
      </w:docPartObj>
    </w:sdtPr>
    <w:sdtEndPr>
      <w:rPr>
        <w:noProof/>
      </w:rPr>
    </w:sdtEndPr>
    <w:sdtContent>
      <w:p w14:paraId="3702D953" w14:textId="10DE85D6" w:rsidR="00C44900" w:rsidRDefault="00C449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47CAF" w14:textId="77777777" w:rsidR="00C44900" w:rsidRDefault="00C44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FF93F" w14:textId="77777777" w:rsidR="00364EC0" w:rsidRDefault="00364EC0" w:rsidP="00C44900">
      <w:pPr>
        <w:spacing w:after="0" w:line="240" w:lineRule="auto"/>
      </w:pPr>
      <w:r>
        <w:separator/>
      </w:r>
    </w:p>
  </w:footnote>
  <w:footnote w:type="continuationSeparator" w:id="0">
    <w:p w14:paraId="144E42FE" w14:textId="77777777" w:rsidR="00364EC0" w:rsidRDefault="00364EC0" w:rsidP="00C44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207"/>
    <w:multiLevelType w:val="multilevel"/>
    <w:tmpl w:val="D0EA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24BD"/>
    <w:multiLevelType w:val="multilevel"/>
    <w:tmpl w:val="51F0B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E1F5D"/>
    <w:multiLevelType w:val="multilevel"/>
    <w:tmpl w:val="B2DAD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D464D"/>
    <w:multiLevelType w:val="multilevel"/>
    <w:tmpl w:val="5C6C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743AE"/>
    <w:multiLevelType w:val="multilevel"/>
    <w:tmpl w:val="7354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04568"/>
    <w:multiLevelType w:val="multilevel"/>
    <w:tmpl w:val="EA3ED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D16E69"/>
    <w:multiLevelType w:val="hybridMultilevel"/>
    <w:tmpl w:val="9E1E5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C35DE"/>
    <w:multiLevelType w:val="multilevel"/>
    <w:tmpl w:val="78340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6357F8"/>
    <w:multiLevelType w:val="multilevel"/>
    <w:tmpl w:val="284EB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7C5CDA"/>
    <w:multiLevelType w:val="multilevel"/>
    <w:tmpl w:val="C3DC5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3C3A81"/>
    <w:multiLevelType w:val="multilevel"/>
    <w:tmpl w:val="70C49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166731"/>
    <w:multiLevelType w:val="multilevel"/>
    <w:tmpl w:val="193C5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1456928">
    <w:abstractNumId w:val="6"/>
  </w:num>
  <w:num w:numId="2" w16cid:durableId="512182303">
    <w:abstractNumId w:val="0"/>
  </w:num>
  <w:num w:numId="3" w16cid:durableId="1663922409">
    <w:abstractNumId w:val="1"/>
  </w:num>
  <w:num w:numId="4" w16cid:durableId="1378823713">
    <w:abstractNumId w:val="3"/>
  </w:num>
  <w:num w:numId="5" w16cid:durableId="2025400263">
    <w:abstractNumId w:val="9"/>
  </w:num>
  <w:num w:numId="6" w16cid:durableId="610237551">
    <w:abstractNumId w:val="2"/>
  </w:num>
  <w:num w:numId="7" w16cid:durableId="161747751">
    <w:abstractNumId w:val="5"/>
  </w:num>
  <w:num w:numId="8" w16cid:durableId="1396666831">
    <w:abstractNumId w:val="11"/>
  </w:num>
  <w:num w:numId="9" w16cid:durableId="1315064642">
    <w:abstractNumId w:val="7"/>
  </w:num>
  <w:num w:numId="10" w16cid:durableId="1871146886">
    <w:abstractNumId w:val="10"/>
  </w:num>
  <w:num w:numId="11" w16cid:durableId="395399278">
    <w:abstractNumId w:val="4"/>
  </w:num>
  <w:num w:numId="12" w16cid:durableId="636477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2A9"/>
    <w:rsid w:val="000061A9"/>
    <w:rsid w:val="00055C47"/>
    <w:rsid w:val="0007444F"/>
    <w:rsid w:val="000B1EC6"/>
    <w:rsid w:val="000B64DC"/>
    <w:rsid w:val="000B7281"/>
    <w:rsid w:val="000F5DA3"/>
    <w:rsid w:val="00111CED"/>
    <w:rsid w:val="00127A8A"/>
    <w:rsid w:val="001619B1"/>
    <w:rsid w:val="0018647B"/>
    <w:rsid w:val="001C7811"/>
    <w:rsid w:val="001D22FB"/>
    <w:rsid w:val="00235394"/>
    <w:rsid w:val="00273374"/>
    <w:rsid w:val="0028132D"/>
    <w:rsid w:val="002922CC"/>
    <w:rsid w:val="003003EC"/>
    <w:rsid w:val="00364EC0"/>
    <w:rsid w:val="003B76B3"/>
    <w:rsid w:val="003C4691"/>
    <w:rsid w:val="003D02A9"/>
    <w:rsid w:val="003E403F"/>
    <w:rsid w:val="0040132A"/>
    <w:rsid w:val="00416D9D"/>
    <w:rsid w:val="00422D7C"/>
    <w:rsid w:val="00441394"/>
    <w:rsid w:val="00451084"/>
    <w:rsid w:val="00457553"/>
    <w:rsid w:val="004854EB"/>
    <w:rsid w:val="004921DB"/>
    <w:rsid w:val="004D303A"/>
    <w:rsid w:val="004E18F1"/>
    <w:rsid w:val="004E7368"/>
    <w:rsid w:val="00505E4D"/>
    <w:rsid w:val="005D4B87"/>
    <w:rsid w:val="005E1DBE"/>
    <w:rsid w:val="00603BFC"/>
    <w:rsid w:val="00605A76"/>
    <w:rsid w:val="006319EC"/>
    <w:rsid w:val="006401E3"/>
    <w:rsid w:val="00647C96"/>
    <w:rsid w:val="00664E2C"/>
    <w:rsid w:val="006E53DA"/>
    <w:rsid w:val="006F1B47"/>
    <w:rsid w:val="00731604"/>
    <w:rsid w:val="00750457"/>
    <w:rsid w:val="00762F81"/>
    <w:rsid w:val="00771C67"/>
    <w:rsid w:val="0077323C"/>
    <w:rsid w:val="007B0D37"/>
    <w:rsid w:val="007B7382"/>
    <w:rsid w:val="007D05C8"/>
    <w:rsid w:val="007E5137"/>
    <w:rsid w:val="007F2899"/>
    <w:rsid w:val="00816496"/>
    <w:rsid w:val="00842461"/>
    <w:rsid w:val="00854217"/>
    <w:rsid w:val="0088456C"/>
    <w:rsid w:val="00887A09"/>
    <w:rsid w:val="008962EC"/>
    <w:rsid w:val="00900B99"/>
    <w:rsid w:val="00900F5E"/>
    <w:rsid w:val="00901560"/>
    <w:rsid w:val="00925F77"/>
    <w:rsid w:val="00927621"/>
    <w:rsid w:val="009A537B"/>
    <w:rsid w:val="009D300D"/>
    <w:rsid w:val="00A234ED"/>
    <w:rsid w:val="00A35028"/>
    <w:rsid w:val="00A406B7"/>
    <w:rsid w:val="00A44A08"/>
    <w:rsid w:val="00A70EB0"/>
    <w:rsid w:val="00A734CB"/>
    <w:rsid w:val="00AB4CDC"/>
    <w:rsid w:val="00AB7C93"/>
    <w:rsid w:val="00AC4895"/>
    <w:rsid w:val="00AD1311"/>
    <w:rsid w:val="00B54AB3"/>
    <w:rsid w:val="00B7119C"/>
    <w:rsid w:val="00B76EDB"/>
    <w:rsid w:val="00B83AB2"/>
    <w:rsid w:val="00B85F0A"/>
    <w:rsid w:val="00B91614"/>
    <w:rsid w:val="00BA08D8"/>
    <w:rsid w:val="00BA0ADA"/>
    <w:rsid w:val="00BA6DE7"/>
    <w:rsid w:val="00BB4909"/>
    <w:rsid w:val="00BF6B9D"/>
    <w:rsid w:val="00C22312"/>
    <w:rsid w:val="00C22A0A"/>
    <w:rsid w:val="00C44900"/>
    <w:rsid w:val="00C47B5B"/>
    <w:rsid w:val="00C53151"/>
    <w:rsid w:val="00C905D4"/>
    <w:rsid w:val="00CB61B1"/>
    <w:rsid w:val="00CC512D"/>
    <w:rsid w:val="00CD1F03"/>
    <w:rsid w:val="00CF16E7"/>
    <w:rsid w:val="00CF4A54"/>
    <w:rsid w:val="00D113DE"/>
    <w:rsid w:val="00D505D7"/>
    <w:rsid w:val="00D742E5"/>
    <w:rsid w:val="00DA7412"/>
    <w:rsid w:val="00DD2416"/>
    <w:rsid w:val="00DE1DF2"/>
    <w:rsid w:val="00DE6556"/>
    <w:rsid w:val="00DF0716"/>
    <w:rsid w:val="00DF2AE0"/>
    <w:rsid w:val="00E14BA0"/>
    <w:rsid w:val="00E358F7"/>
    <w:rsid w:val="00E52A27"/>
    <w:rsid w:val="00E76E07"/>
    <w:rsid w:val="00EA0690"/>
    <w:rsid w:val="00EC1BEA"/>
    <w:rsid w:val="00F01F6C"/>
    <w:rsid w:val="00F515D5"/>
    <w:rsid w:val="00F56C00"/>
    <w:rsid w:val="00F57E4F"/>
    <w:rsid w:val="00F660FF"/>
    <w:rsid w:val="00FB037C"/>
    <w:rsid w:val="00FB19A6"/>
    <w:rsid w:val="00FC5F19"/>
    <w:rsid w:val="00FC73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30E"/>
  <w15:chartTrackingRefBased/>
  <w15:docId w15:val="{7FC66702-A4B1-4A91-8273-785657B5A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0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2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2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2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2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02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2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2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2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2A9"/>
    <w:rPr>
      <w:rFonts w:eastAsiaTheme="majorEastAsia" w:cstheme="majorBidi"/>
      <w:color w:val="272727" w:themeColor="text1" w:themeTint="D8"/>
    </w:rPr>
  </w:style>
  <w:style w:type="paragraph" w:styleId="Title">
    <w:name w:val="Title"/>
    <w:basedOn w:val="Normal"/>
    <w:next w:val="Normal"/>
    <w:link w:val="TitleChar"/>
    <w:uiPriority w:val="10"/>
    <w:qFormat/>
    <w:rsid w:val="003D0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2A9"/>
    <w:pPr>
      <w:spacing w:before="160"/>
      <w:jc w:val="center"/>
    </w:pPr>
    <w:rPr>
      <w:i/>
      <w:iCs/>
      <w:color w:val="404040" w:themeColor="text1" w:themeTint="BF"/>
    </w:rPr>
  </w:style>
  <w:style w:type="character" w:customStyle="1" w:styleId="QuoteChar">
    <w:name w:val="Quote Char"/>
    <w:basedOn w:val="DefaultParagraphFont"/>
    <w:link w:val="Quote"/>
    <w:uiPriority w:val="29"/>
    <w:rsid w:val="003D02A9"/>
    <w:rPr>
      <w:i/>
      <w:iCs/>
      <w:color w:val="404040" w:themeColor="text1" w:themeTint="BF"/>
    </w:rPr>
  </w:style>
  <w:style w:type="paragraph" w:styleId="ListParagraph">
    <w:name w:val="List Paragraph"/>
    <w:basedOn w:val="Normal"/>
    <w:uiPriority w:val="34"/>
    <w:qFormat/>
    <w:rsid w:val="003D02A9"/>
    <w:pPr>
      <w:ind w:left="720"/>
      <w:contextualSpacing/>
    </w:pPr>
  </w:style>
  <w:style w:type="character" w:styleId="IntenseEmphasis">
    <w:name w:val="Intense Emphasis"/>
    <w:basedOn w:val="DefaultParagraphFont"/>
    <w:uiPriority w:val="21"/>
    <w:qFormat/>
    <w:rsid w:val="003D02A9"/>
    <w:rPr>
      <w:i/>
      <w:iCs/>
      <w:color w:val="0F4761" w:themeColor="accent1" w:themeShade="BF"/>
    </w:rPr>
  </w:style>
  <w:style w:type="paragraph" w:styleId="IntenseQuote">
    <w:name w:val="Intense Quote"/>
    <w:basedOn w:val="Normal"/>
    <w:next w:val="Normal"/>
    <w:link w:val="IntenseQuoteChar"/>
    <w:uiPriority w:val="30"/>
    <w:qFormat/>
    <w:rsid w:val="003D0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2A9"/>
    <w:rPr>
      <w:i/>
      <w:iCs/>
      <w:color w:val="0F4761" w:themeColor="accent1" w:themeShade="BF"/>
    </w:rPr>
  </w:style>
  <w:style w:type="character" w:styleId="IntenseReference">
    <w:name w:val="Intense Reference"/>
    <w:basedOn w:val="DefaultParagraphFont"/>
    <w:uiPriority w:val="32"/>
    <w:qFormat/>
    <w:rsid w:val="003D02A9"/>
    <w:rPr>
      <w:b/>
      <w:bCs/>
      <w:smallCaps/>
      <w:color w:val="0F4761" w:themeColor="accent1" w:themeShade="BF"/>
      <w:spacing w:val="5"/>
    </w:rPr>
  </w:style>
  <w:style w:type="paragraph" w:styleId="Header">
    <w:name w:val="header"/>
    <w:basedOn w:val="Normal"/>
    <w:link w:val="HeaderChar"/>
    <w:uiPriority w:val="99"/>
    <w:unhideWhenUsed/>
    <w:rsid w:val="00C44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900"/>
  </w:style>
  <w:style w:type="paragraph" w:styleId="Footer">
    <w:name w:val="footer"/>
    <w:basedOn w:val="Normal"/>
    <w:link w:val="FooterChar"/>
    <w:uiPriority w:val="99"/>
    <w:unhideWhenUsed/>
    <w:rsid w:val="00C44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900"/>
  </w:style>
  <w:style w:type="character" w:styleId="Hyperlink">
    <w:name w:val="Hyperlink"/>
    <w:basedOn w:val="DefaultParagraphFont"/>
    <w:uiPriority w:val="99"/>
    <w:unhideWhenUsed/>
    <w:rsid w:val="00C22A0A"/>
    <w:rPr>
      <w:color w:val="467886" w:themeColor="hyperlink"/>
      <w:u w:val="single"/>
    </w:rPr>
  </w:style>
  <w:style w:type="character" w:styleId="UnresolvedMention">
    <w:name w:val="Unresolved Mention"/>
    <w:basedOn w:val="DefaultParagraphFont"/>
    <w:uiPriority w:val="99"/>
    <w:semiHidden/>
    <w:unhideWhenUsed/>
    <w:rsid w:val="00C22A0A"/>
    <w:rPr>
      <w:color w:val="605E5C"/>
      <w:shd w:val="clear" w:color="auto" w:fill="E1DFDD"/>
    </w:rPr>
  </w:style>
  <w:style w:type="character" w:styleId="FollowedHyperlink">
    <w:name w:val="FollowedHyperlink"/>
    <w:basedOn w:val="DefaultParagraphFont"/>
    <w:uiPriority w:val="99"/>
    <w:semiHidden/>
    <w:unhideWhenUsed/>
    <w:rsid w:val="00DA74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prisons/inspections/hmp-berwyn/" TargetMode="External"/><Relationship Id="rId13" Type="http://schemas.openxmlformats.org/officeDocument/2006/relationships/hyperlink" Target="https://doi.org/10.1111/j.2044-8333.2011.02039.x" TargetMode="External"/><Relationship Id="rId18" Type="http://schemas.openxmlformats.org/officeDocument/2006/relationships/hyperlink" Target="https://www.justiceinspectorates.gov.uk/hmiprisons" TargetMode="External"/><Relationship Id="rId26" Type="http://schemas.openxmlformats.org/officeDocument/2006/relationships/hyperlink" Target="https://www.gov.wales/better-learning-better-chances-prison-learning-and-skills-provision-wales" TargetMode="External"/><Relationship Id="rId3" Type="http://schemas.openxmlformats.org/officeDocument/2006/relationships/settings" Target="settings.xml"/><Relationship Id="rId21" Type="http://schemas.openxmlformats.org/officeDocument/2006/relationships/hyperlink" Target="https://www.jstor.org/stable/2657381?origin=crossref" TargetMode="External"/><Relationship Id="rId7" Type="http://schemas.openxmlformats.org/officeDocument/2006/relationships/hyperlink" Target="https://www.gov.uk/government/publications/unlocking-potential-a-review-of-education-in-prison" TargetMode="External"/><Relationship Id="rId12" Type="http://schemas.openxmlformats.org/officeDocument/2006/relationships/hyperlink" Target="https://www.researchgate.net/publication/232604319_Making_Good_How_Ex-Convicts_Reform_and_Rebuild_Their_Lives" TargetMode="External"/><Relationship Id="rId17" Type="http://schemas.openxmlformats.org/officeDocument/2006/relationships/hyperlink" Target="https://www.ojp.gov/ncjrs/virtual-library/abstracts/crime-making-pathways-and-turning-points-through-life" TargetMode="External"/><Relationship Id="rId25" Type="http://schemas.openxmlformats.org/officeDocument/2006/relationships/hyperlink" Target="https://www.gov.wales/new-prison-learning-and-skills-policy-wales?utm_source=chatgpt.com" TargetMode="External"/><Relationship Id="rId2" Type="http://schemas.openxmlformats.org/officeDocument/2006/relationships/styles" Target="styles.xml"/><Relationship Id="rId16" Type="http://schemas.openxmlformats.org/officeDocument/2006/relationships/hyperlink" Target="https://www.jstor.org/stable/10.1086/374403" TargetMode="External"/><Relationship Id="rId20" Type="http://schemas.openxmlformats.org/officeDocument/2006/relationships/hyperlink" Target="https://www.urban.org/sites/default/files/publication/61571/410098-From-Prison-to-Home-The-Dimensions-and-Consequences-of-Prisoner-Reentry.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ttees.parliament.uk" TargetMode="External"/><Relationship Id="rId24" Type="http://schemas.openxmlformats.org/officeDocument/2006/relationships/hyperlink" Target="https://www.legislation.gov.uk/anaw/2015/2/contents" TargetMode="External"/><Relationship Id="rId5" Type="http://schemas.openxmlformats.org/officeDocument/2006/relationships/footnotes" Target="footnotes.xml"/><Relationship Id="rId15" Type="http://schemas.openxmlformats.org/officeDocument/2006/relationships/hyperlink" Target="https://gfie.blog.gov.uk/2025/08/05/building-bridges-between-prison-and-civil-service-employment/" TargetMode="External"/><Relationship Id="rId23" Type="http://schemas.openxmlformats.org/officeDocument/2006/relationships/hyperlink" Target="https://strathprints.strath.ac.uk/44015/" TargetMode="External"/><Relationship Id="rId28" Type="http://schemas.openxmlformats.org/officeDocument/2006/relationships/hyperlink" Target="https://www.gov.wales/sites/default/files/publications/2025-09/memorandum-of-understanding-welsh-ministers-and-hm-prison-and-probation-service.pdf" TargetMode="External"/><Relationship Id="rId10" Type="http://schemas.openxmlformats.org/officeDocument/2006/relationships/hyperlink" Target="https://assets.publishing.service.gov.uk/media/62e41079d3bf7f75b02b3481/Wales_HMPPS_Reducing-Reoffending-plan.pdf" TargetMode="External"/><Relationship Id="rId19" Type="http://schemas.openxmlformats.org/officeDocument/2006/relationships/hyperlink" Target="https://www.theguardian.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media/5d3afa93e5274a400ce4c212/Learning_and_Skills_Strategy_for_Wales_Prisons_July_2019_.pdf" TargetMode="External"/><Relationship Id="rId14" Type="http://schemas.openxmlformats.org/officeDocument/2006/relationships/hyperlink" Target="https://www.nao.org.uk/wp-content/uploads/2019/02/Transforming-Rehabilitation-Progress-review.pdf" TargetMode="External"/><Relationship Id="rId22" Type="http://schemas.openxmlformats.org/officeDocument/2006/relationships/hyperlink" Target="https://doi.org/10.1146/annurev.soc.29.010202.095931" TargetMode="External"/><Relationship Id="rId27" Type="http://schemas.openxmlformats.org/officeDocument/2006/relationships/hyperlink" Target="https://www.gov.wales/evaluation-working-wales-priso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15</Pages>
  <Words>4987</Words>
  <Characters>34017</Characters>
  <Application>Microsoft Office Word</Application>
  <DocSecurity>0</DocSecurity>
  <Lines>641</Lines>
  <Paragraphs>102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113</cp:revision>
  <dcterms:created xsi:type="dcterms:W3CDTF">2025-12-23T09:57:00Z</dcterms:created>
  <dcterms:modified xsi:type="dcterms:W3CDTF">2026-01-18T16:32:00Z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f0bf16db-d841-4932-a719-8da9d01bb4c9</vt:lpwstr>
  </property>
</Properties>
</file>