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490D13" w14:textId="77777777" w:rsidR="00A47A1D" w:rsidRDefault="007D5B77">
      <w:pPr>
        <w:spacing w:line="360" w:lineRule="auto"/>
        <w:jc w:val="center"/>
        <w:rPr>
          <w:rFonts w:ascii="Calibri" w:eastAsia="Times New Roman" w:hAnsi="Calibri" w:cs="Calibri"/>
          <w:b/>
          <w:sz w:val="28"/>
          <w:szCs w:val="28"/>
        </w:rPr>
      </w:pPr>
      <w:r>
        <w:rPr>
          <w:rFonts w:ascii="Calibri" w:eastAsia="Times New Roman" w:hAnsi="Calibri" w:cs="Calibri"/>
          <w:b/>
          <w:sz w:val="28"/>
          <w:szCs w:val="28"/>
        </w:rPr>
        <w:t>MBA Dissertation Proposal Template</w:t>
      </w:r>
    </w:p>
    <w:p w14:paraId="7F8745E6" w14:textId="77777777" w:rsidR="00A47A1D" w:rsidRDefault="007D5B77">
      <w:pPr>
        <w:spacing w:line="360" w:lineRule="auto"/>
        <w:jc w:val="center"/>
        <w:rPr>
          <w:rFonts w:ascii="Cambria" w:eastAsia="Times New Roman" w:hAnsi="Cambria" w:cs="Times New Roman"/>
          <w:sz w:val="24"/>
          <w:szCs w:val="24"/>
        </w:rPr>
      </w:pPr>
      <w:r>
        <w:rPr>
          <w:rFonts w:ascii="Cambria" w:eastAsia="Times New Roman" w:hAnsi="Cambria" w:cs="Times New Roman"/>
          <w:sz w:val="24"/>
          <w:szCs w:val="24"/>
        </w:rPr>
        <w:t>Module: LCMB7035 – Dissertation</w:t>
      </w:r>
    </w:p>
    <w:p w14:paraId="03918B02" w14:textId="77777777" w:rsidR="00A47A1D" w:rsidRDefault="007D5B77">
      <w:pPr>
        <w:spacing w:line="360" w:lineRule="auto"/>
        <w:jc w:val="center"/>
        <w:rPr>
          <w:rFonts w:ascii="Cambria" w:eastAsia="Times New Roman" w:hAnsi="Cambria" w:cs="Times New Roman"/>
          <w:sz w:val="24"/>
          <w:szCs w:val="24"/>
        </w:rPr>
      </w:pPr>
      <w:r>
        <w:rPr>
          <w:rFonts w:ascii="Cambria" w:eastAsia="Times New Roman" w:hAnsi="Cambria" w:cs="Times New Roman"/>
          <w:sz w:val="24"/>
          <w:szCs w:val="24"/>
        </w:rPr>
        <w:t>Programme: Master of Business Administration</w:t>
      </w:r>
    </w:p>
    <w:p w14:paraId="018E8859" w14:textId="77777777" w:rsidR="00A47A1D" w:rsidRDefault="007D5B77">
      <w:pPr>
        <w:spacing w:line="360" w:lineRule="auto"/>
        <w:jc w:val="center"/>
        <w:rPr>
          <w:rFonts w:ascii="Cambria" w:eastAsia="Times New Roman" w:hAnsi="Cambria" w:cs="Times New Roman"/>
          <w:sz w:val="24"/>
          <w:szCs w:val="24"/>
        </w:rPr>
      </w:pPr>
      <w:r>
        <w:rPr>
          <w:rFonts w:ascii="Cambria" w:eastAsia="Times New Roman" w:hAnsi="Cambria" w:cs="Times New Roman"/>
          <w:sz w:val="24"/>
          <w:szCs w:val="24"/>
        </w:rPr>
        <w:t>Institution: Institute of Inner-City Learning, London Campus</w:t>
      </w:r>
    </w:p>
    <w:p w14:paraId="54116FC9" w14:textId="77777777" w:rsidR="00A47A1D" w:rsidRDefault="00A47A1D">
      <w:pPr>
        <w:spacing w:line="360" w:lineRule="auto"/>
        <w:jc w:val="center"/>
        <w:rPr>
          <w:rFonts w:ascii="Cambria" w:eastAsia="Times New Roman" w:hAnsi="Cambria" w:cs="Times New Roman"/>
          <w:sz w:val="24"/>
          <w:szCs w:val="24"/>
        </w:rPr>
      </w:pPr>
    </w:p>
    <w:p w14:paraId="3BFA475D" w14:textId="77777777" w:rsidR="00A47A1D" w:rsidRDefault="007D5B77">
      <w:pPr>
        <w:spacing w:line="360" w:lineRule="auto"/>
        <w:jc w:val="center"/>
        <w:rPr>
          <w:rFonts w:ascii="Cambria" w:eastAsia="Times New Roman" w:hAnsi="Cambria" w:cs="Times New Roman"/>
          <w:sz w:val="24"/>
          <w:szCs w:val="24"/>
        </w:rPr>
      </w:pPr>
      <w:r>
        <w:rPr>
          <w:rFonts w:ascii="Cambria" w:eastAsia="Times New Roman" w:hAnsi="Cambria" w:cs="Times New Roman"/>
          <w:sz w:val="24"/>
          <w:szCs w:val="24"/>
        </w:rPr>
        <w:t xml:space="preserve">Student Name: </w:t>
      </w:r>
      <w:proofErr w:type="spellStart"/>
      <w:r>
        <w:rPr>
          <w:rFonts w:ascii="Cambria" w:eastAsia="Times New Roman" w:hAnsi="Cambria" w:cs="Times New Roman"/>
          <w:sz w:val="24"/>
          <w:szCs w:val="24"/>
        </w:rPr>
        <w:t>Sujal</w:t>
      </w:r>
      <w:proofErr w:type="spellEnd"/>
      <w:r>
        <w:rPr>
          <w:rFonts w:ascii="Cambria" w:eastAsia="Times New Roman" w:hAnsi="Cambria" w:cs="Times New Roman"/>
          <w:sz w:val="24"/>
          <w:szCs w:val="24"/>
        </w:rPr>
        <w:t xml:space="preserve"> </w:t>
      </w:r>
      <w:proofErr w:type="spellStart"/>
      <w:r>
        <w:rPr>
          <w:rFonts w:ascii="Cambria" w:eastAsia="Times New Roman" w:hAnsi="Cambria" w:cs="Times New Roman"/>
          <w:sz w:val="24"/>
          <w:szCs w:val="24"/>
        </w:rPr>
        <w:t>Prakashbhai</w:t>
      </w:r>
      <w:proofErr w:type="spellEnd"/>
      <w:r>
        <w:rPr>
          <w:rFonts w:ascii="Cambria" w:eastAsia="Times New Roman" w:hAnsi="Cambria" w:cs="Times New Roman"/>
          <w:sz w:val="24"/>
          <w:szCs w:val="24"/>
        </w:rPr>
        <w:t xml:space="preserve"> </w:t>
      </w:r>
      <w:proofErr w:type="spellStart"/>
      <w:r>
        <w:rPr>
          <w:rFonts w:ascii="Cambria" w:eastAsia="Times New Roman" w:hAnsi="Cambria" w:cs="Times New Roman"/>
          <w:sz w:val="24"/>
          <w:szCs w:val="24"/>
        </w:rPr>
        <w:t>Ahir</w:t>
      </w:r>
      <w:proofErr w:type="spellEnd"/>
    </w:p>
    <w:p w14:paraId="0B909BD2" w14:textId="77777777" w:rsidR="00A47A1D" w:rsidRDefault="007D5B77">
      <w:pPr>
        <w:spacing w:line="360" w:lineRule="auto"/>
        <w:jc w:val="center"/>
        <w:rPr>
          <w:rFonts w:ascii="Cambria" w:eastAsia="Times New Roman" w:hAnsi="Cambria" w:cs="Times New Roman"/>
          <w:sz w:val="24"/>
          <w:szCs w:val="24"/>
        </w:rPr>
      </w:pPr>
      <w:r>
        <w:rPr>
          <w:rFonts w:ascii="Cambria" w:eastAsia="Times New Roman" w:hAnsi="Cambria" w:cs="Times New Roman"/>
          <w:sz w:val="24"/>
          <w:szCs w:val="24"/>
        </w:rPr>
        <w:t>Student Number: 2427253</w:t>
      </w:r>
    </w:p>
    <w:p w14:paraId="45B68362" w14:textId="77777777" w:rsidR="00A47A1D" w:rsidRDefault="007D5B77">
      <w:pPr>
        <w:spacing w:line="360" w:lineRule="auto"/>
        <w:jc w:val="center"/>
        <w:rPr>
          <w:rFonts w:ascii="Times New Roman" w:eastAsia="Times New Roman" w:hAnsi="Times New Roman" w:cs="Times New Roman"/>
          <w:sz w:val="24"/>
          <w:szCs w:val="24"/>
        </w:rPr>
      </w:pPr>
      <w:r>
        <w:rPr>
          <w:rFonts w:ascii="Cambria" w:eastAsia="Times New Roman" w:hAnsi="Cambria" w:cs="Times New Roman"/>
          <w:sz w:val="24"/>
          <w:szCs w:val="24"/>
        </w:rPr>
        <w:t>Student Email:</w:t>
      </w:r>
      <w:r>
        <w:rPr>
          <w:rFonts w:ascii="Times New Roman" w:eastAsia="Times New Roman" w:hAnsi="Times New Roman" w:cs="Times New Roman"/>
          <w:sz w:val="24"/>
          <w:szCs w:val="24"/>
        </w:rPr>
        <w:t xml:space="preserve"> 2427253@student.uwtsd.ac.uk</w:t>
      </w:r>
    </w:p>
    <w:p w14:paraId="05DB1402" w14:textId="77777777" w:rsidR="00A47A1D" w:rsidRDefault="007D5B77">
      <w:pPr>
        <w:spacing w:line="360" w:lineRule="auto"/>
        <w:jc w:val="center"/>
        <w:rPr>
          <w:rFonts w:ascii="Times New Roman" w:eastAsia="Times New Roman" w:hAnsi="Times New Roman" w:cs="Times New Roman"/>
          <w:sz w:val="24"/>
          <w:szCs w:val="24"/>
        </w:rPr>
      </w:pPr>
      <w:r>
        <w:br w:type="page"/>
      </w:r>
    </w:p>
    <w:p w14:paraId="409B3631" w14:textId="77777777" w:rsidR="00A47A1D" w:rsidRDefault="007D5B77">
      <w:pPr>
        <w:pStyle w:val="Heading1"/>
      </w:pPr>
      <w:r>
        <w:lastRenderedPageBreak/>
        <w:t>1. Introduction</w:t>
      </w:r>
    </w:p>
    <w:p w14:paraId="1D7AC8C0" w14:textId="77777777" w:rsidR="00A47A1D" w:rsidRDefault="007D5B77">
      <w:pPr>
        <w:pStyle w:val="Heading2"/>
      </w:pPr>
      <w:r>
        <w:t xml:space="preserve">1.1 Proposed Title </w:t>
      </w:r>
    </w:p>
    <w:p w14:paraId="0A74242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The Role of Online Health Information in Shaping Consumer Perception of Pharmaceutical Brands in the UK.</w:t>
      </w:r>
    </w:p>
    <w:p w14:paraId="249B9AB3" w14:textId="77777777" w:rsidR="00A47A1D" w:rsidRDefault="007D5B77">
      <w:pPr>
        <w:pStyle w:val="Heading2"/>
      </w:pPr>
      <w:r>
        <w:t>1.2 Background and Rationale</w:t>
      </w:r>
    </w:p>
    <w:p w14:paraId="008A9727" w14:textId="77777777" w:rsidR="00A47A1D" w:rsidRDefault="007D5B77">
      <w:pPr>
        <w:spacing w:line="360" w:lineRule="auto"/>
        <w:jc w:val="both"/>
        <w:rPr>
          <w:rFonts w:ascii="Cambria" w:eastAsia="Times New Roman" w:hAnsi="Cambria" w:cs="Times New Roman"/>
          <w:b/>
        </w:rPr>
      </w:pPr>
      <w:r>
        <w:rPr>
          <w:rFonts w:ascii="Cambria" w:eastAsia="Times New Roman" w:hAnsi="Cambria" w:cs="Times New Roman"/>
          <w:b/>
        </w:rPr>
        <w:t>Overview of the topic</w:t>
      </w:r>
    </w:p>
    <w:p w14:paraId="5FD569A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In the healthcare context, online health information (OHI) plays a crucial role in understanding consumer perception. According to Jia et al. (2021), the usage of healthcare information technologies has rapidly increased in the current environment. With the help of this valuable asset, healthcare organisations not only access customers' information via online but also determine their required health outcomes. Therefore, by navigating OHI, healthcare professionals are able to promote the access to health service-related initiatives and evaluate fruitful results. Similarly, Crespo-Gonzalez et al. (2024) emphasised that OHI is highlighted as multiple evidence and non-evidence based sources such as health and government websites, online forums and social media. Hence, OHI enables customers to make better health-related decisions which consist of self-care and the availability of healthcare professionals. </w:t>
      </w:r>
    </w:p>
    <w:p w14:paraId="19429472" w14:textId="77777777" w:rsidR="00A47A1D" w:rsidRDefault="007D5B77">
      <w:pPr>
        <w:spacing w:line="360" w:lineRule="auto"/>
        <w:jc w:val="both"/>
        <w:rPr>
          <w:rFonts w:ascii="Cambria" w:eastAsia="Times New Roman" w:hAnsi="Cambria" w:cs="Times New Roman"/>
          <w:b/>
        </w:rPr>
      </w:pPr>
      <w:r>
        <w:rPr>
          <w:rFonts w:ascii="Cambria" w:eastAsia="Times New Roman" w:hAnsi="Cambria" w:cs="Times New Roman"/>
          <w:b/>
        </w:rPr>
        <w:t>Importance of OHI in business or management practices</w:t>
      </w:r>
    </w:p>
    <w:p w14:paraId="2A458C8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In the business field or their management practices, OHI is determined as a valuable source that encompasses advanced technologies' significance for detecting consumers' seeking behaviour to use digital medical information. With the help of OHI implications, healthcare professionals not only manage users' information-seeking procedures but also successfully enhance online health communities' trust (Boyce et al., 2024). In addition, the OHI usage focuses on strategic considerations of healthcare businesses that includes healthcare setting-based cost and subjective knowledge (such as clinical guidelines) (Manika et al., 2021).</w:t>
      </w:r>
    </w:p>
    <w:p w14:paraId="492C7925" w14:textId="77777777" w:rsidR="00A47A1D" w:rsidRDefault="007D5B77">
      <w:pPr>
        <w:spacing w:line="360" w:lineRule="auto"/>
        <w:jc w:val="both"/>
        <w:rPr>
          <w:rFonts w:ascii="Cambria" w:eastAsia="Times New Roman" w:hAnsi="Cambria" w:cs="Times New Roman"/>
          <w:b/>
        </w:rPr>
      </w:pPr>
      <w:r>
        <w:rPr>
          <w:rFonts w:ascii="Cambria" w:eastAsia="Times New Roman" w:hAnsi="Cambria" w:cs="Times New Roman"/>
          <w:b/>
        </w:rPr>
        <w:t>Problem statement</w:t>
      </w:r>
    </w:p>
    <w:p w14:paraId="4A306E70"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The UK-based pharmaceutical brands experience multiple challenges when using OHI in their business practices. According to the Electronic Medicines Compendium (EMC), sometimes consumers notice limitless results from their online search engine. Therefore, consumers' opinionated brand-provided released data is inaccurate or outdated (Cooper, 2025). The prevalence of online misinformation creates other difficulties for pharmaceutical companies to regain public trust (</w:t>
      </w:r>
      <w:proofErr w:type="spellStart"/>
      <w:r>
        <w:rPr>
          <w:rFonts w:ascii="Cambria" w:eastAsia="Times New Roman" w:hAnsi="Cambria" w:cs="Times New Roman"/>
        </w:rPr>
        <w:t>Kbaier</w:t>
      </w:r>
      <w:proofErr w:type="spellEnd"/>
      <w:r>
        <w:rPr>
          <w:rFonts w:ascii="Cambria" w:eastAsia="Times New Roman" w:hAnsi="Cambria" w:cs="Times New Roman"/>
        </w:rPr>
        <w:t xml:space="preserve"> et al., 2024). Therefore, this study will address the negative consequences of OHI usage for the UK pharmaceutical companies and determine further recommendations to mitigate identified challenges.</w:t>
      </w:r>
    </w:p>
    <w:p w14:paraId="3F098B0A" w14:textId="77777777" w:rsidR="00A47A1D" w:rsidRDefault="007D5B77">
      <w:pPr>
        <w:pStyle w:val="Heading2"/>
      </w:pPr>
      <w:r>
        <w:lastRenderedPageBreak/>
        <w:t>1.3 Research Aim</w:t>
      </w:r>
    </w:p>
    <w:p w14:paraId="7FA9EDE3" w14:textId="44A36B21" w:rsidR="000B4BDC" w:rsidRPr="000B4BDC" w:rsidRDefault="007D5B77" w:rsidP="000B4BDC">
      <w:pPr>
        <w:pStyle w:val="ListParagraph1"/>
        <w:spacing w:line="360" w:lineRule="auto"/>
        <w:ind w:left="0"/>
        <w:jc w:val="both"/>
        <w:rPr>
          <w:rFonts w:ascii="Cambria" w:eastAsia="Times New Roman" w:hAnsi="Cambria" w:cs="Times New Roman"/>
          <w:color w:val="000000" w:themeColor="text1"/>
        </w:rPr>
      </w:pPr>
      <w:r>
        <w:rPr>
          <w:rFonts w:ascii="Cambria" w:eastAsia="Times New Roman" w:hAnsi="Cambria" w:cs="Times New Roman"/>
        </w:rPr>
        <w:t xml:space="preserve">The aim of the study </w:t>
      </w:r>
      <w:r w:rsidR="000B4BDC">
        <w:rPr>
          <w:rFonts w:ascii="Cambria" w:eastAsia="Times New Roman" w:hAnsi="Cambria" w:cs="Times New Roman"/>
        </w:rPr>
        <w:t>is to</w:t>
      </w:r>
      <w:r w:rsidR="000B4BDC" w:rsidRPr="00D722D7">
        <w:rPr>
          <w:rFonts w:ascii="Cambria" w:eastAsia="Times New Roman" w:hAnsi="Cambria" w:cs="Times New Roman"/>
          <w:color w:val="C00000"/>
        </w:rPr>
        <w:t xml:space="preserve"> </w:t>
      </w:r>
      <w:r w:rsidR="000B4BDC" w:rsidRPr="000B4BDC">
        <w:rPr>
          <w:rFonts w:ascii="Cambria" w:eastAsia="Times New Roman" w:hAnsi="Cambria" w:cs="Times New Roman"/>
          <w:color w:val="000000" w:themeColor="text1"/>
        </w:rPr>
        <w:t>examine how online health information influences consumer perception and trust toward pharmaceutical brands in the United Kingdom, and to identify strategic approaches that enhance brand credibility and consumer engagement in the digital healthcare environment.</w:t>
      </w:r>
    </w:p>
    <w:p w14:paraId="6C27DBFE" w14:textId="55A39578" w:rsidR="00A47A1D" w:rsidRDefault="00A47A1D">
      <w:pPr>
        <w:spacing w:line="360" w:lineRule="auto"/>
        <w:jc w:val="both"/>
        <w:rPr>
          <w:rFonts w:ascii="Cambria" w:eastAsia="Times New Roman" w:hAnsi="Cambria" w:cs="Times New Roman"/>
        </w:rPr>
      </w:pPr>
    </w:p>
    <w:p w14:paraId="502F858D" w14:textId="77777777" w:rsidR="00A47A1D" w:rsidRDefault="007D5B77">
      <w:pPr>
        <w:pStyle w:val="Heading2"/>
      </w:pPr>
      <w:r>
        <w:t>1.4 Research Objectives</w:t>
      </w:r>
    </w:p>
    <w:p w14:paraId="3AA90219" w14:textId="77777777" w:rsidR="000B4BDC" w:rsidRPr="000B4BDC" w:rsidRDefault="000B4BDC" w:rsidP="000B4BDC">
      <w:pPr>
        <w:pStyle w:val="ListParagraph1"/>
        <w:numPr>
          <w:ilvl w:val="0"/>
          <w:numId w:val="3"/>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To analyse</w:t>
      </w:r>
      <w:r w:rsidRPr="000B4BDC">
        <w:rPr>
          <w:rFonts w:ascii="Cambria" w:eastAsia="Times New Roman" w:hAnsi="Cambria" w:cs="Times New Roman"/>
          <w:color w:val="000000" w:themeColor="text1"/>
        </w:rPr>
        <w:t xml:space="preserve"> the impact of exposure to online health information on consumer perceptions of UK pharmaceutical brands.</w:t>
      </w:r>
    </w:p>
    <w:p w14:paraId="00C2467D" w14:textId="12A14CEB" w:rsidR="000B4BDC" w:rsidRPr="000B4BDC" w:rsidRDefault="000B4BDC" w:rsidP="000B4BDC">
      <w:pPr>
        <w:pStyle w:val="ListParagraph1"/>
        <w:numPr>
          <w:ilvl w:val="0"/>
          <w:numId w:val="3"/>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To identify</w:t>
      </w:r>
      <w:r>
        <w:rPr>
          <w:rFonts w:ascii="Cambria" w:eastAsia="Times New Roman" w:hAnsi="Cambria" w:cs="Times New Roman"/>
          <w:color w:val="000000" w:themeColor="text1"/>
        </w:rPr>
        <w:t xml:space="preserve"> key factors (</w:t>
      </w:r>
      <w:r w:rsidRPr="000B4BDC">
        <w:rPr>
          <w:rFonts w:ascii="Cambria" w:eastAsia="Times New Roman" w:hAnsi="Cambria" w:cs="Times New Roman"/>
          <w:color w:val="000000" w:themeColor="text1"/>
        </w:rPr>
        <w:t>such as source credibility, information accura</w:t>
      </w:r>
      <w:r>
        <w:rPr>
          <w:rFonts w:ascii="Cambria" w:eastAsia="Times New Roman" w:hAnsi="Cambria" w:cs="Times New Roman"/>
          <w:color w:val="000000" w:themeColor="text1"/>
        </w:rPr>
        <w:t xml:space="preserve">cy, and digital health literacy) </w:t>
      </w:r>
      <w:r w:rsidRPr="000B4BDC">
        <w:rPr>
          <w:rFonts w:ascii="Cambria" w:eastAsia="Times New Roman" w:hAnsi="Cambria" w:cs="Times New Roman"/>
          <w:color w:val="000000" w:themeColor="text1"/>
        </w:rPr>
        <w:t>that shape consumer attitudes and trust.</w:t>
      </w:r>
    </w:p>
    <w:p w14:paraId="3816E5E1" w14:textId="77777777" w:rsidR="000B4BDC" w:rsidRPr="000B4BDC" w:rsidRDefault="000B4BDC" w:rsidP="000B4BDC">
      <w:pPr>
        <w:pStyle w:val="ListParagraph1"/>
        <w:numPr>
          <w:ilvl w:val="0"/>
          <w:numId w:val="3"/>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To evaluate</w:t>
      </w:r>
      <w:r w:rsidRPr="000B4BDC">
        <w:rPr>
          <w:rFonts w:ascii="Cambria" w:eastAsia="Times New Roman" w:hAnsi="Cambria" w:cs="Times New Roman"/>
          <w:color w:val="000000" w:themeColor="text1"/>
        </w:rPr>
        <w:t xml:space="preserve"> how positive and negative online health information experiences influence levels of consumer trust in pharmaceutical brands.</w:t>
      </w:r>
    </w:p>
    <w:p w14:paraId="617DB29E" w14:textId="77777777" w:rsidR="000B4BDC" w:rsidRPr="000B4BDC" w:rsidRDefault="000B4BDC" w:rsidP="000B4BDC">
      <w:pPr>
        <w:pStyle w:val="ListParagraph1"/>
        <w:numPr>
          <w:ilvl w:val="0"/>
          <w:numId w:val="3"/>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To propose</w:t>
      </w:r>
      <w:r w:rsidRPr="000B4BDC">
        <w:rPr>
          <w:rFonts w:ascii="Cambria" w:eastAsia="Times New Roman" w:hAnsi="Cambria" w:cs="Times New Roman"/>
          <w:color w:val="000000" w:themeColor="text1"/>
        </w:rPr>
        <w:t xml:space="preserve"> strategic recommendations for pharmaceutical companies to enhance brand perception and consumer trust through effective digital health communication practices.</w:t>
      </w:r>
    </w:p>
    <w:p w14:paraId="1DE69AB1" w14:textId="77777777" w:rsidR="00A47A1D" w:rsidRDefault="007D5B77">
      <w:pPr>
        <w:pStyle w:val="Heading2"/>
      </w:pPr>
      <w:r>
        <w:t>1.5 Research Questions</w:t>
      </w:r>
    </w:p>
    <w:p w14:paraId="5D299C4A" w14:textId="77777777" w:rsidR="00D36113" w:rsidRPr="000B4BDC" w:rsidRDefault="00D36113" w:rsidP="000B4BDC">
      <w:pPr>
        <w:pStyle w:val="ListParagraph1"/>
        <w:spacing w:line="360" w:lineRule="auto"/>
        <w:ind w:left="0"/>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Main Research Question:</w:t>
      </w:r>
    </w:p>
    <w:p w14:paraId="205DA531" w14:textId="77777777" w:rsidR="00D36113" w:rsidRPr="000B4BDC" w:rsidRDefault="00D36113" w:rsidP="00D36113">
      <w:pPr>
        <w:pStyle w:val="ListParagraph1"/>
        <w:numPr>
          <w:ilvl w:val="0"/>
          <w:numId w:val="5"/>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color w:val="000000" w:themeColor="text1"/>
        </w:rPr>
        <w:t>How does exposure to online health information influence consumer perception and trust toward pharmaceutical brands in the UK?</w:t>
      </w:r>
    </w:p>
    <w:p w14:paraId="43970844" w14:textId="77777777" w:rsidR="00D36113" w:rsidRPr="000B4BDC" w:rsidRDefault="00D36113" w:rsidP="000B4BDC">
      <w:pPr>
        <w:pStyle w:val="ListParagraph1"/>
        <w:spacing w:line="360" w:lineRule="auto"/>
        <w:ind w:left="0"/>
        <w:jc w:val="both"/>
        <w:rPr>
          <w:rFonts w:ascii="Cambria" w:eastAsia="Times New Roman" w:hAnsi="Cambria" w:cs="Times New Roman"/>
          <w:color w:val="000000" w:themeColor="text1"/>
        </w:rPr>
      </w:pPr>
      <w:r w:rsidRPr="000B4BDC">
        <w:rPr>
          <w:rFonts w:ascii="Cambria" w:eastAsia="Times New Roman" w:hAnsi="Cambria" w:cs="Times New Roman"/>
          <w:b/>
          <w:bCs/>
          <w:color w:val="000000" w:themeColor="text1"/>
        </w:rPr>
        <w:t>Supporting Questions:</w:t>
      </w:r>
    </w:p>
    <w:p w14:paraId="1424ECC7" w14:textId="77777777" w:rsidR="00D36113" w:rsidRPr="000B4BDC" w:rsidRDefault="00D36113" w:rsidP="00D36113">
      <w:pPr>
        <w:pStyle w:val="ListParagraph1"/>
        <w:numPr>
          <w:ilvl w:val="0"/>
          <w:numId w:val="6"/>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color w:val="000000" w:themeColor="text1"/>
        </w:rPr>
        <w:t>What key factors (e.g., source credibility, information accuracy, digital literacy) shape consumer perceptions of pharmaceutical brands when engaging with online health information?</w:t>
      </w:r>
    </w:p>
    <w:p w14:paraId="679C3A20" w14:textId="77777777" w:rsidR="00D36113" w:rsidRPr="000B4BDC" w:rsidRDefault="00D36113" w:rsidP="00D36113">
      <w:pPr>
        <w:pStyle w:val="ListParagraph1"/>
        <w:numPr>
          <w:ilvl w:val="0"/>
          <w:numId w:val="6"/>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color w:val="000000" w:themeColor="text1"/>
        </w:rPr>
        <w:t>To what extent do positive and negative online health information experiences affect consumer trust in UK pharmaceutical brands?</w:t>
      </w:r>
    </w:p>
    <w:p w14:paraId="6F6EC16D" w14:textId="77777777" w:rsidR="00D36113" w:rsidRPr="000B4BDC" w:rsidRDefault="00D36113" w:rsidP="00D36113">
      <w:pPr>
        <w:pStyle w:val="ListParagraph1"/>
        <w:numPr>
          <w:ilvl w:val="0"/>
          <w:numId w:val="6"/>
        </w:numPr>
        <w:spacing w:line="360" w:lineRule="auto"/>
        <w:jc w:val="both"/>
        <w:rPr>
          <w:rFonts w:ascii="Cambria" w:eastAsia="Times New Roman" w:hAnsi="Cambria" w:cs="Times New Roman"/>
          <w:color w:val="000000" w:themeColor="text1"/>
        </w:rPr>
      </w:pPr>
      <w:r w:rsidRPr="000B4BDC">
        <w:rPr>
          <w:rFonts w:ascii="Cambria" w:eastAsia="Times New Roman" w:hAnsi="Cambria" w:cs="Times New Roman"/>
          <w:color w:val="000000" w:themeColor="text1"/>
        </w:rPr>
        <w:t>How can pharmaceutical companies enhance consumer trust and brand perception through effective online health information strategies?</w:t>
      </w:r>
    </w:p>
    <w:p w14:paraId="0377C1F9" w14:textId="77777777" w:rsidR="00A47A1D" w:rsidRDefault="007D5B77">
      <w:pPr>
        <w:pStyle w:val="Heading1"/>
      </w:pPr>
      <w:r>
        <w:t>2. Literature Review</w:t>
      </w:r>
    </w:p>
    <w:p w14:paraId="24591300" w14:textId="77777777" w:rsidR="00A47A1D" w:rsidRDefault="007D5B77">
      <w:pPr>
        <w:pStyle w:val="Heading2"/>
      </w:pPr>
      <w:r>
        <w:t>2.1 Key Themes / Theories</w:t>
      </w:r>
    </w:p>
    <w:p w14:paraId="083A9A8E" w14:textId="77777777" w:rsidR="00A47A1D" w:rsidRDefault="007D5B77">
      <w:pPr>
        <w:pStyle w:val="Heading3"/>
      </w:pPr>
      <w:r>
        <w:t>2.1.1 Analyse OHI's role in the UK-based pharmaceutical brands to shape consumer perception</w:t>
      </w:r>
    </w:p>
    <w:p w14:paraId="4B47EBD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Prioritising digital transformation, most of the pharmaceutical companies use online health information to easily interact with consumers. According to </w:t>
      </w:r>
      <w:proofErr w:type="spellStart"/>
      <w:r>
        <w:rPr>
          <w:rFonts w:ascii="Cambria" w:eastAsia="Times New Roman" w:hAnsi="Cambria" w:cs="Times New Roman"/>
        </w:rPr>
        <w:t>Furtner</w:t>
      </w:r>
      <w:proofErr w:type="spellEnd"/>
      <w:r>
        <w:rPr>
          <w:rFonts w:ascii="Cambria" w:eastAsia="Times New Roman" w:hAnsi="Cambria" w:cs="Times New Roman"/>
        </w:rPr>
        <w:t xml:space="preserve"> et al. (2022), with the help of digital transformation pharmaceutical companies currently strive to bring positive changes in their </w:t>
      </w:r>
      <w:r>
        <w:rPr>
          <w:rFonts w:ascii="Cambria" w:eastAsia="Times New Roman" w:hAnsi="Cambria" w:cs="Times New Roman"/>
        </w:rPr>
        <w:lastRenderedPageBreak/>
        <w:t>practices. It not only enlarges the organisational scope to nurture data analytics insight but also leads to a strong patient and customer-centric health aspect. In this regard, the</w:t>
      </w:r>
      <w:r>
        <w:rPr>
          <w:rFonts w:ascii="Cambria" w:eastAsia="Times New Roman" w:hAnsi="Cambria" w:cs="Times New Roman"/>
          <w:b/>
        </w:rPr>
        <w:t xml:space="preserve"> Cognitive Theory of Multimedia Learning </w:t>
      </w:r>
      <w:r>
        <w:rPr>
          <w:rFonts w:ascii="Cambria" w:eastAsia="Times New Roman" w:hAnsi="Cambria" w:cs="Times New Roman"/>
        </w:rPr>
        <w:t xml:space="preserve">describes the importance of appropriate information to encourage learners' meaningful learning patterns (Mayer, 2024). Therefore, by using OHI-related information the UK pharmaceutical brands shape their valuable consumer perceptions like making their own health decisions depending on information accuracy. Alternatively, Fincham (2021) defined that inappropriate access of consumers to online drug purchasing determines pharmaceutical companies' unacceptable health practices because of its misuse to lead the general public interest and knowledge. Hence, OHI carries out remarkable significance in determining pharmaceutical brand's capability for shaping target consumer perception. </w:t>
      </w:r>
    </w:p>
    <w:p w14:paraId="2130528E" w14:textId="77777777" w:rsidR="00A47A1D" w:rsidRDefault="007D5B77">
      <w:pPr>
        <w:pStyle w:val="Heading3"/>
      </w:pPr>
      <w:r>
        <w:t>2.1.2 Investigation on OHI-based influential factors to meet customers' expectations</w:t>
      </w:r>
    </w:p>
    <w:p w14:paraId="55DBE02F"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For meeting customer expectations, OHI-based influential factors play a pivotal role by empowering patients' decision-making capabilities to access convenient care. As per the opinion of Zhao et al. (2025), several factors (such as health-related sources' credibility, self-efficacy of consumer interest and others) contribute to OHI credibility to easily reach expert guidance health information to customers. It not only enables users to get quality information from healthcare organisations' website content but also embraces brands' trustworthiness. Therefore, it determines the presence of a well-structured webpage that easily fulfils users' perception by making health information easier to understand. On the contrary, </w:t>
      </w:r>
      <w:proofErr w:type="spellStart"/>
      <w:r>
        <w:rPr>
          <w:rFonts w:ascii="Cambria" w:eastAsia="Times New Roman" w:hAnsi="Cambria" w:cs="Times New Roman"/>
        </w:rPr>
        <w:t>Battineni</w:t>
      </w:r>
      <w:proofErr w:type="spellEnd"/>
      <w:r>
        <w:rPr>
          <w:rFonts w:ascii="Cambria" w:eastAsia="Times New Roman" w:hAnsi="Cambria" w:cs="Times New Roman"/>
        </w:rPr>
        <w:t xml:space="preserve"> et al. (2020) stated that web illiteracy inhibits the interpretation of health information where users face complexities in finding their required medical information from the website. Additionally, a well-structured health story does not highlight the reality of the healthcare setting. Thus, this false propaganda misleads society about healthcare information. </w:t>
      </w:r>
    </w:p>
    <w:p w14:paraId="6F3459AA" w14:textId="77777777" w:rsidR="00A47A1D" w:rsidRDefault="007D5B77">
      <w:pPr>
        <w:pStyle w:val="Heading3"/>
      </w:pPr>
      <w:r>
        <w:t>2.1.3 Evaluation of OHI-driven positive and negative impact for the UK pharmaceutical brands to determine consumer trust</w:t>
      </w:r>
    </w:p>
    <w:p w14:paraId="4660D2DB"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Focusing on digital transformation, pharmaceutical brands primarily embrace their health practices through OHI. According to Sheikh et al. (2021), for developing the national healthcare system, health information technologies immensely contribute. It not only facilitates by supporting the existence of data-enabled infrastructure to support each health policy but also offers personalised care to the general public's health. With the help of this resource, the UK healthcare organisations successfully evaluate their digital health and care systems such as improving the usability of websites or providing digital medical information. In a similar context, </w:t>
      </w:r>
      <w:proofErr w:type="spellStart"/>
      <w:r>
        <w:rPr>
          <w:rFonts w:ascii="Cambria" w:eastAsia="Times New Roman" w:hAnsi="Cambria" w:cs="Times New Roman"/>
        </w:rPr>
        <w:t>Almeman</w:t>
      </w:r>
      <w:proofErr w:type="spellEnd"/>
      <w:r>
        <w:rPr>
          <w:rFonts w:ascii="Cambria" w:eastAsia="Times New Roman" w:hAnsi="Cambria" w:cs="Times New Roman"/>
        </w:rPr>
        <w:t xml:space="preserve"> (2024) explored that through OHI, pharmacies lead a patient-centred healthcare system where IoT (Internet of Things) real-time </w:t>
      </w:r>
      <w:r>
        <w:rPr>
          <w:rFonts w:ascii="Cambria" w:eastAsia="Times New Roman" w:hAnsi="Cambria" w:cs="Times New Roman"/>
        </w:rPr>
        <w:lastRenderedPageBreak/>
        <w:t xml:space="preserve">data about users whereas machine learning and AI (Artificial Intelligence) influence customers' decision-making process based on clinical trials. Therefore, OHI carries out beneficial outcomes for determining consumer trust. </w:t>
      </w:r>
    </w:p>
    <w:p w14:paraId="0B85FE6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Alternatively, El Sherif et al. (2018) stated that misinterpretation of digital health information misleads consumer trust and creates anxiety and unnecessary fear among them. Thus, it indicates that pharmaceutical companies drive ineffective management plans for leading their OHI services and fail to build consumer trust. According to the </w:t>
      </w:r>
      <w:r>
        <w:rPr>
          <w:rFonts w:ascii="Cambria" w:eastAsia="Times New Roman" w:hAnsi="Cambria" w:cs="Times New Roman"/>
          <w:b/>
        </w:rPr>
        <w:t>Health Belief Model</w:t>
      </w:r>
      <w:r>
        <w:rPr>
          <w:rFonts w:ascii="Cambria" w:eastAsia="Times New Roman" w:hAnsi="Cambria" w:cs="Times New Roman"/>
        </w:rPr>
        <w:t xml:space="preserve">, public health consciousness immensely depends on people's beliefs. Therefore, users primarily obtain healthcare organisations' websites to find information regarding their health risk (Marton and Wei Choo, 2012). Hence, the negative consequences of OHI hinder pharmaceutical brands' capability to accomplish consumer trust. </w:t>
      </w:r>
    </w:p>
    <w:p w14:paraId="2E7D0C35" w14:textId="77777777" w:rsidR="00A47A1D" w:rsidRDefault="007D5B77">
      <w:pPr>
        <w:pStyle w:val="Heading2"/>
      </w:pPr>
      <w:r>
        <w:t>2.2 Key Studies and Debates</w:t>
      </w:r>
    </w:p>
    <w:p w14:paraId="0E4A2AD8"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Considering the recent empirical studies, several debates have been found regarding the usage of OHI to shape consumer perception. For instance, </w:t>
      </w:r>
      <w:proofErr w:type="spellStart"/>
      <w:r>
        <w:rPr>
          <w:rFonts w:ascii="Cambria" w:eastAsia="Times New Roman" w:hAnsi="Cambria" w:cs="Times New Roman"/>
        </w:rPr>
        <w:t>Furtner</w:t>
      </w:r>
      <w:proofErr w:type="spellEnd"/>
      <w:r>
        <w:rPr>
          <w:rFonts w:ascii="Cambria" w:eastAsia="Times New Roman" w:hAnsi="Cambria" w:cs="Times New Roman"/>
        </w:rPr>
        <w:t xml:space="preserve"> et al. (2022) opined that pharmaceutical companies drive positive changes in their operation by using online health information focusing on digital transformation. Therefore, organisations are enabled to nurture a patient-centric healthcare system that highlights real-time data analytics. On the other hand, Zhao et al. (2025) commented that website content is a primary source of OHI, which helps healthcare organisations to influence consumer trust. However, the existing study does not elaborate on pharmaceutical brands' practices regarding online health information utilisation to increase consumer trust by shaping their perceptions. On the contrary, El Sherif et al. (2018) highlighted that digital health information sometimes misleads target consumers' trust when information is misinterpreted and negatively affects people's beliefs. Conversely, </w:t>
      </w:r>
      <w:proofErr w:type="spellStart"/>
      <w:r>
        <w:rPr>
          <w:rFonts w:ascii="Cambria" w:eastAsia="Times New Roman" w:hAnsi="Cambria" w:cs="Times New Roman"/>
        </w:rPr>
        <w:t>Battineni</w:t>
      </w:r>
      <w:proofErr w:type="spellEnd"/>
      <w:r>
        <w:rPr>
          <w:rFonts w:ascii="Cambria" w:eastAsia="Times New Roman" w:hAnsi="Cambria" w:cs="Times New Roman"/>
        </w:rPr>
        <w:t xml:space="preserve"> et al. (2020) explored that digital health illiteracy creates complexities for social media users to access required health information from pharmaceutical companies' official websites. Thus, it indicates that lower literacy is a more susceptible factor for misinterpreting digital health information and negatively affects the brand reputation. </w:t>
      </w:r>
    </w:p>
    <w:p w14:paraId="4E5A4EE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Despite the relevant insight regarding this study, the selected existing paper has several limitations. For </w:t>
      </w:r>
      <w:proofErr w:type="spellStart"/>
      <w:r>
        <w:rPr>
          <w:rFonts w:ascii="Cambria" w:eastAsia="Times New Roman" w:hAnsi="Cambria" w:cs="Times New Roman"/>
        </w:rPr>
        <w:t>Battineni</w:t>
      </w:r>
      <w:proofErr w:type="spellEnd"/>
      <w:r>
        <w:rPr>
          <w:rFonts w:ascii="Cambria" w:eastAsia="Times New Roman" w:hAnsi="Cambria" w:cs="Times New Roman"/>
        </w:rPr>
        <w:t xml:space="preserve"> et al. (2020) discussion, statistical analysis is not present whereas this particular study will require participants' responses to analyse first-hand data. Besides methodological limitations, the findings briefly elaborate on the necessity of quality OHI to shape consumer behaviour. Hence, the overall discussion defines the importance of OHI's proper responses to influence UK consumers' trust by considering the online healthcare landscape.</w:t>
      </w:r>
    </w:p>
    <w:p w14:paraId="7992A53F" w14:textId="77777777" w:rsidR="00A47A1D" w:rsidRDefault="007D5B77">
      <w:pPr>
        <w:pStyle w:val="Heading2"/>
      </w:pPr>
      <w:r>
        <w:lastRenderedPageBreak/>
        <w:t>2.3 Research Gap</w:t>
      </w:r>
    </w:p>
    <w:p w14:paraId="09DA693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According to Zhao et al. (2025), OHI is currently highlighted as an indispensable part of the general public's daily life for optimising health treatment but it does not focus on pharmaceutical companies. Similarly, Crespo-Gonzalez et al. (2024) only focus on influential factors of OHI to determine consumer decision-making power but it is not conscious about the pharmaceutical brands' role to succeed this approach. However, this study demonstrates the UK-based pharmaceutical brands' OHI usage to shape consumer perception. </w:t>
      </w:r>
    </w:p>
    <w:p w14:paraId="1B02F1E5" w14:textId="77777777" w:rsidR="00A47A1D" w:rsidRDefault="007D5B77">
      <w:pPr>
        <w:pStyle w:val="Heading2"/>
        <w:rPr>
          <w:sz w:val="22"/>
          <w:szCs w:val="22"/>
        </w:rPr>
      </w:pPr>
      <w:r>
        <w:t>2.4 Conceptual Framework</w:t>
      </w:r>
    </w:p>
    <w:p w14:paraId="5B069749"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noProof/>
          <w:lang w:val="en-IN" w:eastAsia="en-IN"/>
        </w:rPr>
        <w:drawing>
          <wp:inline distT="114300" distB="114300" distL="114300" distR="114300" wp14:anchorId="426FA111" wp14:editId="4F82E111">
            <wp:extent cx="5576888" cy="3261953"/>
            <wp:effectExtent l="0" t="0" r="0" b="0"/>
            <wp:docPr id="1" name="图片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5"/>
                    <a:stretch>
                      <a:fillRect/>
                    </a:stretch>
                  </pic:blipFill>
                  <pic:spPr>
                    <a:xfrm>
                      <a:off x="0" y="0"/>
                      <a:ext cx="5576888" cy="3261953"/>
                    </a:xfrm>
                    <a:prstGeom prst="rect">
                      <a:avLst/>
                    </a:prstGeom>
                    <a:noFill/>
                    <a:ln w="25400" cap="flat" cmpd="sng">
                      <a:solidFill>
                        <a:srgbClr val="000000"/>
                      </a:solidFill>
                      <a:prstDash val="solid"/>
                      <a:round/>
                    </a:ln>
                  </pic:spPr>
                </pic:pic>
              </a:graphicData>
            </a:graphic>
          </wp:inline>
        </w:drawing>
      </w:r>
    </w:p>
    <w:p w14:paraId="26E6B518"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Figure 1: Conceptual Framework</w:t>
      </w:r>
    </w:p>
    <w:p w14:paraId="7BBE30EF"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(Source: Self-created)</w:t>
      </w:r>
    </w:p>
    <w:p w14:paraId="4A682B2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The above conceptual framework determines the relationship between online health information and consumer perceptions in the context of the UK healthcare setting which also considers both positive and negative consequences. </w:t>
      </w:r>
    </w:p>
    <w:p w14:paraId="194C210E" w14:textId="77777777" w:rsidR="00A47A1D" w:rsidRDefault="007D5B77">
      <w:pPr>
        <w:pStyle w:val="Heading1"/>
      </w:pPr>
      <w:r>
        <w:t>3. Methodology</w:t>
      </w:r>
    </w:p>
    <w:p w14:paraId="189CDE2B" w14:textId="77777777" w:rsidR="00A47A1D" w:rsidRDefault="007D5B77">
      <w:pPr>
        <w:pStyle w:val="Heading2"/>
      </w:pPr>
      <w:r>
        <w:t>3.1 Research Approach</w:t>
      </w:r>
    </w:p>
    <w:p w14:paraId="5503E76B"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The study will select the quantitative research approach for analysing the OHI role to shape consumer perceptions in the context of the UK pharmaceutical brands. This approach helps to formulate theories, which are developed through observations (Almalki, 2016). Alternatively, qualitative research focuses on subjectivity which causes research bias whereas mixed methods sometimes </w:t>
      </w:r>
      <w:r>
        <w:rPr>
          <w:rFonts w:ascii="Cambria" w:eastAsia="Times New Roman" w:hAnsi="Cambria" w:cs="Times New Roman"/>
        </w:rPr>
        <w:lastRenderedPageBreak/>
        <w:t>produce inconsistent results due to the complex study design (presence of both qualitative and quantitative data analysis) (Almalki, 2016). Therefore, the quantitative approach will be suitable for this study to illustrate pharmaceutical companies' OHI usage to shape target consumers' perception.</w:t>
      </w:r>
    </w:p>
    <w:p w14:paraId="11D1DEDF" w14:textId="77777777" w:rsidR="00A47A1D" w:rsidRDefault="007D5B77">
      <w:pPr>
        <w:pStyle w:val="Heading2"/>
      </w:pPr>
      <w:r>
        <w:t>3.2 Data Collection Methods</w:t>
      </w:r>
    </w:p>
    <w:p w14:paraId="3B5FD32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For collecting data for this research, the study will select an online survey that explores 50 patients' interest regarding the UK-based pharmaceutical brands OHI usage to meet patients' expectations. A survey-based research builds a platform for collecting community responses and analyses those thoroughly (Lupu and Zechmeister, 2018). However, the secondary data collection method sometimes does not offer reliable output without considering any first-hand information whereas case study analysis highlights basic assumptions related to the situation and it over-interprets the entire study (</w:t>
      </w:r>
      <w:proofErr w:type="spellStart"/>
      <w:r>
        <w:rPr>
          <w:rFonts w:ascii="Cambria" w:eastAsia="Times New Roman" w:hAnsi="Cambria" w:cs="Times New Roman"/>
        </w:rPr>
        <w:t>Taherdoost</w:t>
      </w:r>
      <w:proofErr w:type="spellEnd"/>
      <w:r>
        <w:rPr>
          <w:rFonts w:ascii="Cambria" w:eastAsia="Times New Roman" w:hAnsi="Cambria" w:cs="Times New Roman"/>
        </w:rPr>
        <w:t xml:space="preserve">, 2021). Thus, to avoid misinterpretation, this study will collect participant responses through a structured survey and evaluate the final outcome. The survey will also be conducted among 50 patients in the UK who like to access medical information digitally from the organisational website of pharmaceutical brands. The survey will also be distributed in the MS Form by formulating closed-ended research questions. </w:t>
      </w:r>
    </w:p>
    <w:p w14:paraId="663527BB" w14:textId="77777777" w:rsidR="00A47A1D" w:rsidRDefault="007D5B77">
      <w:pPr>
        <w:pStyle w:val="Heading2"/>
      </w:pPr>
      <w:r>
        <w:t>3.3 Sampling Strategy</w:t>
      </w:r>
    </w:p>
    <w:p w14:paraId="20422E9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The data collection method reflects as a methodological step to analyse collected data by gathering research-related information in one place and determining its usage to meet research questions (</w:t>
      </w:r>
      <w:proofErr w:type="spellStart"/>
      <w:r>
        <w:rPr>
          <w:rFonts w:ascii="Cambria" w:eastAsia="Times New Roman" w:hAnsi="Cambria" w:cs="Times New Roman"/>
        </w:rPr>
        <w:t>Abutabenjeh</w:t>
      </w:r>
      <w:proofErr w:type="spellEnd"/>
      <w:r>
        <w:rPr>
          <w:rFonts w:ascii="Cambria" w:eastAsia="Times New Roman" w:hAnsi="Cambria" w:cs="Times New Roman"/>
        </w:rPr>
        <w:t xml:space="preserve"> and </w:t>
      </w:r>
      <w:proofErr w:type="spellStart"/>
      <w:r>
        <w:rPr>
          <w:rFonts w:ascii="Cambria" w:eastAsia="Times New Roman" w:hAnsi="Cambria" w:cs="Times New Roman"/>
        </w:rPr>
        <w:t>Jaradat</w:t>
      </w:r>
      <w:proofErr w:type="spellEnd"/>
      <w:r>
        <w:rPr>
          <w:rFonts w:ascii="Cambria" w:eastAsia="Times New Roman" w:hAnsi="Cambria" w:cs="Times New Roman"/>
        </w:rPr>
        <w:t xml:space="preserve">, 2018). To collect data from participants, the study will choose random sampling which contributes to measuring customers' interest regarding pharmaceutical brands' online health information usage. According to Noor et al. (2022), to conduct scientific research, random sampling is extensively used to generate generalisable results and minimise bias from the study context. It is also primarily used to support quantitative research design. Hence, the usage of random sampling will be favourable for this study context to collect responses of survey participants who use and seek for the digital health information of the UK pharmaceutical brands on a regular basis. </w:t>
      </w:r>
    </w:p>
    <w:p w14:paraId="260221C9" w14:textId="77777777" w:rsidR="00A47A1D" w:rsidRDefault="007D5B77">
      <w:pPr>
        <w:pStyle w:val="Heading2"/>
      </w:pPr>
      <w:r>
        <w:t>3.4 Data Analysis</w:t>
      </w:r>
    </w:p>
    <w:p w14:paraId="3AD6E813"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To analyse collected data prudently, the research will select statistical testing and analyse data through SPSS. According to Jeffery et al. (2022), statistical testing helps to evaluate the result by considering basic assumptions, which also determine the statistical significance of the research variables. On the contrary, having flexibility in nature, thematic analysis sometimes generates inconsistent output (Kiger and </w:t>
      </w:r>
      <w:proofErr w:type="spellStart"/>
      <w:r>
        <w:rPr>
          <w:rFonts w:ascii="Cambria" w:eastAsia="Times New Roman" w:hAnsi="Cambria" w:cs="Times New Roman"/>
        </w:rPr>
        <w:t>Varpio</w:t>
      </w:r>
      <w:proofErr w:type="spellEnd"/>
      <w:r>
        <w:rPr>
          <w:rFonts w:ascii="Cambria" w:eastAsia="Times New Roman" w:hAnsi="Cambria" w:cs="Times New Roman"/>
        </w:rPr>
        <w:t xml:space="preserve">, 2020). Hence, the usage of statistical testing will be beneficial </w:t>
      </w:r>
      <w:r>
        <w:rPr>
          <w:rFonts w:ascii="Cambria" w:eastAsia="Times New Roman" w:hAnsi="Cambria" w:cs="Times New Roman"/>
        </w:rPr>
        <w:lastRenderedPageBreak/>
        <w:t xml:space="preserve">for the present research to determine consumer perception of the benefits regarding the pharmaceutical brand OHI. </w:t>
      </w:r>
    </w:p>
    <w:p w14:paraId="6191E263" w14:textId="77777777" w:rsidR="00A47A1D" w:rsidRDefault="007D5B77">
      <w:pPr>
        <w:pStyle w:val="Heading2"/>
      </w:pPr>
      <w:r>
        <w:t>3.5 Ethical Considerations</w:t>
      </w:r>
    </w:p>
    <w:p w14:paraId="34A6E6B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For primary quantitative research, ethical consideration has a remarkable significance in structuring the entire study and maintaining coherence between social science and education (Jones, 2012). Based on voluntary participation, the researcher will maintain confidentiality which ensures the systematic correlation between collected responses. Concerning the data collection process, the researcher also focuses on collecting informed consent and strives to reduce harm from quantitative research (</w:t>
      </w:r>
      <w:proofErr w:type="spellStart"/>
      <w:r>
        <w:rPr>
          <w:rFonts w:ascii="Cambria" w:eastAsia="Times New Roman" w:hAnsi="Cambria" w:cs="Times New Roman"/>
        </w:rPr>
        <w:t>Nii</w:t>
      </w:r>
      <w:proofErr w:type="spellEnd"/>
      <w:r>
        <w:rPr>
          <w:rFonts w:ascii="Cambria" w:eastAsia="Times New Roman" w:hAnsi="Cambria" w:cs="Times New Roman"/>
        </w:rPr>
        <w:t xml:space="preserve"> </w:t>
      </w:r>
      <w:proofErr w:type="spellStart"/>
      <w:r>
        <w:rPr>
          <w:rFonts w:ascii="Cambria" w:eastAsia="Times New Roman" w:hAnsi="Cambria" w:cs="Times New Roman"/>
        </w:rPr>
        <w:t>Laryeafio</w:t>
      </w:r>
      <w:proofErr w:type="spellEnd"/>
      <w:r>
        <w:rPr>
          <w:rFonts w:ascii="Cambria" w:eastAsia="Times New Roman" w:hAnsi="Cambria" w:cs="Times New Roman"/>
        </w:rPr>
        <w:t xml:space="preserve"> and </w:t>
      </w:r>
      <w:proofErr w:type="spellStart"/>
      <w:r>
        <w:rPr>
          <w:rFonts w:ascii="Cambria" w:eastAsia="Times New Roman" w:hAnsi="Cambria" w:cs="Times New Roman"/>
        </w:rPr>
        <w:t>Ogbewe</w:t>
      </w:r>
      <w:proofErr w:type="spellEnd"/>
      <w:r>
        <w:rPr>
          <w:rFonts w:ascii="Cambria" w:eastAsia="Times New Roman" w:hAnsi="Cambria" w:cs="Times New Roman"/>
        </w:rPr>
        <w:t xml:space="preserve">, 2023). Hence, focusing on this ethical approval, this study will take consents from participants and build a secure data storage for maintaining the confidentiality of individual participant’s responses. </w:t>
      </w:r>
    </w:p>
    <w:p w14:paraId="01EE4398" w14:textId="77777777" w:rsidR="00A47A1D" w:rsidRDefault="007D5B77">
      <w:pPr>
        <w:pStyle w:val="Heading2"/>
      </w:pPr>
      <w:r>
        <w:t>3.6 Feasibility</w:t>
      </w:r>
    </w:p>
    <w:p w14:paraId="2CA3BF6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Considering the research context, feasibility helps to evaluate research questions effectiveness, which is responsible for clarifying outcomes of the study objectives (</w:t>
      </w:r>
      <w:proofErr w:type="spellStart"/>
      <w:r>
        <w:rPr>
          <w:rFonts w:ascii="Cambria" w:eastAsia="Times New Roman" w:hAnsi="Cambria" w:cs="Times New Roman"/>
        </w:rPr>
        <w:t>Barroga</w:t>
      </w:r>
      <w:proofErr w:type="spellEnd"/>
      <w:r>
        <w:rPr>
          <w:rFonts w:ascii="Cambria" w:eastAsia="Times New Roman" w:hAnsi="Cambria" w:cs="Times New Roman"/>
        </w:rPr>
        <w:t xml:space="preserve"> and </w:t>
      </w:r>
      <w:proofErr w:type="spellStart"/>
      <w:r>
        <w:rPr>
          <w:rFonts w:ascii="Cambria" w:eastAsia="Times New Roman" w:hAnsi="Cambria" w:cs="Times New Roman"/>
        </w:rPr>
        <w:t>Matanguihan</w:t>
      </w:r>
      <w:proofErr w:type="spellEnd"/>
      <w:r>
        <w:rPr>
          <w:rFonts w:ascii="Cambria" w:eastAsia="Times New Roman" w:hAnsi="Cambria" w:cs="Times New Roman"/>
        </w:rPr>
        <w:t>, 2022). For this particular study, feasibility will depend on voluntary participants’ accessibility, time constraints and resource availability.</w:t>
      </w:r>
    </w:p>
    <w:p w14:paraId="20F30AE5"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b/>
          <w:i/>
        </w:rPr>
        <w:t>Access of participants</w:t>
      </w:r>
      <w:r>
        <w:rPr>
          <w:rFonts w:ascii="Cambria" w:eastAsia="Times New Roman" w:hAnsi="Cambria" w:cs="Times New Roman"/>
          <w:b/>
        </w:rPr>
        <w:t>:</w:t>
      </w:r>
      <w:r>
        <w:rPr>
          <w:rFonts w:ascii="Cambria" w:eastAsia="Times New Roman" w:hAnsi="Cambria" w:cs="Times New Roman"/>
        </w:rPr>
        <w:t xml:space="preserve"> Selected participants will be adult patients who like to access online health information. For accessing participants' voluntary responses, the survey will be distributed through MS Form where people are willing to showcase their responses regarding health-related topics. According to Middlemiss et al. (2023), individual participants' responses clearly define their interest in a specific context which is connected with people’s expectations and priorities.  </w:t>
      </w:r>
    </w:p>
    <w:p w14:paraId="26F5C551"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b/>
          <w:i/>
        </w:rPr>
        <w:t>Time constraints</w:t>
      </w:r>
      <w:r>
        <w:rPr>
          <w:rFonts w:ascii="Cambria" w:eastAsia="Times New Roman" w:hAnsi="Cambria" w:cs="Times New Roman"/>
          <w:b/>
        </w:rPr>
        <w:t xml:space="preserve">: </w:t>
      </w:r>
      <w:r>
        <w:rPr>
          <w:rFonts w:ascii="Cambria" w:eastAsia="Times New Roman" w:hAnsi="Cambria" w:cs="Times New Roman"/>
        </w:rPr>
        <w:t xml:space="preserve">Based on the survey development and ethical approval, time constraints may be affected during the participants' response collection. Similarly, a long time will be required to conduct the sensitive nature of health-related research. </w:t>
      </w:r>
    </w:p>
    <w:p w14:paraId="3D9F6AE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b/>
          <w:i/>
        </w:rPr>
        <w:t>Resource availability</w:t>
      </w:r>
      <w:r>
        <w:rPr>
          <w:rFonts w:ascii="Cambria" w:eastAsia="Times New Roman" w:hAnsi="Cambria" w:cs="Times New Roman"/>
          <w:b/>
        </w:rPr>
        <w:t>:</w:t>
      </w:r>
      <w:r>
        <w:rPr>
          <w:rFonts w:ascii="Cambria" w:eastAsia="Times New Roman" w:hAnsi="Cambria" w:cs="Times New Roman"/>
        </w:rPr>
        <w:t xml:space="preserve"> Conduct the survey, data analysis tools will be used that leverage the importance of OHI for the UK pharmaceutical brands to gain consumer trust. However, technical and financial constraints may create restrictions in managing sample diversity during the statistical analysis. </w:t>
      </w:r>
    </w:p>
    <w:p w14:paraId="27D4D56B" w14:textId="77777777" w:rsidR="00A47A1D" w:rsidRDefault="007D5B77">
      <w:pPr>
        <w:pStyle w:val="Heading1"/>
        <w:rPr>
          <w:sz w:val="22"/>
          <w:szCs w:val="22"/>
        </w:rPr>
      </w:pPr>
      <w:r>
        <w:t>4. Expected Findings</w:t>
      </w:r>
    </w:p>
    <w:p w14:paraId="2B0C37E0" w14:textId="77777777" w:rsidR="00A47A1D" w:rsidRDefault="007D5B77">
      <w:pPr>
        <w:pStyle w:val="Heading2"/>
      </w:pPr>
      <w:r>
        <w:t>4.1 Anticipated Results</w:t>
      </w:r>
    </w:p>
    <w:p w14:paraId="0EC8433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The anticipated result will highlight the relationship between consumers' seeking behaviour regarding online health information usage and pharmaceutical brands' capability to meet potential consumers' perceptions. It primarily determines the credibility and accuracy of online information </w:t>
      </w:r>
      <w:r>
        <w:rPr>
          <w:rFonts w:ascii="Cambria" w:eastAsia="Times New Roman" w:hAnsi="Cambria" w:cs="Times New Roman"/>
        </w:rPr>
        <w:lastRenderedPageBreak/>
        <w:t xml:space="preserve">for shaping patients' trust towards pharmaceutical brands. According to </w:t>
      </w:r>
      <w:proofErr w:type="spellStart"/>
      <w:r>
        <w:rPr>
          <w:rFonts w:ascii="Cambria" w:eastAsia="Times New Roman" w:hAnsi="Cambria" w:cs="Times New Roman"/>
        </w:rPr>
        <w:t>Daraz</w:t>
      </w:r>
      <w:proofErr w:type="spellEnd"/>
      <w:r>
        <w:rPr>
          <w:rFonts w:ascii="Cambria" w:eastAsia="Times New Roman" w:hAnsi="Cambria" w:cs="Times New Roman"/>
        </w:rPr>
        <w:t xml:space="preserve"> et al. (2019), reliable health information facilitates healthcare organisations to increase the organisational effort for influencing patients' decision-making power and generate fruitful outcomes. In addition, consumers who like to engage with online-based official health services like NHS websites or pharmaceutical companies' digital platforms immensely contribute to developing higher levels of trust and gain further opportunities. However, misinformation regarding health claims negatively affects consumer perceptions. For example, </w:t>
      </w:r>
      <w:proofErr w:type="spellStart"/>
      <w:r>
        <w:rPr>
          <w:rFonts w:ascii="Cambria" w:eastAsia="Times New Roman" w:hAnsi="Cambria" w:cs="Times New Roman"/>
        </w:rPr>
        <w:t>Astrazeneca’s</w:t>
      </w:r>
      <w:proofErr w:type="spellEnd"/>
      <w:r>
        <w:rPr>
          <w:rFonts w:ascii="Cambria" w:eastAsia="Times New Roman" w:hAnsi="Cambria" w:cs="Times New Roman"/>
        </w:rPr>
        <w:t xml:space="preserve"> vaccine controversies indicate that this pharmaceutical company is </w:t>
      </w:r>
      <w:proofErr w:type="spellStart"/>
      <w:r>
        <w:rPr>
          <w:rFonts w:ascii="Cambria" w:eastAsia="Times New Roman" w:hAnsi="Cambria" w:cs="Times New Roman"/>
        </w:rPr>
        <w:t>fueling</w:t>
      </w:r>
      <w:proofErr w:type="spellEnd"/>
      <w:r>
        <w:rPr>
          <w:rFonts w:ascii="Cambria" w:eastAsia="Times New Roman" w:hAnsi="Cambria" w:cs="Times New Roman"/>
        </w:rPr>
        <w:t xml:space="preserve"> misinformation regarding the Covid-19 vaccine. It created difficulties for the general public to regain their trust in the organisational campaign (Sendra et al., 2024). The research objective is already expected to highlight the negative consequences of pharmaceutical companies' OHI practices and their negative impact on consumer trust. </w:t>
      </w:r>
    </w:p>
    <w:p w14:paraId="33C7BA0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Furthermore, it may discover the necessity of demographic variation to adapt OHI for influencing brand perception-related activities. As per the statement of </w:t>
      </w:r>
      <w:proofErr w:type="spellStart"/>
      <w:r>
        <w:rPr>
          <w:rFonts w:ascii="Cambria" w:eastAsia="Times New Roman" w:hAnsi="Cambria" w:cs="Times New Roman"/>
        </w:rPr>
        <w:t>Heponiemi</w:t>
      </w:r>
      <w:proofErr w:type="spellEnd"/>
      <w:r>
        <w:rPr>
          <w:rFonts w:ascii="Cambria" w:eastAsia="Times New Roman" w:hAnsi="Cambria" w:cs="Times New Roman"/>
        </w:rPr>
        <w:t xml:space="preserve"> et al. (2022), the younger generation prefers to use online for accessing their health requirements like mitigation process of health-related risks, preventing diseases or benefits and side effects of any medicines. Alternatively, older people less use the internet that indicates that people neglect the usage of digital applications for fulfilling their health-related services. Therefore, this study will determine that online contents are a more credible source for the younger generation instead of older people. Besides this, another anticipated pattern that will be remarked by this study is that brand transparency immensely contributes to influencing positive attitudes of target customers. This positive consequence goes with the third research objective, which determines OHI-related influential factors. According to Panda and Satapathy (2024), pharmaceutical companies openly share information processes that not only promote each brand’s transparency related to drug traceability but also strengthen the network between companies and customers. </w:t>
      </w:r>
    </w:p>
    <w:p w14:paraId="10393E1F" w14:textId="77777777" w:rsidR="00A47A1D" w:rsidRDefault="007D5B77">
      <w:pPr>
        <w:pStyle w:val="Heading2"/>
      </w:pPr>
      <w:r>
        <w:t>4.2 Expected Contribution</w:t>
      </w:r>
    </w:p>
    <w:p w14:paraId="7F10E3FB"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Considering the study fact, this research will highlight its contribution to multiple theories, managerial practices and policies. Based on the theoretical perspective, the study will elaborate the role of digital health communication tools for building consumer trust in the context of the UK pharmaceutical industry. It will integrate the brand perception model and information credibility theory by explaining online information's positive impact on shaping consumer attitudes. According to the Brand Perception Model, by offering transparent information to customers, companies influence the purchasing behaviour of buyers (Barajas-Portas, 2015). </w:t>
      </w:r>
    </w:p>
    <w:p w14:paraId="4607014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lastRenderedPageBreak/>
        <w:t xml:space="preserve">Alternatively, from a managerial standpoint, this study will highlight pharmaceutical brand managers' roles in affecting consumer perception by promoting OHI through authenticated sources like official websites and social media. With the help of developed digital presence, companies not only foster long-term relationships with customers but also increase online presence (Wan, 2023). It will also highlight online communication strategies (healthcare app, online portals) that pharmaceutical companies will consider as OHI sources. </w:t>
      </w:r>
    </w:p>
    <w:p w14:paraId="15C8EC9E"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Moreover, the study will highlight the necessity of an effective health-related policy to ensure the quality assurance, which supports the practice of digital health literacy for increasing consumer trust towards the UK pharmaceutical brands. As well as, to describe the necessity for reforming the existing healthcare policies. Hence, the entire research is expected to outline a comprehensive understanding of OHI's role in influencing consumer trust and perception. </w:t>
      </w:r>
    </w:p>
    <w:p w14:paraId="582A2B7C" w14:textId="77777777" w:rsidR="00A47A1D" w:rsidRDefault="007D5B77">
      <w:pPr>
        <w:pStyle w:val="Heading1"/>
        <w:rPr>
          <w:sz w:val="22"/>
          <w:szCs w:val="22"/>
        </w:rPr>
      </w:pPr>
      <w:r>
        <w:t>5. Limitations</w:t>
      </w:r>
    </w:p>
    <w:p w14:paraId="64D315D4" w14:textId="77777777" w:rsidR="00A47A1D" w:rsidRDefault="007D5B77">
      <w:pPr>
        <w:pStyle w:val="Heading2"/>
      </w:pPr>
      <w:r>
        <w:t>5.1 Anticipated Constraints</w:t>
      </w:r>
    </w:p>
    <w:p w14:paraId="10F9416E"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During this research, various kinds of challenges may arise which are related to OHI accessibility for shaping consumer interest and trust towards the UK-based pharmaceutical companies. The major constraint of this study is the accessibility of suitable participants who will actively seek to give their responses regarding OHI usage but sometimes experience complexities in sharing their personal information. Thus, it may lead to a low response rate of participants. A low survey participants' response rate represents non-response bias, which also creates systematic barriers (Klabunde et al., 2013). Another potential limitation of this study is data generalisability and accuracy. In this relation, the usage of primary quantitative data will carry out self-responses of customers who are interested in using digital health information. Therefore, demographic diversity (such as age and gender) may reduce the reliability among the UK population. Furthermore, resource and time constraints may hinder the research scope from meeting research objectives. </w:t>
      </w:r>
    </w:p>
    <w:p w14:paraId="454FE384" w14:textId="77777777" w:rsidR="00A47A1D" w:rsidRDefault="007D5B77">
      <w:pPr>
        <w:pStyle w:val="Heading2"/>
      </w:pPr>
      <w:r>
        <w:t>5.2 Mitigation Strategies</w:t>
      </w:r>
    </w:p>
    <w:p w14:paraId="24D80E8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To manage the identified potential limitation, several strategies will be implemented by this study to improve participants' accessibility and reduce bias. Firstly, the usage of multiple sources (like general population panels, social media platforms) will clear a pathway to distribute the survey. The existence of multiple platforms ensures data is smoothly derived from distributed sources (Jordan, 2018). However, by conducting an anonymous survey, the research will minimise bias and encourage honest responses from survey participants. Lastly, resource and time constraints will be managed by using low-cost data analytics tools (for example, MS Form and SPSS) along with outlining a research timeline for completing the entire research within the allocated timeframe. </w:t>
      </w:r>
    </w:p>
    <w:p w14:paraId="0FB22724" w14:textId="77777777" w:rsidR="00A47A1D" w:rsidRDefault="007D5B77">
      <w:pPr>
        <w:pStyle w:val="Heading1"/>
        <w:rPr>
          <w:sz w:val="22"/>
          <w:szCs w:val="22"/>
        </w:rPr>
      </w:pPr>
      <w:r>
        <w:lastRenderedPageBreak/>
        <w:t>6. Timeframe</w:t>
      </w:r>
    </w:p>
    <w:tbl>
      <w:tblPr>
        <w:tblW w:w="935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CellMar>
          <w:left w:w="0" w:type="dxa"/>
          <w:right w:w="0" w:type="dxa"/>
        </w:tblCellMar>
        <w:tblLook w:val="04A0" w:firstRow="1" w:lastRow="0" w:firstColumn="1" w:lastColumn="0" w:noHBand="0" w:noVBand="1"/>
      </w:tblPr>
      <w:tblGrid>
        <w:gridCol w:w="2040"/>
        <w:gridCol w:w="1515"/>
        <w:gridCol w:w="1635"/>
        <w:gridCol w:w="1170"/>
        <w:gridCol w:w="2991"/>
      </w:tblGrid>
      <w:tr w:rsidR="00A47A1D" w14:paraId="4C6D5098" w14:textId="77777777">
        <w:trPr>
          <w:trHeight w:val="570"/>
        </w:trPr>
        <w:tc>
          <w:tcPr>
            <w:tcW w:w="2040" w:type="dxa"/>
          </w:tcPr>
          <w:p w14:paraId="4094383D" w14:textId="77777777" w:rsidR="00A47A1D" w:rsidRDefault="007D5B77">
            <w:pPr>
              <w:spacing w:line="360" w:lineRule="auto"/>
              <w:jc w:val="center"/>
              <w:rPr>
                <w:rFonts w:ascii="Cambria" w:eastAsia="Times New Roman" w:hAnsi="Cambria" w:cs="Times New Roman"/>
                <w:b/>
              </w:rPr>
            </w:pPr>
            <w:r>
              <w:rPr>
                <w:rFonts w:ascii="Cambria" w:eastAsia="Times New Roman" w:hAnsi="Cambria" w:cs="Times New Roman"/>
                <w:b/>
              </w:rPr>
              <w:t>Phase / Task</w:t>
            </w:r>
          </w:p>
        </w:tc>
        <w:tc>
          <w:tcPr>
            <w:tcW w:w="1515" w:type="dxa"/>
          </w:tcPr>
          <w:p w14:paraId="113E63CA" w14:textId="77777777" w:rsidR="00A47A1D" w:rsidRDefault="007D5B77">
            <w:pPr>
              <w:spacing w:line="360" w:lineRule="auto"/>
              <w:jc w:val="center"/>
              <w:rPr>
                <w:rFonts w:ascii="Cambria" w:eastAsia="Times New Roman" w:hAnsi="Cambria" w:cs="Times New Roman"/>
                <w:b/>
              </w:rPr>
            </w:pPr>
            <w:r>
              <w:rPr>
                <w:rFonts w:ascii="Cambria" w:eastAsia="Times New Roman" w:hAnsi="Cambria" w:cs="Times New Roman"/>
                <w:b/>
              </w:rPr>
              <w:t>Start Date</w:t>
            </w:r>
          </w:p>
        </w:tc>
        <w:tc>
          <w:tcPr>
            <w:tcW w:w="1635" w:type="dxa"/>
          </w:tcPr>
          <w:p w14:paraId="2186F7E1" w14:textId="77777777" w:rsidR="00A47A1D" w:rsidRDefault="007D5B77">
            <w:pPr>
              <w:spacing w:line="360" w:lineRule="auto"/>
              <w:jc w:val="center"/>
              <w:rPr>
                <w:rFonts w:ascii="Cambria" w:eastAsia="Times New Roman" w:hAnsi="Cambria" w:cs="Times New Roman"/>
                <w:b/>
              </w:rPr>
            </w:pPr>
            <w:r>
              <w:rPr>
                <w:rFonts w:ascii="Cambria" w:eastAsia="Times New Roman" w:hAnsi="Cambria" w:cs="Times New Roman"/>
                <w:b/>
              </w:rPr>
              <w:t>End Date</w:t>
            </w:r>
          </w:p>
        </w:tc>
        <w:tc>
          <w:tcPr>
            <w:tcW w:w="1170" w:type="dxa"/>
          </w:tcPr>
          <w:p w14:paraId="51E02EC1" w14:textId="77777777" w:rsidR="00A47A1D" w:rsidRDefault="007D5B77">
            <w:pPr>
              <w:spacing w:line="360" w:lineRule="auto"/>
              <w:jc w:val="center"/>
              <w:rPr>
                <w:rFonts w:ascii="Cambria" w:eastAsia="Times New Roman" w:hAnsi="Cambria" w:cs="Times New Roman"/>
                <w:b/>
              </w:rPr>
            </w:pPr>
            <w:r>
              <w:rPr>
                <w:rFonts w:ascii="Cambria" w:eastAsia="Times New Roman" w:hAnsi="Cambria" w:cs="Times New Roman"/>
                <w:b/>
              </w:rPr>
              <w:t>Duration (Weeks)</w:t>
            </w:r>
          </w:p>
        </w:tc>
        <w:tc>
          <w:tcPr>
            <w:tcW w:w="2991" w:type="dxa"/>
          </w:tcPr>
          <w:p w14:paraId="206E8EE9" w14:textId="77777777" w:rsidR="00A47A1D" w:rsidRDefault="007D5B77">
            <w:pPr>
              <w:spacing w:line="360" w:lineRule="auto"/>
              <w:jc w:val="center"/>
              <w:rPr>
                <w:rFonts w:ascii="Cambria" w:eastAsia="Times New Roman" w:hAnsi="Cambria" w:cs="Times New Roman"/>
                <w:b/>
              </w:rPr>
            </w:pPr>
            <w:r>
              <w:rPr>
                <w:rFonts w:ascii="Cambria" w:eastAsia="Times New Roman" w:hAnsi="Cambria" w:cs="Times New Roman"/>
                <w:b/>
              </w:rPr>
              <w:t>Notes</w:t>
            </w:r>
          </w:p>
        </w:tc>
      </w:tr>
      <w:tr w:rsidR="00A47A1D" w14:paraId="57C169D6" w14:textId="77777777">
        <w:trPr>
          <w:trHeight w:val="300"/>
        </w:trPr>
        <w:tc>
          <w:tcPr>
            <w:tcW w:w="2040" w:type="dxa"/>
          </w:tcPr>
          <w:p w14:paraId="0434EC9E"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Finalise the Topic and approve the Proposal </w:t>
            </w:r>
          </w:p>
          <w:p w14:paraId="18B9A9CB" w14:textId="7D66111B" w:rsidR="002753B2" w:rsidRDefault="002753B2">
            <w:pPr>
              <w:spacing w:line="360" w:lineRule="auto"/>
              <w:jc w:val="both"/>
              <w:rPr>
                <w:rFonts w:ascii="Cambria" w:eastAsia="Times New Roman" w:hAnsi="Cambria" w:cs="Times New Roman"/>
              </w:rPr>
            </w:pPr>
            <w:r>
              <w:rPr>
                <w:rFonts w:ascii="Cambria" w:eastAsia="Times New Roman" w:hAnsi="Cambria" w:cs="Times New Roman"/>
              </w:rPr>
              <w:t>Ethics approval</w:t>
            </w:r>
          </w:p>
        </w:tc>
        <w:tc>
          <w:tcPr>
            <w:tcW w:w="1515" w:type="dxa"/>
          </w:tcPr>
          <w:p w14:paraId="25B38AAB"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 Nov, 2025</w:t>
            </w:r>
          </w:p>
        </w:tc>
        <w:tc>
          <w:tcPr>
            <w:tcW w:w="1635" w:type="dxa"/>
          </w:tcPr>
          <w:p w14:paraId="73DB8541"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8 Nov, 2025</w:t>
            </w:r>
          </w:p>
        </w:tc>
        <w:tc>
          <w:tcPr>
            <w:tcW w:w="1170" w:type="dxa"/>
          </w:tcPr>
          <w:p w14:paraId="4794053A"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7843A7F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Preparation of Ethics Form </w:t>
            </w:r>
          </w:p>
          <w:p w14:paraId="14994A3B" w14:textId="26588325" w:rsidR="002753B2" w:rsidRDefault="002753B2">
            <w:pPr>
              <w:spacing w:line="360" w:lineRule="auto"/>
              <w:jc w:val="both"/>
              <w:rPr>
                <w:rFonts w:ascii="Cambria" w:eastAsia="Times New Roman" w:hAnsi="Cambria" w:cs="Times New Roman"/>
              </w:rPr>
            </w:pPr>
            <w:r w:rsidRPr="00C57725">
              <w:rPr>
                <w:rFonts w:ascii="Cambria" w:eastAsia="Times New Roman" w:hAnsi="Cambria" w:cs="Times New Roman"/>
              </w:rPr>
              <w:t>/proposal form</w:t>
            </w:r>
          </w:p>
        </w:tc>
      </w:tr>
      <w:tr w:rsidR="00A47A1D" w14:paraId="70EE34BD" w14:textId="77777777">
        <w:trPr>
          <w:trHeight w:val="300"/>
        </w:trPr>
        <w:tc>
          <w:tcPr>
            <w:tcW w:w="2040" w:type="dxa"/>
          </w:tcPr>
          <w:p w14:paraId="32061D9F"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Developing Literature Review</w:t>
            </w:r>
          </w:p>
        </w:tc>
        <w:tc>
          <w:tcPr>
            <w:tcW w:w="1515" w:type="dxa"/>
          </w:tcPr>
          <w:p w14:paraId="2FAB1F4D"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9 Nov, 2025</w:t>
            </w:r>
          </w:p>
        </w:tc>
        <w:tc>
          <w:tcPr>
            <w:tcW w:w="1635" w:type="dxa"/>
          </w:tcPr>
          <w:p w14:paraId="52DC8BD6"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15 Nov, 2025</w:t>
            </w:r>
          </w:p>
        </w:tc>
        <w:tc>
          <w:tcPr>
            <w:tcW w:w="1170" w:type="dxa"/>
          </w:tcPr>
          <w:p w14:paraId="71ED79CA"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3E662D8C" w14:textId="3FBB311F" w:rsidR="00A47A1D" w:rsidRDefault="007D5B77">
            <w:pPr>
              <w:spacing w:line="360" w:lineRule="auto"/>
              <w:jc w:val="both"/>
              <w:rPr>
                <w:rFonts w:ascii="Cambria" w:eastAsia="Times New Roman" w:hAnsi="Cambria" w:cs="Times New Roman"/>
              </w:rPr>
            </w:pPr>
            <w:r w:rsidRPr="00C57725">
              <w:rPr>
                <w:rFonts w:ascii="Cambria" w:eastAsia="Times New Roman" w:hAnsi="Cambria" w:cs="Times New Roman"/>
              </w:rPr>
              <w:t>Identification of Research Gap</w:t>
            </w:r>
            <w:r w:rsidR="002753B2" w:rsidRPr="00C57725">
              <w:rPr>
                <w:rFonts w:ascii="Cambria" w:eastAsia="Times New Roman" w:hAnsi="Cambria" w:cs="Times New Roman"/>
              </w:rPr>
              <w:t>/ literature review</w:t>
            </w:r>
          </w:p>
        </w:tc>
      </w:tr>
      <w:tr w:rsidR="00A47A1D" w14:paraId="3D67377D" w14:textId="77777777">
        <w:trPr>
          <w:trHeight w:val="300"/>
        </w:trPr>
        <w:tc>
          <w:tcPr>
            <w:tcW w:w="2040" w:type="dxa"/>
          </w:tcPr>
          <w:p w14:paraId="7D6A318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Designing Survey</w:t>
            </w:r>
          </w:p>
        </w:tc>
        <w:tc>
          <w:tcPr>
            <w:tcW w:w="1515" w:type="dxa"/>
          </w:tcPr>
          <w:p w14:paraId="6DFB7723"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16 Nov, 2025</w:t>
            </w:r>
          </w:p>
        </w:tc>
        <w:tc>
          <w:tcPr>
            <w:tcW w:w="1635" w:type="dxa"/>
          </w:tcPr>
          <w:p w14:paraId="63166B3B"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30 Nov, 2025</w:t>
            </w:r>
          </w:p>
        </w:tc>
        <w:tc>
          <w:tcPr>
            <w:tcW w:w="1170" w:type="dxa"/>
          </w:tcPr>
          <w:p w14:paraId="6E1C9777"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w:t>
            </w:r>
          </w:p>
        </w:tc>
        <w:tc>
          <w:tcPr>
            <w:tcW w:w="2991" w:type="dxa"/>
          </w:tcPr>
          <w:p w14:paraId="59EB92AF" w14:textId="738882F7" w:rsidR="00A47A1D" w:rsidRDefault="007D5B77" w:rsidP="00C57725">
            <w:pPr>
              <w:spacing w:line="360" w:lineRule="auto"/>
              <w:jc w:val="both"/>
              <w:rPr>
                <w:rFonts w:ascii="Cambria" w:eastAsia="Times New Roman" w:hAnsi="Cambria" w:cs="Times New Roman"/>
              </w:rPr>
            </w:pPr>
            <w:r>
              <w:rPr>
                <w:rFonts w:ascii="Cambria" w:eastAsia="Times New Roman" w:hAnsi="Cambria" w:cs="Times New Roman"/>
              </w:rPr>
              <w:t xml:space="preserve">Survey Design </w:t>
            </w:r>
            <w:r w:rsidR="002753B2">
              <w:rPr>
                <w:rFonts w:ascii="Cambria" w:eastAsia="Times New Roman" w:hAnsi="Cambria" w:cs="Times New Roman"/>
              </w:rPr>
              <w:t xml:space="preserve"> </w:t>
            </w:r>
            <w:r w:rsidR="002753B2" w:rsidRPr="00C57725">
              <w:rPr>
                <w:rFonts w:ascii="Cambria" w:eastAsia="Times New Roman" w:hAnsi="Cambria" w:cs="Times New Roman"/>
              </w:rPr>
              <w:t>/ research methodology/ data collection</w:t>
            </w:r>
          </w:p>
        </w:tc>
      </w:tr>
      <w:tr w:rsidR="00A47A1D" w14:paraId="03123D5A" w14:textId="77777777">
        <w:trPr>
          <w:trHeight w:val="300"/>
        </w:trPr>
        <w:tc>
          <w:tcPr>
            <w:tcW w:w="2040" w:type="dxa"/>
          </w:tcPr>
          <w:p w14:paraId="3BC8902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Ethics approval</w:t>
            </w:r>
          </w:p>
        </w:tc>
        <w:tc>
          <w:tcPr>
            <w:tcW w:w="1515" w:type="dxa"/>
          </w:tcPr>
          <w:p w14:paraId="184FD90E"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 Dec, 2025</w:t>
            </w:r>
          </w:p>
        </w:tc>
        <w:tc>
          <w:tcPr>
            <w:tcW w:w="1635" w:type="dxa"/>
          </w:tcPr>
          <w:p w14:paraId="4A46A53C"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8 Dec, 2025</w:t>
            </w:r>
          </w:p>
        </w:tc>
        <w:tc>
          <w:tcPr>
            <w:tcW w:w="1170" w:type="dxa"/>
          </w:tcPr>
          <w:p w14:paraId="133DBCA7"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427AFB9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Proceed with Data Collection after Formal Approval</w:t>
            </w:r>
          </w:p>
        </w:tc>
      </w:tr>
      <w:tr w:rsidR="00A47A1D" w14:paraId="614F099B" w14:textId="77777777">
        <w:trPr>
          <w:trHeight w:val="300"/>
        </w:trPr>
        <w:tc>
          <w:tcPr>
            <w:tcW w:w="2040" w:type="dxa"/>
          </w:tcPr>
          <w:p w14:paraId="6DC85E5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Data Collection</w:t>
            </w:r>
          </w:p>
        </w:tc>
        <w:tc>
          <w:tcPr>
            <w:tcW w:w="1515" w:type="dxa"/>
          </w:tcPr>
          <w:p w14:paraId="3AD815BC"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9 Dec, 2025</w:t>
            </w:r>
          </w:p>
        </w:tc>
        <w:tc>
          <w:tcPr>
            <w:tcW w:w="1635" w:type="dxa"/>
          </w:tcPr>
          <w:p w14:paraId="0EC6ADE2"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16 Dec, 2025</w:t>
            </w:r>
          </w:p>
        </w:tc>
        <w:tc>
          <w:tcPr>
            <w:tcW w:w="1170" w:type="dxa"/>
          </w:tcPr>
          <w:p w14:paraId="77096FBF"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4010D88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Weekly Progress  Review</w:t>
            </w:r>
          </w:p>
        </w:tc>
      </w:tr>
      <w:tr w:rsidR="00A47A1D" w14:paraId="42765BDB" w14:textId="77777777">
        <w:trPr>
          <w:trHeight w:val="300"/>
        </w:trPr>
        <w:tc>
          <w:tcPr>
            <w:tcW w:w="2040" w:type="dxa"/>
          </w:tcPr>
          <w:p w14:paraId="30306E5B"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Statistical Analysis of Data</w:t>
            </w:r>
          </w:p>
        </w:tc>
        <w:tc>
          <w:tcPr>
            <w:tcW w:w="1515" w:type="dxa"/>
          </w:tcPr>
          <w:p w14:paraId="4D0653E0"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17 Dec, 2025</w:t>
            </w:r>
          </w:p>
        </w:tc>
        <w:tc>
          <w:tcPr>
            <w:tcW w:w="1635" w:type="dxa"/>
          </w:tcPr>
          <w:p w14:paraId="06CCA8C5"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25 Dec, 2025</w:t>
            </w:r>
          </w:p>
        </w:tc>
        <w:tc>
          <w:tcPr>
            <w:tcW w:w="1170" w:type="dxa"/>
          </w:tcPr>
          <w:p w14:paraId="747352B9"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07397627" w14:textId="4BB8AF78" w:rsidR="00A47A1D" w:rsidRDefault="002753B2">
            <w:pPr>
              <w:spacing w:line="360" w:lineRule="auto"/>
              <w:jc w:val="both"/>
              <w:rPr>
                <w:rFonts w:ascii="Cambria" w:eastAsia="Times New Roman" w:hAnsi="Cambria" w:cs="Times New Roman"/>
              </w:rPr>
            </w:pPr>
            <w:bookmarkStart w:id="0" w:name="_GoBack"/>
            <w:bookmarkEnd w:id="0"/>
            <w:r w:rsidRPr="00C57725">
              <w:rPr>
                <w:rFonts w:ascii="Cambria" w:eastAsia="Times New Roman" w:hAnsi="Cambria" w:cs="Times New Roman"/>
              </w:rPr>
              <w:t>complete analysis</w:t>
            </w:r>
          </w:p>
        </w:tc>
      </w:tr>
      <w:tr w:rsidR="00A47A1D" w14:paraId="47084CF0" w14:textId="77777777">
        <w:trPr>
          <w:trHeight w:val="300"/>
        </w:trPr>
        <w:tc>
          <w:tcPr>
            <w:tcW w:w="2040" w:type="dxa"/>
          </w:tcPr>
          <w:p w14:paraId="51AEC869"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Evaluation of the Result with Discussion</w:t>
            </w:r>
          </w:p>
        </w:tc>
        <w:tc>
          <w:tcPr>
            <w:tcW w:w="1515" w:type="dxa"/>
          </w:tcPr>
          <w:p w14:paraId="394B348B"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26 Dec, 2025</w:t>
            </w:r>
          </w:p>
        </w:tc>
        <w:tc>
          <w:tcPr>
            <w:tcW w:w="1635" w:type="dxa"/>
          </w:tcPr>
          <w:p w14:paraId="152B8E84"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9 Jan, 2026</w:t>
            </w:r>
          </w:p>
        </w:tc>
        <w:tc>
          <w:tcPr>
            <w:tcW w:w="1170" w:type="dxa"/>
          </w:tcPr>
          <w:p w14:paraId="43072583"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w:t>
            </w:r>
          </w:p>
        </w:tc>
        <w:tc>
          <w:tcPr>
            <w:tcW w:w="2991" w:type="dxa"/>
          </w:tcPr>
          <w:p w14:paraId="0436D7F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Findings Reliability under Theoretical Assumptions</w:t>
            </w:r>
          </w:p>
        </w:tc>
      </w:tr>
      <w:tr w:rsidR="00A47A1D" w14:paraId="6EB01C6B" w14:textId="77777777">
        <w:trPr>
          <w:trHeight w:val="285"/>
        </w:trPr>
        <w:tc>
          <w:tcPr>
            <w:tcW w:w="2040" w:type="dxa"/>
          </w:tcPr>
          <w:p w14:paraId="247C7918"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Draft Writing</w:t>
            </w:r>
          </w:p>
        </w:tc>
        <w:tc>
          <w:tcPr>
            <w:tcW w:w="1515" w:type="dxa"/>
          </w:tcPr>
          <w:p w14:paraId="563E4264"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10 Jan, 2026</w:t>
            </w:r>
          </w:p>
        </w:tc>
        <w:tc>
          <w:tcPr>
            <w:tcW w:w="1635" w:type="dxa"/>
          </w:tcPr>
          <w:p w14:paraId="2D85EAC5"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16 Jan, 2026</w:t>
            </w:r>
          </w:p>
        </w:tc>
        <w:tc>
          <w:tcPr>
            <w:tcW w:w="1170" w:type="dxa"/>
          </w:tcPr>
          <w:p w14:paraId="058C4563"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714E94D1"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Supervisor Feedback Collection</w:t>
            </w:r>
          </w:p>
        </w:tc>
      </w:tr>
      <w:tr w:rsidR="00A47A1D" w14:paraId="0D4778ED" w14:textId="77777777">
        <w:trPr>
          <w:trHeight w:val="285"/>
        </w:trPr>
        <w:tc>
          <w:tcPr>
            <w:tcW w:w="2040" w:type="dxa"/>
          </w:tcPr>
          <w:p w14:paraId="753F36DE"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Proofreading and Final Editing</w:t>
            </w:r>
          </w:p>
        </w:tc>
        <w:tc>
          <w:tcPr>
            <w:tcW w:w="1515" w:type="dxa"/>
          </w:tcPr>
          <w:p w14:paraId="1528E88C"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17 Jan, 2026</w:t>
            </w:r>
          </w:p>
        </w:tc>
        <w:tc>
          <w:tcPr>
            <w:tcW w:w="1635" w:type="dxa"/>
          </w:tcPr>
          <w:p w14:paraId="5D6E0D1D"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24 Jan, 2026</w:t>
            </w:r>
          </w:p>
        </w:tc>
        <w:tc>
          <w:tcPr>
            <w:tcW w:w="1170" w:type="dxa"/>
          </w:tcPr>
          <w:p w14:paraId="61F9EB99"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4BD03329"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Final Check of Academic Integrity</w:t>
            </w:r>
          </w:p>
        </w:tc>
      </w:tr>
      <w:tr w:rsidR="00A47A1D" w14:paraId="28477D32" w14:textId="77777777">
        <w:trPr>
          <w:trHeight w:val="285"/>
        </w:trPr>
        <w:tc>
          <w:tcPr>
            <w:tcW w:w="2040" w:type="dxa"/>
          </w:tcPr>
          <w:p w14:paraId="09F6C51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Final Dissertation Submission</w:t>
            </w:r>
          </w:p>
        </w:tc>
        <w:tc>
          <w:tcPr>
            <w:tcW w:w="1515" w:type="dxa"/>
          </w:tcPr>
          <w:p w14:paraId="5AF39E2E"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25 Jan, 2026</w:t>
            </w:r>
          </w:p>
        </w:tc>
        <w:tc>
          <w:tcPr>
            <w:tcW w:w="1635" w:type="dxa"/>
          </w:tcPr>
          <w:p w14:paraId="4F082599"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30 Jan, 2026</w:t>
            </w:r>
          </w:p>
        </w:tc>
        <w:tc>
          <w:tcPr>
            <w:tcW w:w="1170" w:type="dxa"/>
          </w:tcPr>
          <w:p w14:paraId="06974516" w14:textId="77777777" w:rsidR="00A47A1D" w:rsidRDefault="007D5B77">
            <w:pPr>
              <w:spacing w:line="360" w:lineRule="auto"/>
              <w:jc w:val="center"/>
              <w:rPr>
                <w:rFonts w:ascii="Cambria" w:eastAsia="Times New Roman" w:hAnsi="Cambria" w:cs="Times New Roman"/>
              </w:rPr>
            </w:pPr>
            <w:r>
              <w:rPr>
                <w:rFonts w:ascii="Cambria" w:eastAsia="Times New Roman" w:hAnsi="Cambria" w:cs="Times New Roman"/>
              </w:rPr>
              <w:t>1</w:t>
            </w:r>
          </w:p>
        </w:tc>
        <w:tc>
          <w:tcPr>
            <w:tcW w:w="2991" w:type="dxa"/>
          </w:tcPr>
          <w:p w14:paraId="7442230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Submit completed Dissertation</w:t>
            </w:r>
          </w:p>
        </w:tc>
      </w:tr>
    </w:tbl>
    <w:p w14:paraId="599AA820" w14:textId="77777777" w:rsidR="00A47A1D" w:rsidRDefault="00A47A1D">
      <w:pPr>
        <w:spacing w:line="360" w:lineRule="auto"/>
        <w:jc w:val="both"/>
        <w:rPr>
          <w:rFonts w:ascii="Cambria" w:eastAsia="Times New Roman" w:hAnsi="Cambria" w:cs="Times New Roman"/>
        </w:rPr>
      </w:pPr>
    </w:p>
    <w:p w14:paraId="1D30BFF9" w14:textId="77777777" w:rsidR="00A47A1D" w:rsidRDefault="007D5B77">
      <w:pPr>
        <w:pStyle w:val="Heading1"/>
        <w:rPr>
          <w:sz w:val="22"/>
          <w:szCs w:val="22"/>
        </w:rPr>
      </w:pPr>
      <w:r>
        <w:rPr>
          <w:sz w:val="22"/>
          <w:szCs w:val="22"/>
        </w:rPr>
        <w:t xml:space="preserve">7. </w:t>
      </w:r>
      <w:r>
        <w:t>Conclusion</w:t>
      </w:r>
    </w:p>
    <w:p w14:paraId="72417FF5"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Considering the overall discussion, it is derived that this particular study aims to OHI role for shaping consumer perceptions in the setting of UK pharmaceutical brands. Nowadays, most of the consumers like to use online platforms for accessing health-related insights and determining the credibility of OHI-driven outcomes. Focusing on this context, the research objective is to elaborate on the OHI role and necessity in shaping consumer perceptions where influential factors evaluate a fruitful outcome. However, the negative consequences require appropriate strategies to manage the digital communication of pharmaceutical brands and gain a higher level of public trust.</w:t>
      </w:r>
    </w:p>
    <w:p w14:paraId="55D6C54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lastRenderedPageBreak/>
        <w:t xml:space="preserve">This present research primarily highlights the current healthcare setting of the UK where digital literacy plays a pivotal role in influencing patient trust towards online health information. Depending on this context, the study will adopt a quantitative research approach which is designed through a structured survey and it seeks to capture patients' experiences related to the UK pharmaceutical brands' online health communication practices. From the usage of theoretical implications to managerial standpoints, all support the academic contribution for this study, which will also help to evaluate digital health communication facilitating the perceptual changes of customers by influencing their attitudes. Hence, the strategic insight of the study highlights the necessity of the OHI-driven patient-centred healthcare process for encouraging consumers' decisive decision-making power and maintaining data accessibility and accuracy. </w:t>
      </w:r>
    </w:p>
    <w:p w14:paraId="2B5BF902"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Moreover, to pursue the academic value the proposed research will highlight the research gap by considering the intersection between the OHI and pharmaceutical brands' capability to influence consumer perception. Focusing on both opportunities and threats related to OHI, the research will represent a broader discussion of digital health communication and determine the high consumer trust and brand credibility. Thus, the feasibility offers a strong justification for the guidance of digital health engagement in the UK pharmaceutical industry.</w:t>
      </w:r>
      <w:r>
        <w:rPr>
          <w:rFonts w:ascii="Cambria" w:hAnsi="Cambria"/>
        </w:rPr>
        <w:br w:type="page"/>
      </w:r>
    </w:p>
    <w:p w14:paraId="026C99FF" w14:textId="77777777" w:rsidR="00A47A1D" w:rsidRDefault="007D5B77">
      <w:pPr>
        <w:pStyle w:val="Heading1"/>
      </w:pPr>
      <w:r>
        <w:lastRenderedPageBreak/>
        <w:t>8. References</w:t>
      </w:r>
    </w:p>
    <w:p w14:paraId="1B5C7E11"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Abutabenjeh</w:t>
      </w:r>
      <w:proofErr w:type="spellEnd"/>
      <w:r>
        <w:rPr>
          <w:rFonts w:ascii="Cambria" w:eastAsia="Times New Roman" w:hAnsi="Cambria" w:cs="Times New Roman"/>
        </w:rPr>
        <w:t xml:space="preserve">, S. and Jaradat, R. (2018) ‘Clarification of research design, research methods, and research methodology: A guide for public administration researchers and practitioners’, </w:t>
      </w:r>
      <w:r>
        <w:rPr>
          <w:rFonts w:ascii="Cambria" w:eastAsia="Times New Roman" w:hAnsi="Cambria" w:cs="Times New Roman"/>
          <w:i/>
        </w:rPr>
        <w:t>Teaching public administration</w:t>
      </w:r>
      <w:r>
        <w:rPr>
          <w:rFonts w:ascii="Cambria" w:eastAsia="Times New Roman" w:hAnsi="Cambria" w:cs="Times New Roman"/>
        </w:rPr>
        <w:t xml:space="preserve">, 36(3), pp.237-258. </w:t>
      </w:r>
      <w:hyperlink r:id="rId6" w:history="1">
        <w:r>
          <w:rPr>
            <w:rFonts w:ascii="Cambria" w:eastAsia="Times New Roman" w:hAnsi="Cambria" w:cs="Times New Roman"/>
            <w:color w:val="1155CC"/>
            <w:u w:val="single"/>
          </w:rPr>
          <w:t>https://doi.org/10.1177/0144739418775787</w:t>
        </w:r>
      </w:hyperlink>
      <w:r>
        <w:rPr>
          <w:rFonts w:ascii="Cambria" w:eastAsia="Times New Roman" w:hAnsi="Cambria" w:cs="Times New Roman"/>
        </w:rPr>
        <w:t xml:space="preserve"> </w:t>
      </w:r>
    </w:p>
    <w:p w14:paraId="465D0F05"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Almalki, S. (2016) ‘Integrating Quantitative and Qualitative Data in Mixed Methods Research--Challenges and Benefits’, </w:t>
      </w:r>
      <w:r>
        <w:rPr>
          <w:rFonts w:ascii="Cambria" w:eastAsia="Times New Roman" w:hAnsi="Cambria" w:cs="Times New Roman"/>
          <w:i/>
        </w:rPr>
        <w:t>Journal of education and learning, 5</w:t>
      </w:r>
      <w:r>
        <w:rPr>
          <w:rFonts w:ascii="Cambria" w:eastAsia="Times New Roman" w:hAnsi="Cambria" w:cs="Times New Roman"/>
        </w:rPr>
        <w:t xml:space="preserve">(3), pp.288-296. </w:t>
      </w:r>
    </w:p>
    <w:p w14:paraId="7B16102C"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Almeman</w:t>
      </w:r>
      <w:proofErr w:type="spellEnd"/>
      <w:r>
        <w:rPr>
          <w:rFonts w:ascii="Cambria" w:eastAsia="Times New Roman" w:hAnsi="Cambria" w:cs="Times New Roman"/>
        </w:rPr>
        <w:t xml:space="preserve">, A. (2024) ‘The digital transformation in pharmacy: embracing online platforms and the cosmeceutical paradigm shift’, </w:t>
      </w:r>
      <w:r>
        <w:rPr>
          <w:rFonts w:ascii="Cambria" w:eastAsia="Times New Roman" w:hAnsi="Cambria" w:cs="Times New Roman"/>
          <w:i/>
        </w:rPr>
        <w:t xml:space="preserve">Journal of Health, Population and Nutrition, </w:t>
      </w:r>
      <w:r>
        <w:rPr>
          <w:rFonts w:ascii="Cambria" w:eastAsia="Times New Roman" w:hAnsi="Cambria" w:cs="Times New Roman"/>
        </w:rPr>
        <w:t xml:space="preserve">43(1), p.60. </w:t>
      </w:r>
      <w:hyperlink r:id="rId7" w:history="1">
        <w:r>
          <w:rPr>
            <w:rFonts w:ascii="Cambria" w:eastAsia="Times New Roman" w:hAnsi="Cambria" w:cs="Times New Roman"/>
            <w:color w:val="1155CC"/>
            <w:u w:val="single"/>
          </w:rPr>
          <w:t>https://doi.org/10.1186/s41043-024-00550-2</w:t>
        </w:r>
      </w:hyperlink>
      <w:r>
        <w:rPr>
          <w:rFonts w:ascii="Cambria" w:eastAsia="Times New Roman" w:hAnsi="Cambria" w:cs="Times New Roman"/>
        </w:rPr>
        <w:t xml:space="preserve"> </w:t>
      </w:r>
    </w:p>
    <w:p w14:paraId="187774A1"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Barajas-Portas, K. (2015) ‘The impact of consumer interactions in social networking sites on brand perception’, </w:t>
      </w:r>
      <w:r>
        <w:rPr>
          <w:rFonts w:ascii="Cambria" w:eastAsia="Times New Roman" w:hAnsi="Cambria" w:cs="Times New Roman"/>
          <w:i/>
        </w:rPr>
        <w:t>Journal of Internet and e-Business Studies, 2015</w:t>
      </w:r>
      <w:r>
        <w:rPr>
          <w:rFonts w:ascii="Cambria" w:eastAsia="Times New Roman" w:hAnsi="Cambria" w:cs="Times New Roman"/>
        </w:rPr>
        <w:t>, pp.b1-8. DOI: 10.5171/2015.197131</w:t>
      </w:r>
    </w:p>
    <w:p w14:paraId="39C1F5B8"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Barroga, E. and </w:t>
      </w:r>
      <w:proofErr w:type="spellStart"/>
      <w:r>
        <w:rPr>
          <w:rFonts w:ascii="Cambria" w:eastAsia="Times New Roman" w:hAnsi="Cambria" w:cs="Times New Roman"/>
        </w:rPr>
        <w:t>Matanguihan</w:t>
      </w:r>
      <w:proofErr w:type="spellEnd"/>
      <w:r>
        <w:rPr>
          <w:rFonts w:ascii="Cambria" w:eastAsia="Times New Roman" w:hAnsi="Cambria" w:cs="Times New Roman"/>
        </w:rPr>
        <w:t>, G.J. (2022) ‘A practical guide to writing quantitative and qualitative research questions and hypotheses in scholarly articles’,</w:t>
      </w:r>
      <w:r>
        <w:rPr>
          <w:rFonts w:ascii="Cambria" w:eastAsia="Times New Roman" w:hAnsi="Cambria" w:cs="Times New Roman"/>
          <w:i/>
        </w:rPr>
        <w:t xml:space="preserve"> Journal of Korean medical science</w:t>
      </w:r>
      <w:r>
        <w:rPr>
          <w:rFonts w:ascii="Cambria" w:eastAsia="Times New Roman" w:hAnsi="Cambria" w:cs="Times New Roman"/>
        </w:rPr>
        <w:t xml:space="preserve">, 37(16). </w:t>
      </w:r>
      <w:hyperlink r:id="rId8" w:history="1">
        <w:r>
          <w:rPr>
            <w:rFonts w:ascii="Cambria" w:eastAsia="Times New Roman" w:hAnsi="Cambria" w:cs="Times New Roman"/>
            <w:color w:val="1155CC"/>
            <w:u w:val="single"/>
          </w:rPr>
          <w:t>https://doi.org/10.3346/jkms.2022.37.e121</w:t>
        </w:r>
      </w:hyperlink>
      <w:r>
        <w:rPr>
          <w:rFonts w:ascii="Cambria" w:eastAsia="Times New Roman" w:hAnsi="Cambria" w:cs="Times New Roman"/>
        </w:rPr>
        <w:t xml:space="preserve"> </w:t>
      </w:r>
    </w:p>
    <w:p w14:paraId="60FC5448"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Battineni</w:t>
      </w:r>
      <w:proofErr w:type="spellEnd"/>
      <w:r>
        <w:rPr>
          <w:rFonts w:ascii="Cambria" w:eastAsia="Times New Roman" w:hAnsi="Cambria" w:cs="Times New Roman"/>
        </w:rPr>
        <w:t xml:space="preserve">, G., Baldoni, S., </w:t>
      </w:r>
      <w:proofErr w:type="spellStart"/>
      <w:r>
        <w:rPr>
          <w:rFonts w:ascii="Cambria" w:eastAsia="Times New Roman" w:hAnsi="Cambria" w:cs="Times New Roman"/>
        </w:rPr>
        <w:t>Chintalapudi</w:t>
      </w:r>
      <w:proofErr w:type="spellEnd"/>
      <w:r>
        <w:rPr>
          <w:rFonts w:ascii="Cambria" w:eastAsia="Times New Roman" w:hAnsi="Cambria" w:cs="Times New Roman"/>
        </w:rPr>
        <w:t xml:space="preserve">, N., </w:t>
      </w:r>
      <w:proofErr w:type="spellStart"/>
      <w:r>
        <w:rPr>
          <w:rFonts w:ascii="Cambria" w:eastAsia="Times New Roman" w:hAnsi="Cambria" w:cs="Times New Roman"/>
        </w:rPr>
        <w:t>Sagaro</w:t>
      </w:r>
      <w:proofErr w:type="spellEnd"/>
      <w:r>
        <w:rPr>
          <w:rFonts w:ascii="Cambria" w:eastAsia="Times New Roman" w:hAnsi="Cambria" w:cs="Times New Roman"/>
        </w:rPr>
        <w:t xml:space="preserve">, G.G., </w:t>
      </w:r>
      <w:proofErr w:type="spellStart"/>
      <w:r>
        <w:rPr>
          <w:rFonts w:ascii="Cambria" w:eastAsia="Times New Roman" w:hAnsi="Cambria" w:cs="Times New Roman"/>
        </w:rPr>
        <w:t>Pallotta</w:t>
      </w:r>
      <w:proofErr w:type="spellEnd"/>
      <w:r>
        <w:rPr>
          <w:rFonts w:ascii="Cambria" w:eastAsia="Times New Roman" w:hAnsi="Cambria" w:cs="Times New Roman"/>
        </w:rPr>
        <w:t xml:space="preserve">, G., </w:t>
      </w:r>
      <w:proofErr w:type="spellStart"/>
      <w:r>
        <w:rPr>
          <w:rFonts w:ascii="Cambria" w:eastAsia="Times New Roman" w:hAnsi="Cambria" w:cs="Times New Roman"/>
        </w:rPr>
        <w:t>Nittari</w:t>
      </w:r>
      <w:proofErr w:type="spellEnd"/>
      <w:r>
        <w:rPr>
          <w:rFonts w:ascii="Cambria" w:eastAsia="Times New Roman" w:hAnsi="Cambria" w:cs="Times New Roman"/>
        </w:rPr>
        <w:t xml:space="preserve">, G. and Amenta, F. (2020) ‘Factors affecting the quality and reliability of online health information’, </w:t>
      </w:r>
      <w:r>
        <w:rPr>
          <w:rFonts w:ascii="Cambria" w:eastAsia="Times New Roman" w:hAnsi="Cambria" w:cs="Times New Roman"/>
          <w:i/>
        </w:rPr>
        <w:t>Digital health, 6</w:t>
      </w:r>
      <w:r>
        <w:rPr>
          <w:rFonts w:ascii="Cambria" w:eastAsia="Times New Roman" w:hAnsi="Cambria" w:cs="Times New Roman"/>
        </w:rPr>
        <w:t xml:space="preserve">, p.2055207620948996. </w:t>
      </w:r>
      <w:hyperlink r:id="rId9" w:history="1">
        <w:r>
          <w:rPr>
            <w:rFonts w:ascii="Cambria" w:eastAsia="Times New Roman" w:hAnsi="Cambria" w:cs="Times New Roman"/>
            <w:color w:val="1155CC"/>
            <w:u w:val="single"/>
          </w:rPr>
          <w:t>http://dx.doi.org/10.1177/2055207620948996</w:t>
        </w:r>
      </w:hyperlink>
      <w:r>
        <w:rPr>
          <w:rFonts w:ascii="Cambria" w:eastAsia="Times New Roman" w:hAnsi="Cambria" w:cs="Times New Roman"/>
        </w:rPr>
        <w:t xml:space="preserve"> </w:t>
      </w:r>
    </w:p>
    <w:p w14:paraId="4B3A301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Boyce, L., Harun, A., </w:t>
      </w:r>
      <w:proofErr w:type="spellStart"/>
      <w:r>
        <w:rPr>
          <w:rFonts w:ascii="Cambria" w:eastAsia="Times New Roman" w:hAnsi="Cambria" w:cs="Times New Roman"/>
        </w:rPr>
        <w:t>Prybutok</w:t>
      </w:r>
      <w:proofErr w:type="spellEnd"/>
      <w:r>
        <w:rPr>
          <w:rFonts w:ascii="Cambria" w:eastAsia="Times New Roman" w:hAnsi="Cambria" w:cs="Times New Roman"/>
        </w:rPr>
        <w:t xml:space="preserve">, G. and </w:t>
      </w:r>
      <w:proofErr w:type="spellStart"/>
      <w:r>
        <w:rPr>
          <w:rFonts w:ascii="Cambria" w:eastAsia="Times New Roman" w:hAnsi="Cambria" w:cs="Times New Roman"/>
        </w:rPr>
        <w:t>Prybutok</w:t>
      </w:r>
      <w:proofErr w:type="spellEnd"/>
      <w:r>
        <w:rPr>
          <w:rFonts w:ascii="Cambria" w:eastAsia="Times New Roman" w:hAnsi="Cambria" w:cs="Times New Roman"/>
        </w:rPr>
        <w:t xml:space="preserve">, V.R. (2024) ‘The role of technology in online health communities: A study of information-seeking </w:t>
      </w:r>
      <w:proofErr w:type="spellStart"/>
      <w:r>
        <w:rPr>
          <w:rFonts w:ascii="Cambria" w:eastAsia="Times New Roman" w:hAnsi="Cambria" w:cs="Times New Roman"/>
        </w:rPr>
        <w:t>behavior</w:t>
      </w:r>
      <w:proofErr w:type="spellEnd"/>
      <w:r>
        <w:rPr>
          <w:rFonts w:ascii="Cambria" w:eastAsia="Times New Roman" w:hAnsi="Cambria" w:cs="Times New Roman"/>
        </w:rPr>
        <w:t xml:space="preserve">’, </w:t>
      </w:r>
      <w:r>
        <w:rPr>
          <w:rFonts w:ascii="Cambria" w:eastAsia="Times New Roman" w:hAnsi="Cambria" w:cs="Times New Roman"/>
          <w:i/>
        </w:rPr>
        <w:t>In Healthcare</w:t>
      </w:r>
      <w:r>
        <w:rPr>
          <w:rFonts w:ascii="Cambria" w:eastAsia="Times New Roman" w:hAnsi="Cambria" w:cs="Times New Roman"/>
        </w:rPr>
        <w:t xml:space="preserve"> (Vol. 12, No. 3, p. 336). MDPI. Available at: </w:t>
      </w:r>
      <w:hyperlink r:id="rId10" w:history="1">
        <w:r>
          <w:rPr>
            <w:rFonts w:ascii="Cambria" w:eastAsia="Times New Roman" w:hAnsi="Cambria" w:cs="Times New Roman"/>
            <w:color w:val="1155CC"/>
            <w:u w:val="single"/>
          </w:rPr>
          <w:t>https://doi.org/10.3390/healthcare12030336</w:t>
        </w:r>
      </w:hyperlink>
      <w:r>
        <w:rPr>
          <w:rFonts w:ascii="Cambria" w:eastAsia="Times New Roman" w:hAnsi="Cambria" w:cs="Times New Roman"/>
        </w:rPr>
        <w:t xml:space="preserve"> </w:t>
      </w:r>
    </w:p>
    <w:p w14:paraId="1253A558"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Cooper, R. (2025) </w:t>
      </w:r>
      <w:r>
        <w:rPr>
          <w:rFonts w:ascii="Cambria" w:eastAsia="Times New Roman" w:hAnsi="Cambria" w:cs="Times New Roman"/>
          <w:i/>
        </w:rPr>
        <w:t>The Challenges Of HCPs Accessing Reliable Online Medicines Information and What Pharma Companies Can Do To Improve Information Sharing.</w:t>
      </w:r>
      <w:r>
        <w:rPr>
          <w:rFonts w:ascii="Cambria" w:eastAsia="Times New Roman" w:hAnsi="Cambria" w:cs="Times New Roman"/>
        </w:rPr>
        <w:t xml:space="preserve"> Available at: </w:t>
      </w:r>
      <w:hyperlink r:id="rId11" w:history="1">
        <w:r>
          <w:rPr>
            <w:rFonts w:ascii="Cambria" w:eastAsia="Times New Roman" w:hAnsi="Cambria" w:cs="Times New Roman"/>
            <w:color w:val="1155CC"/>
            <w:u w:val="single"/>
          </w:rPr>
          <w:t>https://medcitynews.com/2025/03/the-challenges-of-hcps-accessing-reliable-online-medicines-information-and-what-pharma-companies-can-do-to-improve-information-sharing/</w:t>
        </w:r>
      </w:hyperlink>
      <w:r>
        <w:rPr>
          <w:rFonts w:ascii="Cambria" w:eastAsia="Times New Roman" w:hAnsi="Cambria" w:cs="Times New Roman"/>
        </w:rPr>
        <w:t xml:space="preserve"> (Accessed: 22 October 2025). </w:t>
      </w:r>
    </w:p>
    <w:p w14:paraId="2DFAE348"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Crespo-Gonzalez, C., </w:t>
      </w:r>
      <w:proofErr w:type="spellStart"/>
      <w:r>
        <w:rPr>
          <w:rFonts w:ascii="Cambria" w:eastAsia="Times New Roman" w:hAnsi="Cambria" w:cs="Times New Roman"/>
        </w:rPr>
        <w:t>Benrimoj</w:t>
      </w:r>
      <w:proofErr w:type="spellEnd"/>
      <w:r>
        <w:rPr>
          <w:rFonts w:ascii="Cambria" w:eastAsia="Times New Roman" w:hAnsi="Cambria" w:cs="Times New Roman"/>
        </w:rPr>
        <w:t xml:space="preserve">, S.I., </w:t>
      </w:r>
      <w:proofErr w:type="spellStart"/>
      <w:r>
        <w:rPr>
          <w:rFonts w:ascii="Cambria" w:eastAsia="Times New Roman" w:hAnsi="Cambria" w:cs="Times New Roman"/>
        </w:rPr>
        <w:t>Frommer</w:t>
      </w:r>
      <w:proofErr w:type="spellEnd"/>
      <w:r>
        <w:rPr>
          <w:rFonts w:ascii="Cambria" w:eastAsia="Times New Roman" w:hAnsi="Cambria" w:cs="Times New Roman"/>
        </w:rPr>
        <w:t xml:space="preserve">, M. and Dineen-Griffin, S. (2024) ‘Navigating online health information: Insights into consumer influence and decision-making strategies—An overview of reviews’, </w:t>
      </w:r>
      <w:r>
        <w:rPr>
          <w:rFonts w:ascii="Cambria" w:eastAsia="Times New Roman" w:hAnsi="Cambria" w:cs="Times New Roman"/>
          <w:i/>
        </w:rPr>
        <w:t>Digital health</w:t>
      </w:r>
      <w:r>
        <w:rPr>
          <w:rFonts w:ascii="Cambria" w:eastAsia="Times New Roman" w:hAnsi="Cambria" w:cs="Times New Roman"/>
        </w:rPr>
        <w:t xml:space="preserve">, 10, p.20552076241286815. Available at: </w:t>
      </w:r>
      <w:hyperlink r:id="rId12" w:history="1">
        <w:r>
          <w:rPr>
            <w:rFonts w:ascii="Cambria" w:eastAsia="Times New Roman" w:hAnsi="Cambria" w:cs="Times New Roman"/>
            <w:color w:val="1155CC"/>
            <w:u w:val="single"/>
          </w:rPr>
          <w:t>DOI: 10.1177/20552076241286815</w:t>
        </w:r>
      </w:hyperlink>
    </w:p>
    <w:p w14:paraId="0CEE117C"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Daraz</w:t>
      </w:r>
      <w:proofErr w:type="spellEnd"/>
      <w:r>
        <w:rPr>
          <w:rFonts w:ascii="Cambria" w:eastAsia="Times New Roman" w:hAnsi="Cambria" w:cs="Times New Roman"/>
        </w:rPr>
        <w:t xml:space="preserve">, L., Morrow, A.S., Ponce, O.J., Beuschel, B., Farah, M.H., Katabi, A., </w:t>
      </w:r>
      <w:proofErr w:type="spellStart"/>
      <w:r>
        <w:rPr>
          <w:rFonts w:ascii="Cambria" w:eastAsia="Times New Roman" w:hAnsi="Cambria" w:cs="Times New Roman"/>
        </w:rPr>
        <w:t>Alsawas</w:t>
      </w:r>
      <w:proofErr w:type="spellEnd"/>
      <w:r>
        <w:rPr>
          <w:rFonts w:ascii="Cambria" w:eastAsia="Times New Roman" w:hAnsi="Cambria" w:cs="Times New Roman"/>
        </w:rPr>
        <w:t xml:space="preserve">, M., </w:t>
      </w:r>
      <w:proofErr w:type="spellStart"/>
      <w:r>
        <w:rPr>
          <w:rFonts w:ascii="Cambria" w:eastAsia="Times New Roman" w:hAnsi="Cambria" w:cs="Times New Roman"/>
        </w:rPr>
        <w:t>Majzoub</w:t>
      </w:r>
      <w:proofErr w:type="spellEnd"/>
      <w:r>
        <w:rPr>
          <w:rFonts w:ascii="Cambria" w:eastAsia="Times New Roman" w:hAnsi="Cambria" w:cs="Times New Roman"/>
        </w:rPr>
        <w:t xml:space="preserve">, A.M., </w:t>
      </w:r>
      <w:proofErr w:type="spellStart"/>
      <w:r>
        <w:rPr>
          <w:rFonts w:ascii="Cambria" w:eastAsia="Times New Roman" w:hAnsi="Cambria" w:cs="Times New Roman"/>
        </w:rPr>
        <w:t>Benkhadra</w:t>
      </w:r>
      <w:proofErr w:type="spellEnd"/>
      <w:r>
        <w:rPr>
          <w:rFonts w:ascii="Cambria" w:eastAsia="Times New Roman" w:hAnsi="Cambria" w:cs="Times New Roman"/>
        </w:rPr>
        <w:t xml:space="preserve">, R., </w:t>
      </w:r>
      <w:proofErr w:type="spellStart"/>
      <w:r>
        <w:rPr>
          <w:rFonts w:ascii="Cambria" w:eastAsia="Times New Roman" w:hAnsi="Cambria" w:cs="Times New Roman"/>
        </w:rPr>
        <w:t>Seisa</w:t>
      </w:r>
      <w:proofErr w:type="spellEnd"/>
      <w:r>
        <w:rPr>
          <w:rFonts w:ascii="Cambria" w:eastAsia="Times New Roman" w:hAnsi="Cambria" w:cs="Times New Roman"/>
        </w:rPr>
        <w:t xml:space="preserve">, M.O. and Ding, J. (2019) ‘Can patients trust online health information? A meta-narrative systematic review addressing the quality of health information on the internet’, </w:t>
      </w:r>
      <w:r>
        <w:rPr>
          <w:rFonts w:ascii="Cambria" w:eastAsia="Times New Roman" w:hAnsi="Cambria" w:cs="Times New Roman"/>
          <w:i/>
        </w:rPr>
        <w:t>Journal of general internal medicine</w:t>
      </w:r>
      <w:r>
        <w:rPr>
          <w:rFonts w:ascii="Cambria" w:eastAsia="Times New Roman" w:hAnsi="Cambria" w:cs="Times New Roman"/>
        </w:rPr>
        <w:t xml:space="preserve">, 34(9), pp.1884-1891. </w:t>
      </w:r>
      <w:hyperlink r:id="rId13" w:history="1">
        <w:r>
          <w:rPr>
            <w:rFonts w:ascii="Cambria" w:eastAsia="Times New Roman" w:hAnsi="Cambria" w:cs="Times New Roman"/>
            <w:color w:val="1155CC"/>
            <w:u w:val="single"/>
          </w:rPr>
          <w:t>https://doi.org/10.1007/s11606-019-05109-0</w:t>
        </w:r>
      </w:hyperlink>
      <w:r>
        <w:rPr>
          <w:rFonts w:ascii="Cambria" w:eastAsia="Times New Roman" w:hAnsi="Cambria" w:cs="Times New Roman"/>
        </w:rPr>
        <w:t xml:space="preserve"> </w:t>
      </w:r>
    </w:p>
    <w:p w14:paraId="24216AB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lastRenderedPageBreak/>
        <w:t xml:space="preserve">El Sherif, R., </w:t>
      </w:r>
      <w:proofErr w:type="spellStart"/>
      <w:r>
        <w:rPr>
          <w:rFonts w:ascii="Cambria" w:eastAsia="Times New Roman" w:hAnsi="Cambria" w:cs="Times New Roman"/>
        </w:rPr>
        <w:t>Pluye</w:t>
      </w:r>
      <w:proofErr w:type="spellEnd"/>
      <w:r>
        <w:rPr>
          <w:rFonts w:ascii="Cambria" w:eastAsia="Times New Roman" w:hAnsi="Cambria" w:cs="Times New Roman"/>
        </w:rPr>
        <w:t xml:space="preserve">, P., </w:t>
      </w:r>
      <w:proofErr w:type="spellStart"/>
      <w:r>
        <w:rPr>
          <w:rFonts w:ascii="Cambria" w:eastAsia="Times New Roman" w:hAnsi="Cambria" w:cs="Times New Roman"/>
        </w:rPr>
        <w:t>Thoër</w:t>
      </w:r>
      <w:proofErr w:type="spellEnd"/>
      <w:r>
        <w:rPr>
          <w:rFonts w:ascii="Cambria" w:eastAsia="Times New Roman" w:hAnsi="Cambria" w:cs="Times New Roman"/>
        </w:rPr>
        <w:t xml:space="preserve">, C. and Rodriguez, C. (2018) ‘Reducing negative outcomes of online consumer health information: qualitative interpretive study with clinicians, librarians, and consumers’, </w:t>
      </w:r>
      <w:r>
        <w:rPr>
          <w:rFonts w:ascii="Cambria" w:eastAsia="Times New Roman" w:hAnsi="Cambria" w:cs="Times New Roman"/>
          <w:i/>
        </w:rPr>
        <w:t xml:space="preserve">Journal of medical Internet research, </w:t>
      </w:r>
      <w:r>
        <w:rPr>
          <w:rFonts w:ascii="Cambria" w:eastAsia="Times New Roman" w:hAnsi="Cambria" w:cs="Times New Roman"/>
        </w:rPr>
        <w:t xml:space="preserve">20(5), p.e169. </w:t>
      </w:r>
      <w:hyperlink r:id="rId14" w:history="1">
        <w:r>
          <w:rPr>
            <w:rFonts w:ascii="Cambria" w:eastAsia="Times New Roman" w:hAnsi="Cambria" w:cs="Times New Roman"/>
            <w:color w:val="1155CC"/>
            <w:u w:val="single"/>
          </w:rPr>
          <w:t>https://doi.org/10.2196/jmir.9326</w:t>
        </w:r>
      </w:hyperlink>
      <w:r>
        <w:rPr>
          <w:rFonts w:ascii="Cambria" w:eastAsia="Times New Roman" w:hAnsi="Cambria" w:cs="Times New Roman"/>
        </w:rPr>
        <w:t xml:space="preserve"> </w:t>
      </w:r>
    </w:p>
    <w:p w14:paraId="310879F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Fincham, J.E. (2021) ‘Negative consequences of the widespread and inappropriate easy access to purchasing prescription medications on the internet’, </w:t>
      </w:r>
      <w:r>
        <w:rPr>
          <w:rFonts w:ascii="Cambria" w:eastAsia="Times New Roman" w:hAnsi="Cambria" w:cs="Times New Roman"/>
          <w:i/>
        </w:rPr>
        <w:t>American Health &amp; Drug Benefits</w:t>
      </w:r>
      <w:r>
        <w:rPr>
          <w:rFonts w:ascii="Cambria" w:eastAsia="Times New Roman" w:hAnsi="Cambria" w:cs="Times New Roman"/>
        </w:rPr>
        <w:t xml:space="preserve">, 14(1), p.22. Available at: </w:t>
      </w:r>
    </w:p>
    <w:p w14:paraId="2D3C30D5"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Furtner</w:t>
      </w:r>
      <w:proofErr w:type="spellEnd"/>
      <w:r>
        <w:rPr>
          <w:rFonts w:ascii="Cambria" w:eastAsia="Times New Roman" w:hAnsi="Cambria" w:cs="Times New Roman"/>
        </w:rPr>
        <w:t xml:space="preserve">, D., Shinde, S.P., Singh, M., Wong, C.H. and Setia, S. (2022) ‘Digital transformation in medical affairs sparked by the pandemic: insights and learnings from COVID-19 era and beyond’, </w:t>
      </w:r>
      <w:r>
        <w:rPr>
          <w:rFonts w:ascii="Cambria" w:eastAsia="Times New Roman" w:hAnsi="Cambria" w:cs="Times New Roman"/>
          <w:i/>
        </w:rPr>
        <w:t>Pharmaceutical Medicine, 36</w:t>
      </w:r>
      <w:r>
        <w:rPr>
          <w:rFonts w:ascii="Cambria" w:eastAsia="Times New Roman" w:hAnsi="Cambria" w:cs="Times New Roman"/>
        </w:rPr>
        <w:t xml:space="preserve">(1), pp.1-10. Available at: </w:t>
      </w:r>
      <w:hyperlink r:id="rId15" w:history="1">
        <w:r>
          <w:rPr>
            <w:rFonts w:ascii="Cambria" w:eastAsia="Times New Roman" w:hAnsi="Cambria" w:cs="Times New Roman"/>
            <w:color w:val="1155CC"/>
            <w:u w:val="single"/>
          </w:rPr>
          <w:t>https://doi.org/10.1007/s40290-021-00412-w</w:t>
        </w:r>
      </w:hyperlink>
      <w:r>
        <w:rPr>
          <w:rFonts w:ascii="Cambria" w:eastAsia="Times New Roman" w:hAnsi="Cambria" w:cs="Times New Roman"/>
        </w:rPr>
        <w:t xml:space="preserve"> </w:t>
      </w:r>
    </w:p>
    <w:p w14:paraId="792A1A04"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Heponiemi</w:t>
      </w:r>
      <w:proofErr w:type="spellEnd"/>
      <w:r>
        <w:rPr>
          <w:rFonts w:ascii="Cambria" w:eastAsia="Times New Roman" w:hAnsi="Cambria" w:cs="Times New Roman"/>
        </w:rPr>
        <w:t xml:space="preserve">, T., </w:t>
      </w:r>
      <w:proofErr w:type="spellStart"/>
      <w:r>
        <w:rPr>
          <w:rFonts w:ascii="Cambria" w:eastAsia="Times New Roman" w:hAnsi="Cambria" w:cs="Times New Roman"/>
        </w:rPr>
        <w:t>Kaihlanen</w:t>
      </w:r>
      <w:proofErr w:type="spellEnd"/>
      <w:r>
        <w:rPr>
          <w:rFonts w:ascii="Cambria" w:eastAsia="Times New Roman" w:hAnsi="Cambria" w:cs="Times New Roman"/>
        </w:rPr>
        <w:t xml:space="preserve">, A.M., </w:t>
      </w:r>
      <w:proofErr w:type="spellStart"/>
      <w:r>
        <w:rPr>
          <w:rFonts w:ascii="Cambria" w:eastAsia="Times New Roman" w:hAnsi="Cambria" w:cs="Times New Roman"/>
        </w:rPr>
        <w:t>Kouvonen</w:t>
      </w:r>
      <w:proofErr w:type="spellEnd"/>
      <w:r>
        <w:rPr>
          <w:rFonts w:ascii="Cambria" w:eastAsia="Times New Roman" w:hAnsi="Cambria" w:cs="Times New Roman"/>
        </w:rPr>
        <w:t xml:space="preserve">, A., Leemann, L., Taipale, S. and </w:t>
      </w:r>
      <w:proofErr w:type="spellStart"/>
      <w:r>
        <w:rPr>
          <w:rFonts w:ascii="Cambria" w:eastAsia="Times New Roman" w:hAnsi="Cambria" w:cs="Times New Roman"/>
        </w:rPr>
        <w:t>Gluschkoff</w:t>
      </w:r>
      <w:proofErr w:type="spellEnd"/>
      <w:r>
        <w:rPr>
          <w:rFonts w:ascii="Cambria" w:eastAsia="Times New Roman" w:hAnsi="Cambria" w:cs="Times New Roman"/>
        </w:rPr>
        <w:t>, K. (2022) ‘The role of age and digital competence on the use of online health and social care services: a cross-sectional population-based survey’,</w:t>
      </w:r>
      <w:r>
        <w:rPr>
          <w:rFonts w:ascii="Cambria" w:eastAsia="Times New Roman" w:hAnsi="Cambria" w:cs="Times New Roman"/>
          <w:i/>
        </w:rPr>
        <w:t xml:space="preserve"> Digital health</w:t>
      </w:r>
      <w:r>
        <w:rPr>
          <w:rFonts w:ascii="Cambria" w:eastAsia="Times New Roman" w:hAnsi="Cambria" w:cs="Times New Roman"/>
        </w:rPr>
        <w:t>, 8, p.20552076221074485. DOI: 10.1177/20552076221074485</w:t>
      </w:r>
    </w:p>
    <w:p w14:paraId="5F3505F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Jeffery, N.D., Budke, C.M. and </w:t>
      </w:r>
      <w:proofErr w:type="spellStart"/>
      <w:r>
        <w:rPr>
          <w:rFonts w:ascii="Cambria" w:eastAsia="Times New Roman" w:hAnsi="Cambria" w:cs="Times New Roman"/>
        </w:rPr>
        <w:t>Chanoit</w:t>
      </w:r>
      <w:proofErr w:type="spellEnd"/>
      <w:r>
        <w:rPr>
          <w:rFonts w:ascii="Cambria" w:eastAsia="Times New Roman" w:hAnsi="Cambria" w:cs="Times New Roman"/>
        </w:rPr>
        <w:t>, G.P. (2022) ‘What is the value of statistical testing of observational data?’,</w:t>
      </w:r>
      <w:r>
        <w:rPr>
          <w:rFonts w:ascii="Cambria" w:eastAsia="Times New Roman" w:hAnsi="Cambria" w:cs="Times New Roman"/>
          <w:i/>
        </w:rPr>
        <w:t xml:space="preserve"> Veterinary Surgery</w:t>
      </w:r>
      <w:r>
        <w:rPr>
          <w:rFonts w:ascii="Cambria" w:eastAsia="Times New Roman" w:hAnsi="Cambria" w:cs="Times New Roman"/>
        </w:rPr>
        <w:t xml:space="preserve">, 51(7), pp.1043-1051. </w:t>
      </w:r>
      <w:hyperlink r:id="rId16" w:history="1">
        <w:r>
          <w:rPr>
            <w:rFonts w:ascii="Cambria" w:eastAsia="Times New Roman" w:hAnsi="Cambria" w:cs="Times New Roman"/>
            <w:color w:val="1155CC"/>
            <w:u w:val="single"/>
          </w:rPr>
          <w:t>DOI: 10.1111/vsu.13845</w:t>
        </w:r>
      </w:hyperlink>
    </w:p>
    <w:p w14:paraId="1032879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Jia, X., Pang, Y. and Liu, L.S. (2021) ‘Online health information seeking </w:t>
      </w:r>
      <w:proofErr w:type="spellStart"/>
      <w:r>
        <w:rPr>
          <w:rFonts w:ascii="Cambria" w:eastAsia="Times New Roman" w:hAnsi="Cambria" w:cs="Times New Roman"/>
        </w:rPr>
        <w:t>behavior</w:t>
      </w:r>
      <w:proofErr w:type="spellEnd"/>
      <w:r>
        <w:rPr>
          <w:rFonts w:ascii="Cambria" w:eastAsia="Times New Roman" w:hAnsi="Cambria" w:cs="Times New Roman"/>
        </w:rPr>
        <w:t xml:space="preserve">: a systematic review’, In Healthcare (Vol. 9, No. 12, p. 1740). MDPI. Available at: </w:t>
      </w:r>
      <w:hyperlink r:id="rId17" w:history="1">
        <w:r>
          <w:rPr>
            <w:rFonts w:ascii="Cambria" w:eastAsia="Times New Roman" w:hAnsi="Cambria" w:cs="Times New Roman"/>
            <w:color w:val="1155CC"/>
            <w:u w:val="single"/>
          </w:rPr>
          <w:t>https://doi.org/10.3390/healthcare9121740</w:t>
        </w:r>
      </w:hyperlink>
    </w:p>
    <w:p w14:paraId="7D892BF5"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Jones, K. (2012) ‘A regrettable oversight or a significant omission</w:t>
      </w:r>
      <w:proofErr w:type="gramStart"/>
      <w:r>
        <w:rPr>
          <w:rFonts w:ascii="Cambria" w:eastAsia="Times New Roman" w:hAnsi="Cambria" w:cs="Times New Roman"/>
        </w:rPr>
        <w:t>?:</w:t>
      </w:r>
      <w:proofErr w:type="gramEnd"/>
      <w:r>
        <w:rPr>
          <w:rFonts w:ascii="Cambria" w:eastAsia="Times New Roman" w:hAnsi="Cambria" w:cs="Times New Roman"/>
        </w:rPr>
        <w:t xml:space="preserve"> Ethical considerations in quantitative research in education’, In </w:t>
      </w:r>
      <w:r>
        <w:rPr>
          <w:rFonts w:ascii="Cambria" w:eastAsia="Times New Roman" w:hAnsi="Cambria" w:cs="Times New Roman"/>
          <w:i/>
        </w:rPr>
        <w:t xml:space="preserve">Situated ethics in educational research </w:t>
      </w:r>
      <w:r>
        <w:rPr>
          <w:rFonts w:ascii="Cambria" w:eastAsia="Times New Roman" w:hAnsi="Cambria" w:cs="Times New Roman"/>
        </w:rPr>
        <w:t>(pp. 147-161). Routledge.</w:t>
      </w:r>
    </w:p>
    <w:p w14:paraId="1268505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Jordan, K. (2018) ‘Validity, reliability, and the case for participant-</w:t>
      </w:r>
      <w:proofErr w:type="spellStart"/>
      <w:r>
        <w:rPr>
          <w:rFonts w:ascii="Cambria" w:eastAsia="Times New Roman" w:hAnsi="Cambria" w:cs="Times New Roman"/>
        </w:rPr>
        <w:t>centered</w:t>
      </w:r>
      <w:proofErr w:type="spellEnd"/>
      <w:r>
        <w:rPr>
          <w:rFonts w:ascii="Cambria" w:eastAsia="Times New Roman" w:hAnsi="Cambria" w:cs="Times New Roman"/>
        </w:rPr>
        <w:t xml:space="preserve"> research: Reflections on a multi-platform social media study’,</w:t>
      </w:r>
      <w:r>
        <w:rPr>
          <w:rFonts w:ascii="Cambria" w:eastAsia="Times New Roman" w:hAnsi="Cambria" w:cs="Times New Roman"/>
          <w:i/>
        </w:rPr>
        <w:t xml:space="preserve"> International Journal of Human–Computer Interaction</w:t>
      </w:r>
      <w:r>
        <w:rPr>
          <w:rFonts w:ascii="Cambria" w:eastAsia="Times New Roman" w:hAnsi="Cambria" w:cs="Times New Roman"/>
        </w:rPr>
        <w:t>, 34(10), pp.913-921.</w:t>
      </w:r>
    </w:p>
    <w:p w14:paraId="46DFCB17"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Kbaier</w:t>
      </w:r>
      <w:proofErr w:type="spellEnd"/>
      <w:r>
        <w:rPr>
          <w:rFonts w:ascii="Cambria" w:eastAsia="Times New Roman" w:hAnsi="Cambria" w:cs="Times New Roman"/>
        </w:rPr>
        <w:t xml:space="preserve">, D., Kane, A., </w:t>
      </w:r>
      <w:proofErr w:type="spellStart"/>
      <w:r>
        <w:rPr>
          <w:rFonts w:ascii="Cambria" w:eastAsia="Times New Roman" w:hAnsi="Cambria" w:cs="Times New Roman"/>
        </w:rPr>
        <w:t>McJury</w:t>
      </w:r>
      <w:proofErr w:type="spellEnd"/>
      <w:r>
        <w:rPr>
          <w:rFonts w:ascii="Cambria" w:eastAsia="Times New Roman" w:hAnsi="Cambria" w:cs="Times New Roman"/>
        </w:rPr>
        <w:t xml:space="preserve">, M. and Kenny, I., (2024) ‘Prevalence of health misinformation on social media—challenges and mitigation before, during, and beyond the covid-19 pandemic: Scoping literature review’, </w:t>
      </w:r>
      <w:r>
        <w:rPr>
          <w:rFonts w:ascii="Cambria" w:eastAsia="Times New Roman" w:hAnsi="Cambria" w:cs="Times New Roman"/>
          <w:i/>
        </w:rPr>
        <w:t>Journal of Medical Internet Research</w:t>
      </w:r>
      <w:r>
        <w:rPr>
          <w:rFonts w:ascii="Cambria" w:eastAsia="Times New Roman" w:hAnsi="Cambria" w:cs="Times New Roman"/>
        </w:rPr>
        <w:t xml:space="preserve">, 26, p.e38786. Available at: </w:t>
      </w:r>
      <w:hyperlink r:id="rId18" w:history="1">
        <w:r>
          <w:rPr>
            <w:rFonts w:ascii="Cambria" w:eastAsia="Times New Roman" w:hAnsi="Cambria" w:cs="Times New Roman"/>
            <w:color w:val="1155CC"/>
            <w:u w:val="single"/>
          </w:rPr>
          <w:t>https://doi.org/10.2196/38786</w:t>
        </w:r>
      </w:hyperlink>
      <w:r>
        <w:rPr>
          <w:rFonts w:ascii="Cambria" w:eastAsia="Times New Roman" w:hAnsi="Cambria" w:cs="Times New Roman"/>
        </w:rPr>
        <w:t xml:space="preserve"> </w:t>
      </w:r>
    </w:p>
    <w:p w14:paraId="127EF9E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Kiger, M.E. and Varpio, L. (2020) ‘Thematic analysis of qualitative data: AMEE Guide No. 131’, </w:t>
      </w:r>
      <w:r>
        <w:rPr>
          <w:rFonts w:ascii="Cambria" w:eastAsia="Times New Roman" w:hAnsi="Cambria" w:cs="Times New Roman"/>
          <w:i/>
        </w:rPr>
        <w:t>Medical teacher</w:t>
      </w:r>
      <w:r>
        <w:rPr>
          <w:rFonts w:ascii="Cambria" w:eastAsia="Times New Roman" w:hAnsi="Cambria" w:cs="Times New Roman"/>
        </w:rPr>
        <w:t xml:space="preserve">, 42(8), pp.846-854. </w:t>
      </w:r>
      <w:hyperlink r:id="rId19" w:history="1">
        <w:r>
          <w:rPr>
            <w:rFonts w:ascii="Cambria" w:eastAsia="Times New Roman" w:hAnsi="Cambria" w:cs="Times New Roman"/>
            <w:color w:val="1155CC"/>
            <w:u w:val="single"/>
          </w:rPr>
          <w:t>https://doi.org/10.1080/0142159X.2020.1755030</w:t>
        </w:r>
      </w:hyperlink>
      <w:r>
        <w:rPr>
          <w:rFonts w:ascii="Cambria" w:eastAsia="Times New Roman" w:hAnsi="Cambria" w:cs="Times New Roman"/>
        </w:rPr>
        <w:t xml:space="preserve"> </w:t>
      </w:r>
    </w:p>
    <w:p w14:paraId="2C454CB6"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lastRenderedPageBreak/>
        <w:t xml:space="preserve">Klabunde, C.N., Willis, G.B. and Casalino, L.P. (2013) ‘Facilitators and barriers to survey participation by physicians: a call to action for researchers’, </w:t>
      </w:r>
      <w:r>
        <w:rPr>
          <w:rFonts w:ascii="Cambria" w:eastAsia="Times New Roman" w:hAnsi="Cambria" w:cs="Times New Roman"/>
          <w:i/>
        </w:rPr>
        <w:t xml:space="preserve">Evaluation &amp; the health professions, </w:t>
      </w:r>
      <w:r>
        <w:rPr>
          <w:rFonts w:ascii="Cambria" w:eastAsia="Times New Roman" w:hAnsi="Cambria" w:cs="Times New Roman"/>
        </w:rPr>
        <w:t>36(3), pp.279-295. DOI: 10.1177/0163278713496426</w:t>
      </w:r>
    </w:p>
    <w:p w14:paraId="799CB463"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Lupu, N. and Zechmeister, E.J. (2018) ‘Maximizing benefits from survey-based research’, </w:t>
      </w:r>
      <w:r>
        <w:rPr>
          <w:rFonts w:ascii="Cambria" w:eastAsia="Times New Roman" w:hAnsi="Cambria" w:cs="Times New Roman"/>
          <w:i/>
        </w:rPr>
        <w:t>PS: Political Science &amp; Politics</w:t>
      </w:r>
      <w:r>
        <w:rPr>
          <w:rFonts w:ascii="Cambria" w:eastAsia="Times New Roman" w:hAnsi="Cambria" w:cs="Times New Roman"/>
        </w:rPr>
        <w:t>, 51(3), pp.563-565.</w:t>
      </w:r>
    </w:p>
    <w:p w14:paraId="0BC124BE"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Manika, D., Dickert, S. and Golden, L.L. (2021) ‘Check (it) yourself before you wreck yourself: The benefits of online health information exposure on risk perception and intentions to protect oneself’, </w:t>
      </w:r>
      <w:r>
        <w:rPr>
          <w:rFonts w:ascii="Cambria" w:eastAsia="Times New Roman" w:hAnsi="Cambria" w:cs="Times New Roman"/>
          <w:i/>
        </w:rPr>
        <w:t xml:space="preserve">Technological Forecasting and Social Change, </w:t>
      </w:r>
      <w:r>
        <w:rPr>
          <w:rFonts w:ascii="Cambria" w:eastAsia="Times New Roman" w:hAnsi="Cambria" w:cs="Times New Roman"/>
        </w:rPr>
        <w:t xml:space="preserve">173, p.121098. Available at: </w:t>
      </w:r>
      <w:hyperlink r:id="rId20" w:history="1">
        <w:r>
          <w:rPr>
            <w:rFonts w:ascii="Cambria" w:eastAsia="Times New Roman" w:hAnsi="Cambria" w:cs="Times New Roman"/>
            <w:color w:val="1155CC"/>
            <w:u w:val="single"/>
          </w:rPr>
          <w:t>https://doi.org/10.1016/j.techfore.2021.121098</w:t>
        </w:r>
      </w:hyperlink>
      <w:r>
        <w:rPr>
          <w:rFonts w:ascii="Cambria" w:eastAsia="Times New Roman" w:hAnsi="Cambria" w:cs="Times New Roman"/>
        </w:rPr>
        <w:t xml:space="preserve"> </w:t>
      </w:r>
    </w:p>
    <w:p w14:paraId="0BAB3A5C"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Marton, C. and Wei Choo, C. (2012) ‘A review of theoretical models of health information seeking on the web’, </w:t>
      </w:r>
      <w:r>
        <w:rPr>
          <w:rFonts w:ascii="Cambria" w:eastAsia="Times New Roman" w:hAnsi="Cambria" w:cs="Times New Roman"/>
          <w:i/>
        </w:rPr>
        <w:t>Journal of documentation,</w:t>
      </w:r>
      <w:r>
        <w:rPr>
          <w:rFonts w:ascii="Cambria" w:eastAsia="Times New Roman" w:hAnsi="Cambria" w:cs="Times New Roman"/>
        </w:rPr>
        <w:t xml:space="preserve"> 68(3), pp.330-352. </w:t>
      </w:r>
      <w:hyperlink r:id="rId21" w:history="1">
        <w:r>
          <w:rPr>
            <w:rFonts w:ascii="Cambria" w:eastAsia="Times New Roman" w:hAnsi="Cambria" w:cs="Times New Roman"/>
            <w:color w:val="1155CC"/>
            <w:u w:val="single"/>
          </w:rPr>
          <w:t>DOI 10.1108/00220411211225575</w:t>
        </w:r>
      </w:hyperlink>
    </w:p>
    <w:p w14:paraId="42EA8AC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Mayer, R.E. (2024) ‘The past, present, and future of the cognitive theory of multimedia learning’, </w:t>
      </w:r>
      <w:r>
        <w:rPr>
          <w:rFonts w:ascii="Cambria" w:eastAsia="Times New Roman" w:hAnsi="Cambria" w:cs="Times New Roman"/>
          <w:i/>
        </w:rPr>
        <w:t>Educational Psychology Review,</w:t>
      </w:r>
      <w:r>
        <w:rPr>
          <w:rFonts w:ascii="Cambria" w:eastAsia="Times New Roman" w:hAnsi="Cambria" w:cs="Times New Roman"/>
        </w:rPr>
        <w:t xml:space="preserve"> 36(1), p.8. Available at: </w:t>
      </w:r>
      <w:hyperlink r:id="rId22" w:history="1">
        <w:r>
          <w:rPr>
            <w:rFonts w:ascii="Cambria" w:eastAsia="Times New Roman" w:hAnsi="Cambria" w:cs="Times New Roman"/>
            <w:color w:val="1155CC"/>
            <w:u w:val="single"/>
          </w:rPr>
          <w:t>https://doi.org/10.1007/s10648-023-09842-1</w:t>
        </w:r>
      </w:hyperlink>
      <w:r>
        <w:rPr>
          <w:rFonts w:ascii="Cambria" w:eastAsia="Times New Roman" w:hAnsi="Cambria" w:cs="Times New Roman"/>
        </w:rPr>
        <w:t xml:space="preserve"> </w:t>
      </w:r>
    </w:p>
    <w:p w14:paraId="3ADAC657"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Middlemiss, L., Stevens, M., Ambrosio-Albalá, P., </w:t>
      </w:r>
      <w:proofErr w:type="spellStart"/>
      <w:r>
        <w:rPr>
          <w:rFonts w:ascii="Cambria" w:eastAsia="Times New Roman" w:hAnsi="Cambria" w:cs="Times New Roman"/>
        </w:rPr>
        <w:t>Pellicer-Sifres</w:t>
      </w:r>
      <w:proofErr w:type="spellEnd"/>
      <w:r>
        <w:rPr>
          <w:rFonts w:ascii="Cambria" w:eastAsia="Times New Roman" w:hAnsi="Cambria" w:cs="Times New Roman"/>
        </w:rPr>
        <w:t xml:space="preserve">, V. and van </w:t>
      </w:r>
      <w:proofErr w:type="spellStart"/>
      <w:r>
        <w:rPr>
          <w:rFonts w:ascii="Cambria" w:eastAsia="Times New Roman" w:hAnsi="Cambria" w:cs="Times New Roman"/>
        </w:rPr>
        <w:t>Grieken</w:t>
      </w:r>
      <w:proofErr w:type="spellEnd"/>
      <w:r>
        <w:rPr>
          <w:rFonts w:ascii="Cambria" w:eastAsia="Times New Roman" w:hAnsi="Cambria" w:cs="Times New Roman"/>
        </w:rPr>
        <w:t xml:space="preserve">, A. (2023) ‘How do interventions for energy poverty and health work?’, </w:t>
      </w:r>
      <w:r>
        <w:rPr>
          <w:rFonts w:ascii="Cambria" w:eastAsia="Times New Roman" w:hAnsi="Cambria" w:cs="Times New Roman"/>
          <w:i/>
        </w:rPr>
        <w:t>Energy Policy</w:t>
      </w:r>
      <w:r>
        <w:rPr>
          <w:rFonts w:ascii="Cambria" w:eastAsia="Times New Roman" w:hAnsi="Cambria" w:cs="Times New Roman"/>
        </w:rPr>
        <w:t xml:space="preserve">, 180, p.113684. </w:t>
      </w:r>
      <w:hyperlink r:id="rId23" w:history="1">
        <w:r>
          <w:rPr>
            <w:rFonts w:ascii="Cambria" w:eastAsia="Times New Roman" w:hAnsi="Cambria" w:cs="Times New Roman"/>
            <w:color w:val="1155CC"/>
            <w:u w:val="single"/>
          </w:rPr>
          <w:t>https://doi.org/10.1016/j.enpol.2023.113684</w:t>
        </w:r>
      </w:hyperlink>
      <w:r>
        <w:rPr>
          <w:rFonts w:ascii="Cambria" w:eastAsia="Times New Roman" w:hAnsi="Cambria" w:cs="Times New Roman"/>
        </w:rPr>
        <w:t xml:space="preserve"> </w:t>
      </w:r>
    </w:p>
    <w:p w14:paraId="75F7CD78"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t>Nii</w:t>
      </w:r>
      <w:proofErr w:type="spellEnd"/>
      <w:r>
        <w:rPr>
          <w:rFonts w:ascii="Cambria" w:eastAsia="Times New Roman" w:hAnsi="Cambria" w:cs="Times New Roman"/>
        </w:rPr>
        <w:t xml:space="preserve"> </w:t>
      </w:r>
      <w:proofErr w:type="spellStart"/>
      <w:r>
        <w:rPr>
          <w:rFonts w:ascii="Cambria" w:eastAsia="Times New Roman" w:hAnsi="Cambria" w:cs="Times New Roman"/>
        </w:rPr>
        <w:t>Laryeafio</w:t>
      </w:r>
      <w:proofErr w:type="spellEnd"/>
      <w:r>
        <w:rPr>
          <w:rFonts w:ascii="Cambria" w:eastAsia="Times New Roman" w:hAnsi="Cambria" w:cs="Times New Roman"/>
        </w:rPr>
        <w:t xml:space="preserve">, M. and </w:t>
      </w:r>
      <w:proofErr w:type="spellStart"/>
      <w:r>
        <w:rPr>
          <w:rFonts w:ascii="Cambria" w:eastAsia="Times New Roman" w:hAnsi="Cambria" w:cs="Times New Roman"/>
        </w:rPr>
        <w:t>Ogbewe</w:t>
      </w:r>
      <w:proofErr w:type="spellEnd"/>
      <w:r>
        <w:rPr>
          <w:rFonts w:ascii="Cambria" w:eastAsia="Times New Roman" w:hAnsi="Cambria" w:cs="Times New Roman"/>
        </w:rPr>
        <w:t xml:space="preserve">, O.C. (2023) ‘Ethical consideration dilemma: systematic review of ethics in qualitative data collection through interviews’, </w:t>
      </w:r>
      <w:r>
        <w:rPr>
          <w:rFonts w:ascii="Cambria" w:eastAsia="Times New Roman" w:hAnsi="Cambria" w:cs="Times New Roman"/>
          <w:i/>
        </w:rPr>
        <w:t>Journal of Ethics in Entrepreneurship and Technology</w:t>
      </w:r>
      <w:r>
        <w:rPr>
          <w:rFonts w:ascii="Cambria" w:eastAsia="Times New Roman" w:hAnsi="Cambria" w:cs="Times New Roman"/>
        </w:rPr>
        <w:t xml:space="preserve">, 3(2), pp.94-110. </w:t>
      </w:r>
      <w:hyperlink r:id="rId24" w:history="1">
        <w:r>
          <w:rPr>
            <w:rFonts w:ascii="Cambria" w:eastAsia="Times New Roman" w:hAnsi="Cambria" w:cs="Times New Roman"/>
            <w:color w:val="1155CC"/>
            <w:u w:val="single"/>
          </w:rPr>
          <w:t>http://dx.doi.org/10.1108/JEET-09-2022-0014</w:t>
        </w:r>
      </w:hyperlink>
      <w:r>
        <w:rPr>
          <w:rFonts w:ascii="Cambria" w:eastAsia="Times New Roman" w:hAnsi="Cambria" w:cs="Times New Roman"/>
        </w:rPr>
        <w:t xml:space="preserve"> </w:t>
      </w:r>
    </w:p>
    <w:p w14:paraId="3E927AF1"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Noor, S., Tajik, O. and Golzar, J. (2022) ‘Simple random sampling’, </w:t>
      </w:r>
      <w:r>
        <w:rPr>
          <w:rFonts w:ascii="Cambria" w:eastAsia="Times New Roman" w:hAnsi="Cambria" w:cs="Times New Roman"/>
          <w:i/>
        </w:rPr>
        <w:t>International Journal of Education &amp; Language Studies</w:t>
      </w:r>
      <w:r>
        <w:rPr>
          <w:rFonts w:ascii="Cambria" w:eastAsia="Times New Roman" w:hAnsi="Cambria" w:cs="Times New Roman"/>
        </w:rPr>
        <w:t xml:space="preserve">, 1(2), pp.78-82. </w:t>
      </w:r>
    </w:p>
    <w:p w14:paraId="14833D41"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Panda, S.K. and Satapathy, S.C. (2024) ‘Drug traceability and transparency in medical supply chain using blockchain for easing the process and creating trust between stakeholders and consumers’, </w:t>
      </w:r>
      <w:r>
        <w:rPr>
          <w:rFonts w:ascii="Cambria" w:eastAsia="Times New Roman" w:hAnsi="Cambria" w:cs="Times New Roman"/>
          <w:i/>
        </w:rPr>
        <w:t xml:space="preserve">Personal and Ubiquitous Computing, </w:t>
      </w:r>
      <w:r>
        <w:rPr>
          <w:rFonts w:ascii="Cambria" w:eastAsia="Times New Roman" w:hAnsi="Cambria" w:cs="Times New Roman"/>
        </w:rPr>
        <w:t xml:space="preserve">28(1), pp.75-91. </w:t>
      </w:r>
      <w:hyperlink r:id="rId25" w:history="1">
        <w:r>
          <w:rPr>
            <w:rFonts w:ascii="Cambria" w:eastAsia="Times New Roman" w:hAnsi="Cambria" w:cs="Times New Roman"/>
            <w:color w:val="1155CC"/>
            <w:u w:val="single"/>
          </w:rPr>
          <w:t>https://doi.org/10.1007/s00779-021-01588-3</w:t>
        </w:r>
      </w:hyperlink>
      <w:r>
        <w:rPr>
          <w:rFonts w:ascii="Cambria" w:eastAsia="Times New Roman" w:hAnsi="Cambria" w:cs="Times New Roman"/>
        </w:rPr>
        <w:t xml:space="preserve"> </w:t>
      </w:r>
    </w:p>
    <w:p w14:paraId="09D1A7F4"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Sendra, A., </w:t>
      </w:r>
      <w:proofErr w:type="spellStart"/>
      <w:r>
        <w:rPr>
          <w:rFonts w:ascii="Cambria" w:eastAsia="Times New Roman" w:hAnsi="Cambria" w:cs="Times New Roman"/>
        </w:rPr>
        <w:t>Torkkola</w:t>
      </w:r>
      <w:proofErr w:type="spellEnd"/>
      <w:r>
        <w:rPr>
          <w:rFonts w:ascii="Cambria" w:eastAsia="Times New Roman" w:hAnsi="Cambria" w:cs="Times New Roman"/>
        </w:rPr>
        <w:t>, S. and Parviainen, J. (2024) ‘AstraZeneca vaccine controversies in the media: theorizing about the mediatization of ignorance in the context of the COVID-19 vaccination campaign’,</w:t>
      </w:r>
      <w:r>
        <w:rPr>
          <w:rFonts w:ascii="Cambria" w:eastAsia="Times New Roman" w:hAnsi="Cambria" w:cs="Times New Roman"/>
          <w:i/>
        </w:rPr>
        <w:t xml:space="preserve"> Health Communication, </w:t>
      </w:r>
      <w:r>
        <w:rPr>
          <w:rFonts w:ascii="Cambria" w:eastAsia="Times New Roman" w:hAnsi="Cambria" w:cs="Times New Roman"/>
        </w:rPr>
        <w:t xml:space="preserve">39(3), pp.541-551. </w:t>
      </w:r>
      <w:hyperlink r:id="rId26" w:history="1">
        <w:r>
          <w:rPr>
            <w:rFonts w:ascii="Cambria" w:eastAsia="Times New Roman" w:hAnsi="Cambria" w:cs="Times New Roman"/>
            <w:color w:val="1155CC"/>
            <w:u w:val="single"/>
          </w:rPr>
          <w:t>https://doi.org/10.1080/10410236.2023.2171951</w:t>
        </w:r>
      </w:hyperlink>
      <w:r>
        <w:rPr>
          <w:rFonts w:ascii="Cambria" w:eastAsia="Times New Roman" w:hAnsi="Cambria" w:cs="Times New Roman"/>
        </w:rPr>
        <w:t xml:space="preserve">  </w:t>
      </w:r>
    </w:p>
    <w:p w14:paraId="4B24FE1A"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Sheikh, A., Anderson, M., Albala, S., Casadei, B., Franklin, B.D., Richards, M., Taylor, D., Tibble, H. and </w:t>
      </w:r>
      <w:proofErr w:type="spellStart"/>
      <w:r>
        <w:rPr>
          <w:rFonts w:ascii="Cambria" w:eastAsia="Times New Roman" w:hAnsi="Cambria" w:cs="Times New Roman"/>
        </w:rPr>
        <w:t>Mossialos</w:t>
      </w:r>
      <w:proofErr w:type="spellEnd"/>
      <w:r>
        <w:rPr>
          <w:rFonts w:ascii="Cambria" w:eastAsia="Times New Roman" w:hAnsi="Cambria" w:cs="Times New Roman"/>
        </w:rPr>
        <w:t xml:space="preserve">, E. (2021) ‘Health information technology and digital innovation for national learning health and care systems’, </w:t>
      </w:r>
      <w:r>
        <w:rPr>
          <w:rFonts w:ascii="Cambria" w:eastAsia="Times New Roman" w:hAnsi="Cambria" w:cs="Times New Roman"/>
          <w:i/>
        </w:rPr>
        <w:t>The Lancet Digital Health</w:t>
      </w:r>
      <w:r>
        <w:rPr>
          <w:rFonts w:ascii="Cambria" w:eastAsia="Times New Roman" w:hAnsi="Cambria" w:cs="Times New Roman"/>
        </w:rPr>
        <w:t xml:space="preserve">, 3(6), pp.e383-e396. </w:t>
      </w:r>
      <w:hyperlink r:id="rId27" w:history="1">
        <w:r>
          <w:rPr>
            <w:rFonts w:ascii="Cambria" w:eastAsia="Times New Roman" w:hAnsi="Cambria" w:cs="Times New Roman"/>
            <w:color w:val="1155CC"/>
            <w:u w:val="single"/>
          </w:rPr>
          <w:t>https://doi.org/10.1016/S2589-7500(21)00005-4</w:t>
        </w:r>
      </w:hyperlink>
      <w:r>
        <w:rPr>
          <w:rFonts w:ascii="Cambria" w:eastAsia="Times New Roman" w:hAnsi="Cambria" w:cs="Times New Roman"/>
        </w:rPr>
        <w:t xml:space="preserve"> </w:t>
      </w:r>
    </w:p>
    <w:p w14:paraId="653509B4" w14:textId="77777777" w:rsidR="00A47A1D" w:rsidRDefault="007D5B77">
      <w:pPr>
        <w:spacing w:line="360" w:lineRule="auto"/>
        <w:jc w:val="both"/>
        <w:rPr>
          <w:rFonts w:ascii="Cambria" w:eastAsia="Times New Roman" w:hAnsi="Cambria" w:cs="Times New Roman"/>
        </w:rPr>
      </w:pPr>
      <w:proofErr w:type="spellStart"/>
      <w:r>
        <w:rPr>
          <w:rFonts w:ascii="Cambria" w:eastAsia="Times New Roman" w:hAnsi="Cambria" w:cs="Times New Roman"/>
        </w:rPr>
        <w:lastRenderedPageBreak/>
        <w:t>Taherdoost</w:t>
      </w:r>
      <w:proofErr w:type="spellEnd"/>
      <w:r>
        <w:rPr>
          <w:rFonts w:ascii="Cambria" w:eastAsia="Times New Roman" w:hAnsi="Cambria" w:cs="Times New Roman"/>
        </w:rPr>
        <w:t xml:space="preserve">, H. (2021) ‘Data collection methods and tools for research; a step-by-step guide to choose data collection technique for academic and business research projects’, </w:t>
      </w:r>
      <w:r>
        <w:rPr>
          <w:rFonts w:ascii="Cambria" w:eastAsia="Times New Roman" w:hAnsi="Cambria" w:cs="Times New Roman"/>
          <w:i/>
        </w:rPr>
        <w:t>International Journal of Academic Research in Management (IJARM)</w:t>
      </w:r>
      <w:r>
        <w:rPr>
          <w:rFonts w:ascii="Cambria" w:eastAsia="Times New Roman" w:hAnsi="Cambria" w:cs="Times New Roman"/>
        </w:rPr>
        <w:t xml:space="preserve">, 10(1), pp.10-38. </w:t>
      </w:r>
    </w:p>
    <w:p w14:paraId="3EC22B90"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Wan, Y. (2023) ‘Investigating the impact and effectiveness of digital marketing on brand awareness, sales and customer engagement’, </w:t>
      </w:r>
      <w:r>
        <w:rPr>
          <w:rFonts w:ascii="Cambria" w:eastAsia="Times New Roman" w:hAnsi="Cambria" w:cs="Times New Roman"/>
          <w:i/>
        </w:rPr>
        <w:t>Advances in Economics, Business and Management Research</w:t>
      </w:r>
      <w:r>
        <w:rPr>
          <w:rFonts w:ascii="Cambria" w:eastAsia="Times New Roman" w:hAnsi="Cambria" w:cs="Times New Roman"/>
        </w:rPr>
        <w:t>, 51(1).</w:t>
      </w:r>
    </w:p>
    <w:p w14:paraId="3A0DFFBD" w14:textId="77777777" w:rsidR="00A47A1D" w:rsidRDefault="007D5B77">
      <w:pPr>
        <w:spacing w:line="360" w:lineRule="auto"/>
        <w:jc w:val="both"/>
        <w:rPr>
          <w:rFonts w:ascii="Cambria" w:eastAsia="Times New Roman" w:hAnsi="Cambria" w:cs="Times New Roman"/>
        </w:rPr>
      </w:pPr>
      <w:r>
        <w:rPr>
          <w:rFonts w:ascii="Cambria" w:eastAsia="Times New Roman" w:hAnsi="Cambria" w:cs="Times New Roman"/>
        </w:rPr>
        <w:t xml:space="preserve">Zhao, Y., Zhang, L., Zeng, C., Chen, Y., Lu, W. and Song, N. (2025) ‘Factors influencing online health information credibility: a meta-analysis’, </w:t>
      </w:r>
      <w:proofErr w:type="spellStart"/>
      <w:r>
        <w:rPr>
          <w:rFonts w:ascii="Cambria" w:eastAsia="Times New Roman" w:hAnsi="Cambria" w:cs="Times New Roman"/>
          <w:i/>
        </w:rPr>
        <w:t>Aslib</w:t>
      </w:r>
      <w:proofErr w:type="spellEnd"/>
      <w:r>
        <w:rPr>
          <w:rFonts w:ascii="Cambria" w:eastAsia="Times New Roman" w:hAnsi="Cambria" w:cs="Times New Roman"/>
          <w:i/>
        </w:rPr>
        <w:t xml:space="preserve"> Journal of Information Management, 77</w:t>
      </w:r>
      <w:r>
        <w:rPr>
          <w:rFonts w:ascii="Cambria" w:eastAsia="Times New Roman" w:hAnsi="Cambria" w:cs="Times New Roman"/>
        </w:rPr>
        <w:t xml:space="preserve">(4), pp.701-732. </w:t>
      </w:r>
      <w:hyperlink r:id="rId28" w:history="1">
        <w:r>
          <w:rPr>
            <w:rFonts w:ascii="Cambria" w:eastAsia="Times New Roman" w:hAnsi="Cambria" w:cs="Times New Roman"/>
            <w:color w:val="1155CC"/>
            <w:u w:val="single"/>
          </w:rPr>
          <w:t>https://doi.org/10.1108/AJIM-05-2023-0155</w:t>
        </w:r>
      </w:hyperlink>
      <w:r>
        <w:rPr>
          <w:rFonts w:ascii="Cambria" w:eastAsia="Times New Roman" w:hAnsi="Cambria" w:cs="Times New Roman"/>
        </w:rPr>
        <w:t xml:space="preserve"> </w:t>
      </w:r>
    </w:p>
    <w:p w14:paraId="4618D9FD" w14:textId="77777777" w:rsidR="00A47A1D" w:rsidRDefault="00A47A1D">
      <w:pPr>
        <w:spacing w:line="360" w:lineRule="auto"/>
        <w:jc w:val="both"/>
        <w:rPr>
          <w:rFonts w:ascii="Times New Roman" w:eastAsia="Times New Roman" w:hAnsi="Times New Roman" w:cs="Times New Roman"/>
          <w:sz w:val="24"/>
          <w:szCs w:val="24"/>
        </w:rPr>
      </w:pPr>
    </w:p>
    <w:sectPr w:rsidR="00A47A1D">
      <w:pgSz w:w="12240" w:h="15840"/>
      <w:pgMar w:top="1440" w:right="1440" w:bottom="1440" w:left="1440" w:header="720" w:footer="720" w:gutter="0"/>
      <w:pgNumType w:start="1"/>
      <w:cols w:space="720"/>
      <w:docGrid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E03C0"/>
    <w:multiLevelType w:val="multilevel"/>
    <w:tmpl w:val="06007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158C9"/>
    <w:multiLevelType w:val="multilevel"/>
    <w:tmpl w:val="E3C0C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B630F"/>
    <w:multiLevelType w:val="multilevel"/>
    <w:tmpl w:val="13CA7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315476"/>
    <w:multiLevelType w:val="hybridMultilevel"/>
    <w:tmpl w:val="13DC5B52"/>
    <w:lvl w:ilvl="0" w:tplc="509A84A8">
      <w:start w:val="1"/>
      <w:numFmt w:val="bullet"/>
      <w:lvlRestart w:val="0"/>
      <w:lvlText w:val=""/>
      <w:lvlJc w:val="left"/>
      <w:pPr>
        <w:tabs>
          <w:tab w:val="num" w:pos="0"/>
        </w:tabs>
        <w:ind w:left="1080" w:hanging="360"/>
      </w:pPr>
      <w:rPr>
        <w:rFonts w:ascii="Symbol" w:hAnsi="Symbol" w:hint="default"/>
      </w:rPr>
    </w:lvl>
    <w:lvl w:ilvl="1" w:tplc="C3FA072C">
      <w:start w:val="1"/>
      <w:numFmt w:val="bullet"/>
      <w:lvlText w:val="o"/>
      <w:lvlJc w:val="left"/>
      <w:pPr>
        <w:tabs>
          <w:tab w:val="num" w:pos="0"/>
        </w:tabs>
        <w:ind w:left="1800" w:hanging="360"/>
      </w:pPr>
      <w:rPr>
        <w:rFonts w:ascii="Courier New" w:hAnsi="Courier New" w:cs="Courier New" w:hint="default"/>
      </w:rPr>
    </w:lvl>
    <w:lvl w:ilvl="2" w:tplc="73701FD4">
      <w:start w:val="1"/>
      <w:numFmt w:val="bullet"/>
      <w:lvlText w:val=""/>
      <w:lvlJc w:val="left"/>
      <w:pPr>
        <w:tabs>
          <w:tab w:val="num" w:pos="0"/>
        </w:tabs>
        <w:ind w:left="2520" w:hanging="360"/>
      </w:pPr>
      <w:rPr>
        <w:rFonts w:ascii="Wingdings" w:hAnsi="Wingdings" w:hint="default"/>
      </w:rPr>
    </w:lvl>
    <w:lvl w:ilvl="3" w:tplc="7BE2FCEA">
      <w:start w:val="1"/>
      <w:numFmt w:val="bullet"/>
      <w:lvlText w:val=""/>
      <w:lvlJc w:val="left"/>
      <w:pPr>
        <w:tabs>
          <w:tab w:val="num" w:pos="0"/>
        </w:tabs>
        <w:ind w:left="3240" w:hanging="360"/>
      </w:pPr>
      <w:rPr>
        <w:rFonts w:ascii="Symbol" w:hAnsi="Symbol" w:hint="default"/>
      </w:rPr>
    </w:lvl>
    <w:lvl w:ilvl="4" w:tplc="3A5663FA">
      <w:start w:val="1"/>
      <w:numFmt w:val="bullet"/>
      <w:lvlText w:val="o"/>
      <w:lvlJc w:val="left"/>
      <w:pPr>
        <w:tabs>
          <w:tab w:val="num" w:pos="0"/>
        </w:tabs>
        <w:ind w:left="3960" w:hanging="360"/>
      </w:pPr>
      <w:rPr>
        <w:rFonts w:ascii="Courier New" w:hAnsi="Courier New" w:cs="Courier New" w:hint="default"/>
      </w:rPr>
    </w:lvl>
    <w:lvl w:ilvl="5" w:tplc="04D00AD8">
      <w:start w:val="1"/>
      <w:numFmt w:val="bullet"/>
      <w:lvlText w:val=""/>
      <w:lvlJc w:val="left"/>
      <w:pPr>
        <w:tabs>
          <w:tab w:val="num" w:pos="0"/>
        </w:tabs>
        <w:ind w:left="4680" w:hanging="360"/>
      </w:pPr>
      <w:rPr>
        <w:rFonts w:ascii="Wingdings" w:hAnsi="Wingdings" w:hint="default"/>
      </w:rPr>
    </w:lvl>
    <w:lvl w:ilvl="6" w:tplc="4990A2AE">
      <w:start w:val="1"/>
      <w:numFmt w:val="bullet"/>
      <w:lvlText w:val=""/>
      <w:lvlJc w:val="left"/>
      <w:pPr>
        <w:tabs>
          <w:tab w:val="num" w:pos="0"/>
        </w:tabs>
        <w:ind w:left="5400" w:hanging="360"/>
      </w:pPr>
      <w:rPr>
        <w:rFonts w:ascii="Symbol" w:hAnsi="Symbol" w:hint="default"/>
      </w:rPr>
    </w:lvl>
    <w:lvl w:ilvl="7" w:tplc="87CC4336">
      <w:start w:val="1"/>
      <w:numFmt w:val="bullet"/>
      <w:lvlText w:val="o"/>
      <w:lvlJc w:val="left"/>
      <w:pPr>
        <w:tabs>
          <w:tab w:val="num" w:pos="0"/>
        </w:tabs>
        <w:ind w:left="6120" w:hanging="360"/>
      </w:pPr>
      <w:rPr>
        <w:rFonts w:ascii="Courier New" w:hAnsi="Courier New" w:cs="Courier New" w:hint="default"/>
      </w:rPr>
    </w:lvl>
    <w:lvl w:ilvl="8" w:tplc="CD4A35B4">
      <w:start w:val="1"/>
      <w:numFmt w:val="bullet"/>
      <w:lvlText w:val=""/>
      <w:lvlJc w:val="left"/>
      <w:pPr>
        <w:tabs>
          <w:tab w:val="num" w:pos="0"/>
        </w:tabs>
        <w:ind w:left="6840" w:hanging="360"/>
      </w:pPr>
      <w:rPr>
        <w:rFonts w:ascii="Wingdings" w:hAnsi="Wingdings" w:hint="default"/>
      </w:rPr>
    </w:lvl>
  </w:abstractNum>
  <w:abstractNum w:abstractNumId="4" w15:restartNumberingAfterBreak="0">
    <w:nsid w:val="2B325977"/>
    <w:multiLevelType w:val="hybridMultilevel"/>
    <w:tmpl w:val="0C7668C0"/>
    <w:lvl w:ilvl="0" w:tplc="BC00F6E0">
      <w:start w:val="1"/>
      <w:numFmt w:val="bullet"/>
      <w:lvlRestart w:val="0"/>
      <w:lvlText w:val=""/>
      <w:lvlJc w:val="left"/>
      <w:pPr>
        <w:tabs>
          <w:tab w:val="num" w:pos="0"/>
        </w:tabs>
        <w:ind w:left="1080" w:hanging="360"/>
      </w:pPr>
      <w:rPr>
        <w:rFonts w:ascii="Symbol" w:hAnsi="Symbol" w:hint="default"/>
      </w:rPr>
    </w:lvl>
    <w:lvl w:ilvl="1" w:tplc="B77ECC7E">
      <w:start w:val="1"/>
      <w:numFmt w:val="bullet"/>
      <w:lvlText w:val="o"/>
      <w:lvlJc w:val="left"/>
      <w:pPr>
        <w:tabs>
          <w:tab w:val="num" w:pos="0"/>
        </w:tabs>
        <w:ind w:left="1800" w:hanging="360"/>
      </w:pPr>
      <w:rPr>
        <w:rFonts w:ascii="Courier New" w:hAnsi="Courier New" w:cs="Courier New" w:hint="default"/>
      </w:rPr>
    </w:lvl>
    <w:lvl w:ilvl="2" w:tplc="A438978C">
      <w:start w:val="1"/>
      <w:numFmt w:val="bullet"/>
      <w:lvlText w:val=""/>
      <w:lvlJc w:val="left"/>
      <w:pPr>
        <w:tabs>
          <w:tab w:val="num" w:pos="0"/>
        </w:tabs>
        <w:ind w:left="2520" w:hanging="360"/>
      </w:pPr>
      <w:rPr>
        <w:rFonts w:ascii="Wingdings" w:hAnsi="Wingdings" w:hint="default"/>
      </w:rPr>
    </w:lvl>
    <w:lvl w:ilvl="3" w:tplc="83B2E1A8">
      <w:start w:val="1"/>
      <w:numFmt w:val="bullet"/>
      <w:lvlText w:val=""/>
      <w:lvlJc w:val="left"/>
      <w:pPr>
        <w:tabs>
          <w:tab w:val="num" w:pos="0"/>
        </w:tabs>
        <w:ind w:left="3240" w:hanging="360"/>
      </w:pPr>
      <w:rPr>
        <w:rFonts w:ascii="Symbol" w:hAnsi="Symbol" w:hint="default"/>
      </w:rPr>
    </w:lvl>
    <w:lvl w:ilvl="4" w:tplc="96C69286">
      <w:start w:val="1"/>
      <w:numFmt w:val="bullet"/>
      <w:lvlText w:val="o"/>
      <w:lvlJc w:val="left"/>
      <w:pPr>
        <w:tabs>
          <w:tab w:val="num" w:pos="0"/>
        </w:tabs>
        <w:ind w:left="3960" w:hanging="360"/>
      </w:pPr>
      <w:rPr>
        <w:rFonts w:ascii="Courier New" w:hAnsi="Courier New" w:cs="Courier New" w:hint="default"/>
      </w:rPr>
    </w:lvl>
    <w:lvl w:ilvl="5" w:tplc="AC0E1B1C">
      <w:start w:val="1"/>
      <w:numFmt w:val="bullet"/>
      <w:lvlText w:val=""/>
      <w:lvlJc w:val="left"/>
      <w:pPr>
        <w:tabs>
          <w:tab w:val="num" w:pos="0"/>
        </w:tabs>
        <w:ind w:left="4680" w:hanging="360"/>
      </w:pPr>
      <w:rPr>
        <w:rFonts w:ascii="Wingdings" w:hAnsi="Wingdings" w:hint="default"/>
      </w:rPr>
    </w:lvl>
    <w:lvl w:ilvl="6" w:tplc="78327058">
      <w:start w:val="1"/>
      <w:numFmt w:val="bullet"/>
      <w:lvlText w:val=""/>
      <w:lvlJc w:val="left"/>
      <w:pPr>
        <w:tabs>
          <w:tab w:val="num" w:pos="0"/>
        </w:tabs>
        <w:ind w:left="5400" w:hanging="360"/>
      </w:pPr>
      <w:rPr>
        <w:rFonts w:ascii="Symbol" w:hAnsi="Symbol" w:hint="default"/>
      </w:rPr>
    </w:lvl>
    <w:lvl w:ilvl="7" w:tplc="485434BE">
      <w:start w:val="1"/>
      <w:numFmt w:val="bullet"/>
      <w:lvlText w:val="o"/>
      <w:lvlJc w:val="left"/>
      <w:pPr>
        <w:tabs>
          <w:tab w:val="num" w:pos="0"/>
        </w:tabs>
        <w:ind w:left="6120" w:hanging="360"/>
      </w:pPr>
      <w:rPr>
        <w:rFonts w:ascii="Courier New" w:hAnsi="Courier New" w:cs="Courier New" w:hint="default"/>
      </w:rPr>
    </w:lvl>
    <w:lvl w:ilvl="8" w:tplc="B6FA44A6">
      <w:start w:val="1"/>
      <w:numFmt w:val="bullet"/>
      <w:lvlText w:val=""/>
      <w:lvlJc w:val="left"/>
      <w:pPr>
        <w:tabs>
          <w:tab w:val="num" w:pos="0"/>
        </w:tabs>
        <w:ind w:left="6840" w:hanging="360"/>
      </w:pPr>
      <w:rPr>
        <w:rFonts w:ascii="Wingdings" w:hAnsi="Wingdings" w:hint="default"/>
      </w:rPr>
    </w:lvl>
  </w:abstractNum>
  <w:abstractNum w:abstractNumId="5" w15:restartNumberingAfterBreak="0">
    <w:nsid w:val="6BCE0554"/>
    <w:multiLevelType w:val="multilevel"/>
    <w:tmpl w:val="2200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1C6701"/>
    <w:multiLevelType w:val="multilevel"/>
    <w:tmpl w:val="E2E6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6"/>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drawingGridHorizontalSpacing w:val="110"/>
  <w:drawingGridVerticalSpacing w:val="156"/>
  <w:displayHorizontalDrawingGridEvery w:val="0"/>
  <w:characterSpacingControl w:val="doNotCompress"/>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7A1D"/>
    <w:rsid w:val="000B4BDC"/>
    <w:rsid w:val="002753B2"/>
    <w:rsid w:val="007D5B77"/>
    <w:rsid w:val="008E4A37"/>
    <w:rsid w:val="00A47A1D"/>
    <w:rsid w:val="00C57725"/>
    <w:rsid w:val="00D03164"/>
    <w:rsid w:val="00D36113"/>
    <w:rsid w:val="00D722D7"/>
    <w:rsid w:val="00EF14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B3413D"/>
  <w15:docId w15:val="{69FBD285-8AC7-4F9E-8C2C-FB5307A44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76" w:lineRule="auto"/>
    </w:pPr>
    <w:rPr>
      <w:rFonts w:ascii="Arial" w:eastAsia="Arial" w:hAnsi="Arial" w:cs="Arial"/>
      <w:sz w:val="22"/>
      <w:szCs w:val="22"/>
      <w:lang w:val="en-GB" w:eastAsia="en-US"/>
    </w:rPr>
  </w:style>
  <w:style w:type="paragraph" w:styleId="Heading1">
    <w:name w:val="heading 1"/>
    <w:basedOn w:val="Normal"/>
    <w:next w:val="Normal"/>
    <w:uiPriority w:val="9"/>
    <w:qFormat/>
    <w:pPr>
      <w:keepNext/>
      <w:keepLines/>
      <w:spacing w:before="40" w:line="360" w:lineRule="auto"/>
      <w:jc w:val="both"/>
      <w:outlineLvl w:val="0"/>
    </w:pPr>
    <w:rPr>
      <w:rFonts w:ascii="Calibri" w:hAnsi="Calibri"/>
      <w:b/>
      <w:sz w:val="26"/>
      <w:szCs w:val="40"/>
    </w:rPr>
  </w:style>
  <w:style w:type="paragraph" w:styleId="Heading2">
    <w:name w:val="heading 2"/>
    <w:basedOn w:val="Normal"/>
    <w:next w:val="Normal"/>
    <w:uiPriority w:val="9"/>
    <w:unhideWhenUsed/>
    <w:qFormat/>
    <w:pPr>
      <w:keepNext/>
      <w:keepLines/>
      <w:spacing w:line="360" w:lineRule="auto"/>
      <w:jc w:val="both"/>
      <w:outlineLvl w:val="1"/>
    </w:pPr>
    <w:rPr>
      <w:rFonts w:ascii="Calibri" w:hAnsi="Calibri"/>
      <w:b/>
      <w:sz w:val="24"/>
      <w:szCs w:val="32"/>
    </w:rPr>
  </w:style>
  <w:style w:type="paragraph" w:styleId="Heading3">
    <w:name w:val="heading 3"/>
    <w:basedOn w:val="Normal"/>
    <w:next w:val="Normal"/>
    <w:uiPriority w:val="9"/>
    <w:unhideWhenUsed/>
    <w:qFormat/>
    <w:pPr>
      <w:keepNext/>
      <w:keepLines/>
      <w:spacing w:line="360" w:lineRule="auto"/>
      <w:jc w:val="both"/>
      <w:outlineLvl w:val="2"/>
    </w:pPr>
    <w:rPr>
      <w:rFonts w:ascii="Calibri" w:hAnsi="Calibri"/>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pPr>
      <w:spacing w:line="240" w:lineRule="auto"/>
    </w:pPr>
    <w:rPr>
      <w:sz w:val="20"/>
      <w:szCs w:val="20"/>
    </w:rPr>
  </w:style>
  <w:style w:type="character" w:styleId="CommentReference">
    <w:name w:val="annotation reference"/>
    <w:basedOn w:val="DefaultParagraphFont"/>
    <w:rPr>
      <w:sz w:val="16"/>
      <w:szCs w:val="16"/>
    </w:rPr>
  </w:style>
  <w:style w:type="paragraph" w:styleId="BalloonText">
    <w:name w:val="Balloon Text"/>
    <w:basedOn w:val="Normal"/>
    <w:pPr>
      <w:spacing w:line="240" w:lineRule="auto"/>
    </w:pPr>
    <w:rPr>
      <w:rFonts w:ascii="Segoe UI" w:hAnsi="Segoe UI" w:cs="Segoe UI"/>
      <w:sz w:val="18"/>
      <w:szCs w:val="18"/>
    </w:rPr>
  </w:style>
  <w:style w:type="paragraph" w:customStyle="1" w:styleId="ListParagraph1">
    <w:name w:val="List Paragraph1"/>
    <w:basedOn w:val="Normal"/>
    <w:pPr>
      <w:ind w:left="720"/>
      <w:contextualSpacing/>
    </w:p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doi.org/10.3346/jkms.2022.37.e121" TargetMode="External"/><Relationship Id="rId13" Type="http://schemas.openxmlformats.org/officeDocument/2006/relationships/hyperlink" Target="https://doi.org/10.1007/s11606-019-05109-0" TargetMode="External"/><Relationship Id="rId18" Type="http://schemas.openxmlformats.org/officeDocument/2006/relationships/hyperlink" Target="https://doi.org/10.2196/38786" TargetMode="External"/><Relationship Id="rId26" Type="http://schemas.openxmlformats.org/officeDocument/2006/relationships/hyperlink" Target="https://doi.org/10.1080/10410236.2023.2171951" TargetMode="External"/><Relationship Id="rId3" Type="http://schemas.openxmlformats.org/officeDocument/2006/relationships/settings" Target="settings.xml"/><Relationship Id="rId21" Type="http://schemas.openxmlformats.org/officeDocument/2006/relationships/hyperlink" Target="https://d1wqtxts1xzle7.cloudfront.net/47488787/A_review_of_theoretical_models_of_health20160724-22411-aqeb6d-libre.pdf?1469413144=&amp;response-content-disposition=inline%3B+filename%3DA_review_of_theoretical_models_of_health.pdf&amp;Expires=1761488008&amp;Signature=fbyoY6eekh2ruapOezsp7QaHPNUTw00fi4Q6SLJ6AtRg9-QxgHe~w6Agxv1VBTI1X6MIKw7aJQLvcwjOx4RzZVV12OJSOGnfIgHdVUwcPF-DfqsN9qHhBGlrTHrLlzUfFOorJBqOCnyHbj8jEjc-IzM0Xt3iMWebSZbElARvZioyWYbcZggD2dElpl7Xu3sqmaTdTXKN6sPKYXgQaOKX5sDHMDUR22imSCa99qKhDB5LaIvMncsKg-GdP55ruBh9nW4Wg8i0YsS2kMC7e1Kw4vx-8PkTErIDyodXkUuqFYCva6ooWcbXlS9TQWxFPCa9Bkhg6p8KqL0ClQlQ9YnC0Q__&amp;Key-Pair-Id=APKAJLOHF5GGSLRBV4ZA" TargetMode="External"/><Relationship Id="rId7" Type="http://schemas.openxmlformats.org/officeDocument/2006/relationships/hyperlink" Target="https://doi.org/10.1186/s41043-024-00550-2" TargetMode="External"/><Relationship Id="rId12" Type="http://schemas.openxmlformats.org/officeDocument/2006/relationships/hyperlink" Target="https://journals.sagepub.com/doi/pdf/10.1177/20552076241286815" TargetMode="External"/><Relationship Id="rId17" Type="http://schemas.openxmlformats.org/officeDocument/2006/relationships/hyperlink" Target="https://doi.org/10.3390/healthcare9121740" TargetMode="External"/><Relationship Id="rId25" Type="http://schemas.openxmlformats.org/officeDocument/2006/relationships/hyperlink" Target="https://doi.org/10.1007/s00779-021-01588-3" TargetMode="External"/><Relationship Id="rId2" Type="http://schemas.openxmlformats.org/officeDocument/2006/relationships/styles" Target="styles.xml"/><Relationship Id="rId16" Type="http://schemas.openxmlformats.org/officeDocument/2006/relationships/hyperlink" Target="https://onlinelibrary.wiley.com/doi/pdf/10.1111/vsu.13845" TargetMode="External"/><Relationship Id="rId20" Type="http://schemas.openxmlformats.org/officeDocument/2006/relationships/hyperlink" Target="https://doi.org/10.1016/j.techfore.2021.121098"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77/0144739418775787" TargetMode="External"/><Relationship Id="rId11" Type="http://schemas.openxmlformats.org/officeDocument/2006/relationships/hyperlink" Target="https://medcitynews.com/2025/03/the-challenges-of-hcps-accessing-reliable-online-medicines-information-and-what-pharma-companies-can-do-to-improve-information-sharing/" TargetMode="External"/><Relationship Id="rId24" Type="http://schemas.openxmlformats.org/officeDocument/2006/relationships/hyperlink" Target="http://dx.doi.org/10.1108/JEET-09-2022-0014" TargetMode="External"/><Relationship Id="rId5" Type="http://schemas.openxmlformats.org/officeDocument/2006/relationships/image" Target="media/image1.jpeg"/><Relationship Id="rId15" Type="http://schemas.openxmlformats.org/officeDocument/2006/relationships/hyperlink" Target="https://doi.org/10.1007/s40290-021-00412-w" TargetMode="External"/><Relationship Id="rId23" Type="http://schemas.openxmlformats.org/officeDocument/2006/relationships/hyperlink" Target="https://doi.org/10.1016/j.enpol.2023.113684" TargetMode="External"/><Relationship Id="rId28" Type="http://schemas.openxmlformats.org/officeDocument/2006/relationships/hyperlink" Target="https://doi.org/10.1108/AJIM-05-2023-0155" TargetMode="External"/><Relationship Id="rId10" Type="http://schemas.openxmlformats.org/officeDocument/2006/relationships/hyperlink" Target="https://doi.org/10.3390/healthcare12030336" TargetMode="External"/><Relationship Id="rId19" Type="http://schemas.openxmlformats.org/officeDocument/2006/relationships/hyperlink" Target="https://doi.org/10.1080/0142159X.2020.1755030" TargetMode="External"/><Relationship Id="rId4" Type="http://schemas.openxmlformats.org/officeDocument/2006/relationships/webSettings" Target="webSettings.xml"/><Relationship Id="rId9" Type="http://schemas.openxmlformats.org/officeDocument/2006/relationships/hyperlink" Target="http://dx.doi.org/10.1177/2055207620948996" TargetMode="External"/><Relationship Id="rId14" Type="http://schemas.openxmlformats.org/officeDocument/2006/relationships/hyperlink" Target="https://doi.org/10.2196/jmir.9326" TargetMode="External"/><Relationship Id="rId22" Type="http://schemas.openxmlformats.org/officeDocument/2006/relationships/hyperlink" Target="https://doi.org/10.1007/s10648-023-09842-1" TargetMode="External"/><Relationship Id="rId27" Type="http://schemas.openxmlformats.org/officeDocument/2006/relationships/hyperlink" Target="https://doi.org/10.1016/S2589-7500(21)00005-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5506</Words>
  <Characters>31386</Characters>
  <DocSecurity>0</DocSecurity>
  <Lines>261</Lines>
  <Paragraphs>73</Paragraphs>
  <ScaleCrop>false</ScaleCrop>
  <Company/>
  <LinksUpToDate>false</LinksUpToDate>
  <CharactersWithSpaces>36819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2025-11-04T13:14:00Z</dcterms:created>
  <dcterms:modified xsi:type="dcterms:W3CDTF">2025-11-05T07:33:00Z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a9304882-7243-4ba3-8b62-d5735f5ec4cf</vt:lpwstr>
  </property>
</Properties>
</file>