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6440F" w:rsidRDefault="003A41CF" w:rsidP="00501B2D">
      <w:pPr>
        <w:pStyle w:val="awTB00chTitle"/>
        <w:keepLines w:val="0"/>
        <w:spacing w:before="720" w:after="0"/>
      </w:pPr>
      <w:r>
        <w:rPr>
          <w:sz w:val="44"/>
        </w:rPr>
        <w:t>Chapter 11</w:t>
      </w:r>
      <w:r>
        <w:rPr>
          <w:sz w:val="32"/>
        </w:rPr>
        <w:br/>
      </w:r>
      <w:r>
        <w:t>Operating Exposure</w:t>
      </w:r>
      <w:r w:rsidR="00114AA1">
        <w:br/>
      </w:r>
    </w:p>
    <w:p w:rsidR="00114AA1" w:rsidRPr="0090254E" w:rsidRDefault="00114AA1" w:rsidP="00114AA1">
      <w:pPr>
        <w:rPr>
          <w:rFonts w:ascii="Helvetica" w:eastAsia="Calibri" w:hAnsi="Helvetica"/>
          <w:b/>
          <w:sz w:val="28"/>
          <w:szCs w:val="28"/>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Learning Objectives</w:t>
      </w:r>
    </w:p>
    <w:p w:rsidR="00114AA1" w:rsidRPr="00114AA1" w:rsidRDefault="00114AA1" w:rsidP="00114AA1">
      <w:pPr>
        <w:numPr>
          <w:ilvl w:val="0"/>
          <w:numId w:val="26"/>
        </w:numPr>
        <w:spacing w:after="160" w:line="259" w:lineRule="auto"/>
        <w:contextualSpacing/>
        <w:rPr>
          <w:rFonts w:ascii="Times" w:eastAsia="Calibri" w:hAnsi="Times" w:cs="Times"/>
          <w:sz w:val="24"/>
          <w:szCs w:val="24"/>
        </w:rPr>
      </w:pPr>
      <w:r w:rsidRPr="00114AA1">
        <w:rPr>
          <w:rFonts w:ascii="Times" w:eastAsia="Calibri" w:hAnsi="Times" w:cs="Times"/>
          <w:sz w:val="24"/>
          <w:szCs w:val="24"/>
        </w:rPr>
        <w:t>Examine how operating exposure arises through unexpected changes in both operating</w:t>
      </w:r>
      <w:r>
        <w:rPr>
          <w:rFonts w:ascii="Times" w:eastAsia="Calibri" w:hAnsi="Times" w:cs="Times"/>
          <w:sz w:val="24"/>
          <w:szCs w:val="24"/>
        </w:rPr>
        <w:t xml:space="preserve"> </w:t>
      </w:r>
      <w:r w:rsidRPr="00114AA1">
        <w:rPr>
          <w:rFonts w:ascii="Times" w:eastAsia="Calibri" w:hAnsi="Times" w:cs="Times"/>
          <w:sz w:val="24"/>
          <w:szCs w:val="24"/>
        </w:rPr>
        <w:t>and financing cash flows</w:t>
      </w:r>
    </w:p>
    <w:p w:rsidR="00114AA1" w:rsidRPr="00114AA1" w:rsidRDefault="00114AA1" w:rsidP="00114AA1">
      <w:pPr>
        <w:numPr>
          <w:ilvl w:val="0"/>
          <w:numId w:val="26"/>
        </w:numPr>
        <w:spacing w:after="160" w:line="259" w:lineRule="auto"/>
        <w:contextualSpacing/>
        <w:rPr>
          <w:rFonts w:ascii="Times" w:eastAsia="Calibri" w:hAnsi="Times" w:cs="Times"/>
          <w:sz w:val="24"/>
          <w:szCs w:val="24"/>
        </w:rPr>
      </w:pPr>
      <w:r w:rsidRPr="00114AA1">
        <w:rPr>
          <w:rFonts w:ascii="Times" w:eastAsia="Calibri" w:hAnsi="Times" w:cs="Times"/>
          <w:sz w:val="24"/>
          <w:szCs w:val="24"/>
        </w:rPr>
        <w:t>Analyze how unexpected exchange rate changes alter the economic performance of a</w:t>
      </w:r>
      <w:r>
        <w:rPr>
          <w:rFonts w:ascii="Times" w:eastAsia="Calibri" w:hAnsi="Times" w:cs="Times"/>
          <w:sz w:val="24"/>
          <w:szCs w:val="24"/>
        </w:rPr>
        <w:t xml:space="preserve"> </w:t>
      </w:r>
      <w:r w:rsidRPr="00114AA1">
        <w:rPr>
          <w:rFonts w:ascii="Times" w:eastAsia="Calibri" w:hAnsi="Times" w:cs="Times"/>
          <w:sz w:val="24"/>
          <w:szCs w:val="24"/>
        </w:rPr>
        <w:t>business unit through the sequence of volume, price, cost, and other key variable changes</w:t>
      </w:r>
    </w:p>
    <w:p w:rsidR="00114AA1" w:rsidRPr="00114AA1" w:rsidRDefault="00114AA1" w:rsidP="00114AA1">
      <w:pPr>
        <w:numPr>
          <w:ilvl w:val="0"/>
          <w:numId w:val="26"/>
        </w:numPr>
        <w:spacing w:after="160" w:line="259" w:lineRule="auto"/>
        <w:contextualSpacing/>
        <w:rPr>
          <w:rFonts w:ascii="Times" w:eastAsia="Calibri" w:hAnsi="Times" w:cs="Times"/>
          <w:sz w:val="24"/>
          <w:szCs w:val="24"/>
        </w:rPr>
      </w:pPr>
      <w:r w:rsidRPr="00114AA1">
        <w:rPr>
          <w:rFonts w:ascii="Times" w:eastAsia="Calibri" w:hAnsi="Times" w:cs="Times"/>
          <w:sz w:val="24"/>
          <w:szCs w:val="24"/>
        </w:rPr>
        <w:t>Evaluate strategic alternatives to managing operating exposure</w:t>
      </w:r>
    </w:p>
    <w:p w:rsidR="00114AA1" w:rsidRPr="00A9163D" w:rsidRDefault="00114AA1" w:rsidP="00114AA1">
      <w:pPr>
        <w:numPr>
          <w:ilvl w:val="0"/>
          <w:numId w:val="26"/>
        </w:numPr>
        <w:spacing w:after="160" w:line="259" w:lineRule="auto"/>
        <w:contextualSpacing/>
        <w:rPr>
          <w:rFonts w:ascii="Times" w:eastAsia="Calibri" w:hAnsi="Times" w:cs="Times"/>
          <w:sz w:val="24"/>
          <w:szCs w:val="24"/>
        </w:rPr>
      </w:pPr>
      <w:r w:rsidRPr="00114AA1">
        <w:rPr>
          <w:rFonts w:ascii="Times" w:eastAsia="Calibri" w:hAnsi="Times" w:cs="Times"/>
          <w:sz w:val="24"/>
          <w:szCs w:val="24"/>
        </w:rPr>
        <w:t>Detail the proactive policies firms use in managing operating exposure</w:t>
      </w:r>
    </w:p>
    <w:p w:rsidR="00114AA1" w:rsidRPr="0090254E" w:rsidRDefault="00114AA1" w:rsidP="00114AA1">
      <w:pPr>
        <w:spacing w:after="160" w:line="259" w:lineRule="auto"/>
        <w:ind w:left="720"/>
        <w:contextualSpacing/>
        <w:rPr>
          <w:rFonts w:ascii="Times" w:eastAsia="Calibri" w:hAnsi="Times" w:cs="Times"/>
          <w:sz w:val="24"/>
          <w:szCs w:val="24"/>
        </w:rPr>
      </w:pPr>
    </w:p>
    <w:p w:rsidR="00114AA1" w:rsidRPr="0090254E" w:rsidRDefault="00114AA1" w:rsidP="00114AA1">
      <w:pPr>
        <w:spacing w:after="160" w:line="259" w:lineRule="auto"/>
        <w:rPr>
          <w:rFonts w:ascii="Calibri" w:eastAsia="Calibri" w:hAnsi="Calibri"/>
          <w:sz w:val="22"/>
          <w:szCs w:val="22"/>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Chapter Outline</w:t>
      </w:r>
      <w:r w:rsidRPr="0090254E">
        <w:rPr>
          <w:rFonts w:ascii="Calibri" w:eastAsia="Calibri" w:hAnsi="Calibri"/>
          <w:sz w:val="22"/>
          <w:szCs w:val="22"/>
        </w:rPr>
        <w:t xml:space="preserve"> </w:t>
      </w:r>
    </w:p>
    <w:p w:rsidR="00114AA1" w:rsidRDefault="00114AA1" w:rsidP="00903C64">
      <w:pPr>
        <w:pStyle w:val="OutlineI"/>
      </w:pPr>
      <w:r>
        <w:t>A Multinational’s Operating Exposure</w:t>
      </w:r>
    </w:p>
    <w:p w:rsidR="00114AA1" w:rsidRDefault="00114AA1" w:rsidP="00903C64">
      <w:pPr>
        <w:pStyle w:val="OutlineA"/>
      </w:pPr>
      <w:r>
        <w:t>Static versus Dynamic Operating Exposure</w:t>
      </w:r>
    </w:p>
    <w:p w:rsidR="00114AA1" w:rsidRDefault="00114AA1" w:rsidP="00903C64">
      <w:pPr>
        <w:pStyle w:val="Outlline1"/>
      </w:pPr>
      <w:r>
        <w:t>Trident China</w:t>
      </w:r>
    </w:p>
    <w:p w:rsidR="00114AA1" w:rsidRDefault="00114AA1" w:rsidP="00903C64">
      <w:pPr>
        <w:pStyle w:val="Outlline1"/>
      </w:pPr>
      <w:r>
        <w:t>Trident Germany</w:t>
      </w:r>
    </w:p>
    <w:p w:rsidR="00114AA1" w:rsidRDefault="00114AA1" w:rsidP="00903C64">
      <w:pPr>
        <w:pStyle w:val="Outlline1"/>
      </w:pPr>
      <w:proofErr w:type="gramStart"/>
      <w:r>
        <w:t>Trident U.S.</w:t>
      </w:r>
      <w:proofErr w:type="gramEnd"/>
    </w:p>
    <w:p w:rsidR="00114AA1" w:rsidRDefault="00114AA1" w:rsidP="00903C64">
      <w:pPr>
        <w:pStyle w:val="OutlineA"/>
      </w:pPr>
      <w:r>
        <w:t>Operating and Financing Cash Flows</w:t>
      </w:r>
    </w:p>
    <w:p w:rsidR="00114AA1" w:rsidRDefault="00114AA1" w:rsidP="00903C64">
      <w:pPr>
        <w:pStyle w:val="OutlineA"/>
      </w:pPr>
      <w:r>
        <w:t>Expected versus Unexpected Changes in Cash Flow</w:t>
      </w:r>
    </w:p>
    <w:p w:rsidR="00114AA1" w:rsidRDefault="00114AA1" w:rsidP="00903C64">
      <w:pPr>
        <w:pStyle w:val="OutlineA"/>
      </w:pPr>
      <w:r>
        <w:t>Measuring Operating Exposure</w:t>
      </w:r>
    </w:p>
    <w:p w:rsidR="00114AA1" w:rsidRDefault="00114AA1" w:rsidP="00903C64">
      <w:pPr>
        <w:pStyle w:val="Outlline1"/>
        <w:numPr>
          <w:ilvl w:val="0"/>
          <w:numId w:val="31"/>
        </w:numPr>
      </w:pPr>
      <w:r>
        <w:t>Short Run</w:t>
      </w:r>
    </w:p>
    <w:p w:rsidR="00114AA1" w:rsidRDefault="00114AA1" w:rsidP="00903C64">
      <w:pPr>
        <w:pStyle w:val="Outlline1"/>
      </w:pPr>
      <w:r>
        <w:t>Medium Run: Equilibrium</w:t>
      </w:r>
    </w:p>
    <w:p w:rsidR="00114AA1" w:rsidRDefault="00114AA1" w:rsidP="00903C64">
      <w:pPr>
        <w:pStyle w:val="Outlline1"/>
      </w:pPr>
      <w:r>
        <w:t>Medium Run: Disequilibrium</w:t>
      </w:r>
    </w:p>
    <w:p w:rsidR="00114AA1" w:rsidRDefault="00114AA1" w:rsidP="00903C64">
      <w:pPr>
        <w:pStyle w:val="Outlline1"/>
      </w:pPr>
      <w:r>
        <w:t>Long Run</w:t>
      </w:r>
    </w:p>
    <w:p w:rsidR="00114AA1" w:rsidRDefault="00114AA1" w:rsidP="00903C64">
      <w:pPr>
        <w:pStyle w:val="OutlineI"/>
      </w:pPr>
      <w:r>
        <w:t>Measuring Operating Exposure: Trident Germany</w:t>
      </w:r>
    </w:p>
    <w:p w:rsidR="00114AA1" w:rsidRDefault="00114AA1" w:rsidP="00903C64">
      <w:pPr>
        <w:pStyle w:val="OutlineA"/>
        <w:numPr>
          <w:ilvl w:val="0"/>
          <w:numId w:val="32"/>
        </w:numPr>
      </w:pPr>
      <w:r>
        <w:t>The Base Case</w:t>
      </w:r>
    </w:p>
    <w:p w:rsidR="00114AA1" w:rsidRDefault="00114AA1" w:rsidP="00903C64">
      <w:pPr>
        <w:pStyle w:val="OutlineA"/>
      </w:pPr>
      <w:r>
        <w:t>Case 1: Depreciation</w:t>
      </w:r>
      <w:r w:rsidR="00044836">
        <w:t>—</w:t>
      </w:r>
      <w:r>
        <w:t>All Variables Remain Constant</w:t>
      </w:r>
    </w:p>
    <w:p w:rsidR="00114AA1" w:rsidRDefault="00114AA1" w:rsidP="00903C64">
      <w:pPr>
        <w:pStyle w:val="OutlineA"/>
      </w:pPr>
      <w:r>
        <w:t>Case 2: Volume Increases</w:t>
      </w:r>
      <w:r w:rsidR="00044836">
        <w:t>—</w:t>
      </w:r>
      <w:r>
        <w:t>Other Variables Remain Constant</w:t>
      </w:r>
    </w:p>
    <w:p w:rsidR="00114AA1" w:rsidRDefault="00114AA1" w:rsidP="00903C64">
      <w:pPr>
        <w:pStyle w:val="OutlineA"/>
      </w:pPr>
      <w:r>
        <w:t>Case 3: Sales Price Increases</w:t>
      </w:r>
      <w:r w:rsidR="00044836">
        <w:t>—</w:t>
      </w:r>
      <w:r>
        <w:t>Other Variables Remain Constant</w:t>
      </w:r>
    </w:p>
    <w:p w:rsidR="00114AA1" w:rsidRDefault="00114AA1" w:rsidP="00903C64">
      <w:pPr>
        <w:pStyle w:val="OutlineA"/>
      </w:pPr>
      <w:r>
        <w:t>Case 4: Price, Cost, and Volume Increases</w:t>
      </w:r>
    </w:p>
    <w:p w:rsidR="00114AA1" w:rsidRDefault="00114AA1" w:rsidP="00903C64">
      <w:pPr>
        <w:pStyle w:val="OutlineA"/>
      </w:pPr>
      <w:r>
        <w:t>Other Possibilities</w:t>
      </w:r>
    </w:p>
    <w:p w:rsidR="00114AA1" w:rsidRDefault="00114AA1" w:rsidP="00903C64">
      <w:pPr>
        <w:pStyle w:val="OutlineA"/>
      </w:pPr>
      <w:r>
        <w:t>Measurement of Loss</w:t>
      </w:r>
    </w:p>
    <w:p w:rsidR="00114AA1" w:rsidRDefault="00114AA1" w:rsidP="00903C64">
      <w:pPr>
        <w:pStyle w:val="OutlineI"/>
      </w:pPr>
      <w:r>
        <w:t>Strategic Management of Operating Exposure</w:t>
      </w:r>
    </w:p>
    <w:p w:rsidR="00114AA1" w:rsidRDefault="00114AA1" w:rsidP="00903C64">
      <w:pPr>
        <w:pStyle w:val="OutlineA"/>
        <w:numPr>
          <w:ilvl w:val="0"/>
          <w:numId w:val="33"/>
        </w:numPr>
      </w:pPr>
      <w:r>
        <w:t>Diversifying Operations</w:t>
      </w:r>
    </w:p>
    <w:p w:rsidR="00114AA1" w:rsidRDefault="00114AA1" w:rsidP="00903C64">
      <w:pPr>
        <w:pStyle w:val="OutlineA"/>
      </w:pPr>
      <w:r>
        <w:t>Diversifying Financing</w:t>
      </w:r>
    </w:p>
    <w:p w:rsidR="00114AA1" w:rsidRDefault="00114AA1" w:rsidP="00903C64">
      <w:pPr>
        <w:pStyle w:val="OutlineI"/>
      </w:pPr>
      <w:r>
        <w:t>Proactive Management</w:t>
      </w:r>
      <w:r w:rsidR="00044836">
        <w:t xml:space="preserve"> of</w:t>
      </w:r>
      <w:r>
        <w:t xml:space="preserve"> Operating Exposure</w:t>
      </w:r>
      <w:r>
        <w:tab/>
      </w:r>
    </w:p>
    <w:p w:rsidR="00114AA1" w:rsidRDefault="00903C64" w:rsidP="00903C64">
      <w:pPr>
        <w:pStyle w:val="OutlineA"/>
        <w:numPr>
          <w:ilvl w:val="0"/>
          <w:numId w:val="34"/>
        </w:numPr>
      </w:pPr>
      <w:r>
        <w:t>Matching Currency Cash Flows</w:t>
      </w:r>
    </w:p>
    <w:p w:rsidR="00114AA1" w:rsidRDefault="00114AA1" w:rsidP="00903C64">
      <w:pPr>
        <w:pStyle w:val="OutlineA"/>
      </w:pPr>
      <w:r>
        <w:t>Risk-Sharing Agreements</w:t>
      </w:r>
    </w:p>
    <w:p w:rsidR="00114AA1" w:rsidRDefault="00114AA1" w:rsidP="00903C64">
      <w:pPr>
        <w:pStyle w:val="OutlineA"/>
      </w:pPr>
      <w:r>
        <w:lastRenderedPageBreak/>
        <w:t>Back-to-Back or Parallel Loans</w:t>
      </w:r>
    </w:p>
    <w:p w:rsidR="00114AA1" w:rsidRDefault="00114AA1" w:rsidP="00903C64">
      <w:pPr>
        <w:pStyle w:val="OutlineA"/>
      </w:pPr>
      <w:r>
        <w:t>Cross-Currency Swaps</w:t>
      </w:r>
    </w:p>
    <w:p w:rsidR="00114AA1" w:rsidRPr="00114AA1" w:rsidRDefault="00114AA1" w:rsidP="00903C64">
      <w:pPr>
        <w:pStyle w:val="OutlineA"/>
      </w:pPr>
      <w:r>
        <w:t xml:space="preserve">Contractual Approaches: Hedging the </w:t>
      </w:r>
      <w:proofErr w:type="spellStart"/>
      <w:r>
        <w:t>Unhedgeable</w:t>
      </w:r>
      <w:proofErr w:type="spellEnd"/>
    </w:p>
    <w:p w:rsidR="0096440F" w:rsidRDefault="003A41CF" w:rsidP="00903C64">
      <w:pPr>
        <w:pStyle w:val="awTB01questionHead"/>
        <w:keepNext w:val="0"/>
        <w:keepLines w:val="0"/>
        <w:numPr>
          <w:ilvl w:val="0"/>
          <w:numId w:val="23"/>
        </w:numPr>
        <w:tabs>
          <w:tab w:val="num" w:pos="360"/>
        </w:tabs>
        <w:spacing w:before="480"/>
      </w:pPr>
      <w:r>
        <w:rPr>
          <w:szCs w:val="28"/>
        </w:rPr>
        <w:sym w:font="Wingdings" w:char="F06E"/>
      </w:r>
      <w:r>
        <w:t> </w:t>
      </w:r>
      <w:r>
        <w:t>Questions</w:t>
      </w:r>
    </w:p>
    <w:p w:rsidR="0096440F" w:rsidRDefault="003A41CF">
      <w:pPr>
        <w:pStyle w:val="MCQList1"/>
        <w:keepNext w:val="0"/>
        <w:keepLines w:val="0"/>
      </w:pPr>
      <w:r>
        <w:tab/>
      </w:r>
      <w:proofErr w:type="gramStart"/>
      <w:r>
        <w:t>1.</w:t>
      </w:r>
      <w:r>
        <w:tab/>
      </w:r>
      <w:r>
        <w:rPr>
          <w:b/>
        </w:rPr>
        <w:t>Definitions.</w:t>
      </w:r>
      <w:proofErr w:type="gramEnd"/>
      <w:r>
        <w:t xml:space="preserve"> Define the following terms:</w:t>
      </w:r>
    </w:p>
    <w:p w:rsidR="0096440F" w:rsidRDefault="003A41CF">
      <w:pPr>
        <w:pStyle w:val="MCQList2"/>
        <w:keepLines w:val="0"/>
      </w:pPr>
      <w:r>
        <w:t>a.</w:t>
      </w:r>
      <w:r>
        <w:tab/>
        <w:t>Operating exposure</w:t>
      </w:r>
    </w:p>
    <w:p w:rsidR="0096440F" w:rsidRDefault="003A41CF">
      <w:pPr>
        <w:pStyle w:val="MCQList2"/>
        <w:keepLines w:val="0"/>
      </w:pPr>
      <w:r>
        <w:t>b.</w:t>
      </w:r>
      <w:r>
        <w:tab/>
        <w:t>Economic exposure</w:t>
      </w:r>
    </w:p>
    <w:p w:rsidR="0096440F" w:rsidRDefault="003A41CF">
      <w:pPr>
        <w:pStyle w:val="MCQList2"/>
        <w:keepLines w:val="0"/>
      </w:pPr>
      <w:r>
        <w:t>c.</w:t>
      </w:r>
      <w:r>
        <w:tab/>
        <w:t>Competitive exposure</w:t>
      </w:r>
    </w:p>
    <w:p w:rsidR="0096440F" w:rsidRDefault="003A41CF" w:rsidP="00903C64">
      <w:pPr>
        <w:pStyle w:val="MCQAnswer"/>
      </w:pPr>
      <w:r>
        <w:rPr>
          <w:i/>
        </w:rPr>
        <w:t>Operating exposure</w:t>
      </w:r>
      <w:r>
        <w:t xml:space="preserve">, also referred to as </w:t>
      </w:r>
      <w:r>
        <w:rPr>
          <w:i/>
        </w:rPr>
        <w:t>economic exposure</w:t>
      </w:r>
      <w:r>
        <w:t xml:space="preserve">, </w:t>
      </w:r>
      <w:r>
        <w:rPr>
          <w:i/>
        </w:rPr>
        <w:t>competitive exposure</w:t>
      </w:r>
      <w:r>
        <w:t xml:space="preserve">, or </w:t>
      </w:r>
      <w:r>
        <w:rPr>
          <w:i/>
        </w:rPr>
        <w:t>strategic exposure</w:t>
      </w:r>
      <w:r>
        <w:t xml:space="preserve">, measures any change in the present value of a firm resulting from changes in future operating cash flows caused by any unexpected change in exchange rates. Operating exposure analysis assesses the impact of changing exchange rates on a firm’s own operations </w:t>
      </w:r>
      <w:r w:rsidR="00044836">
        <w:t xml:space="preserve">during </w:t>
      </w:r>
      <w:r>
        <w:t>coming months and years and on its competitive position vis-à-vis other firms. The goal is to identify strategic moves or operating techniques the firm might wish to adopt to enhance its value in the face of unexpected exchange rate changes.</w:t>
      </w:r>
    </w:p>
    <w:p w:rsidR="0096440F" w:rsidRDefault="003A41CF" w:rsidP="00847428">
      <w:pPr>
        <w:pStyle w:val="MCQList1"/>
        <w:keepNext w:val="0"/>
        <w:keepLines w:val="0"/>
        <w:ind w:left="446" w:hanging="446"/>
      </w:pPr>
      <w:r>
        <w:tab/>
        <w:t>2.</w:t>
      </w:r>
      <w:r>
        <w:tab/>
      </w:r>
      <w:r>
        <w:tab/>
      </w:r>
      <w:r>
        <w:rPr>
          <w:b/>
          <w:bCs/>
        </w:rPr>
        <w:t>Unexpected Exchange Rate Changes</w:t>
      </w:r>
    </w:p>
    <w:p w:rsidR="0096440F" w:rsidRDefault="003A41CF">
      <w:pPr>
        <w:pStyle w:val="MCQList2"/>
      </w:pPr>
      <w:r>
        <w:t>a.</w:t>
      </w:r>
      <w:r>
        <w:tab/>
        <w:t>Why do unexpected exchange rate changes contribute to operating exposure, but expected exchange rate changes do not?</w:t>
      </w:r>
    </w:p>
    <w:p w:rsidR="0096440F" w:rsidRDefault="00903C64" w:rsidP="00903C64">
      <w:pPr>
        <w:pStyle w:val="MCQAnswerBL"/>
      </w:pPr>
      <w:r>
        <w:tab/>
      </w:r>
      <w:r w:rsidR="003A41CF">
        <w:t xml:space="preserve">Operating exposure </w:t>
      </w:r>
      <w:proofErr w:type="gramStart"/>
      <w:r w:rsidR="003A41CF">
        <w:t>is defined</w:t>
      </w:r>
      <w:proofErr w:type="gramEnd"/>
      <w:r w:rsidR="003A41CF">
        <w:t xml:space="preserve"> as the impact of changing exchange rates on a firm’s operations. Thus, unexpected changes in exchange rates are at the heart of operating exposure. However, operating exposure is inevitably subjective because it depends on estimates of future exchange rates. </w:t>
      </w:r>
      <w:proofErr w:type="gramStart"/>
      <w:r w:rsidR="003A41CF">
        <w:t>The greater the uncertainty, the greater the operating exposure.</w:t>
      </w:r>
      <w:proofErr w:type="gramEnd"/>
    </w:p>
    <w:p w:rsidR="0096440F" w:rsidRDefault="00903C64" w:rsidP="00903C64">
      <w:pPr>
        <w:pStyle w:val="MCQAnswerBL"/>
      </w:pPr>
      <w:r>
        <w:tab/>
      </w:r>
      <w:r w:rsidR="003A41CF">
        <w:t xml:space="preserve">An expected change in foreign exchange rates is not included in the definition of operating exposure, because both management and investors should have factored this information into their evaluation of anticipated operating results and market value. </w:t>
      </w:r>
    </w:p>
    <w:p w:rsidR="0096440F" w:rsidRDefault="003A41CF">
      <w:pPr>
        <w:pStyle w:val="MCQList2"/>
      </w:pPr>
      <w:r>
        <w:t>b.</w:t>
      </w:r>
      <w:r>
        <w:tab/>
        <w:t>Explain the time horizons used to analyze unexpected changes in exchange rates.</w:t>
      </w:r>
    </w:p>
    <w:p w:rsidR="00847428" w:rsidRDefault="00903C64" w:rsidP="00903C64">
      <w:pPr>
        <w:pStyle w:val="MCQAnswerBL"/>
      </w:pPr>
      <w:r>
        <w:tab/>
      </w:r>
      <w:r w:rsidR="00847428">
        <w:t>The time horizons used to analyze unexpected changes in interest rates are the short run, the medium run assuming equilibrium, the medium run assuming disequilibrium, and the long run. Exhibit 11.3 summarizes each of these time horizons.</w:t>
      </w:r>
    </w:p>
    <w:p w:rsidR="00E9086F" w:rsidRDefault="00E9086F" w:rsidP="00847428">
      <w:pPr>
        <w:pStyle w:val="MCQList2"/>
        <w:tabs>
          <w:tab w:val="clear" w:pos="825"/>
        </w:tabs>
        <w:ind w:left="540" w:firstLine="0"/>
      </w:pPr>
    </w:p>
    <w:p w:rsidR="00847428" w:rsidRDefault="002260D8" w:rsidP="00847428">
      <w:pPr>
        <w:pStyle w:val="MCQList2"/>
        <w:tabs>
          <w:tab w:val="clear" w:pos="825"/>
        </w:tabs>
        <w:ind w:left="540" w:firstLine="0"/>
        <w:jc w:val="center"/>
      </w:pPr>
      <w:r w:rsidRPr="002260D8">
        <w:rPr>
          <w:noProof/>
        </w:rPr>
        <w:drawing>
          <wp:inline distT="0" distB="0" distL="0" distR="0" wp14:anchorId="318518B7" wp14:editId="5A11F09B">
            <wp:extent cx="5513832" cy="1801368"/>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13832" cy="1801368"/>
                    </a:xfrm>
                    <a:prstGeom prst="rect">
                      <a:avLst/>
                    </a:prstGeom>
                  </pic:spPr>
                </pic:pic>
              </a:graphicData>
            </a:graphic>
          </wp:inline>
        </w:drawing>
      </w:r>
    </w:p>
    <w:p w:rsidR="0096440F" w:rsidRDefault="00E9086F" w:rsidP="00E9086F">
      <w:pPr>
        <w:pStyle w:val="MCQList1"/>
        <w:spacing w:before="0"/>
        <w:ind w:left="446" w:hanging="446"/>
      </w:pPr>
      <w:r>
        <w:lastRenderedPageBreak/>
        <w:tab/>
      </w:r>
      <w:proofErr w:type="gramStart"/>
      <w:r>
        <w:t>3</w:t>
      </w:r>
      <w:r w:rsidR="003A41CF">
        <w:t>.</w:t>
      </w:r>
      <w:r w:rsidR="003A41CF">
        <w:tab/>
      </w:r>
      <w:r w:rsidR="003A41CF">
        <w:rPr>
          <w:b/>
        </w:rPr>
        <w:tab/>
        <w:t>Macroeconomic Uncertainty.</w:t>
      </w:r>
      <w:proofErr w:type="gramEnd"/>
      <w:r w:rsidR="003A41CF">
        <w:t xml:space="preserve"> Explain how the concept of macroeconomic uncertainty expands the scope of analyzing operating exposure.</w:t>
      </w:r>
    </w:p>
    <w:p w:rsidR="0096440F" w:rsidRDefault="003A41CF" w:rsidP="00903C64">
      <w:pPr>
        <w:pStyle w:val="MCQAnswer"/>
      </w:pPr>
      <w:r>
        <w:t xml:space="preserve">From a broad macroeconomic perspective, operating exposure is not just the sensitivity of a firm’s future cash flows to unexpected changes in foreign exchange rates, but also its sensitivity to other key macroeconomic variables. This factor </w:t>
      </w:r>
      <w:proofErr w:type="gramStart"/>
      <w:r>
        <w:t>is known</w:t>
      </w:r>
      <w:proofErr w:type="gramEnd"/>
      <w:r>
        <w:t xml:space="preserve"> as </w:t>
      </w:r>
      <w:r>
        <w:rPr>
          <w:i/>
        </w:rPr>
        <w:t>macroeconomic uncertainty</w:t>
      </w:r>
      <w:r>
        <w:t>. Theory describes the parity relationships among exchange rates, interest rates, and inflation rates. However, these variables are often in disequilibrium with one another. Therefore, unexpected changes in interest rates and inflation rates could also have a simultaneous but differential impact on future cash flows and operating exposure.</w:t>
      </w:r>
    </w:p>
    <w:p w:rsidR="0096440F" w:rsidRDefault="00E9086F">
      <w:pPr>
        <w:pStyle w:val="MCQList1"/>
        <w:ind w:left="446" w:hanging="446"/>
      </w:pPr>
      <w:r>
        <w:tab/>
      </w:r>
      <w:proofErr w:type="gramStart"/>
      <w:r>
        <w:t>4</w:t>
      </w:r>
      <w:r w:rsidR="003A41CF">
        <w:t>.</w:t>
      </w:r>
      <w:r w:rsidR="003A41CF">
        <w:tab/>
      </w:r>
      <w:r w:rsidR="003A41CF">
        <w:rPr>
          <w:b/>
        </w:rPr>
        <w:t>Strategic Response.</w:t>
      </w:r>
      <w:proofErr w:type="gramEnd"/>
      <w:r w:rsidR="003A41CF">
        <w:t xml:space="preserve"> The objective of both operating and transaction exposure management is to anticipate and influence the effect of unexpected changes in exchange rates on a firm’s future cash flows. What strategic alternative policies exist to enable management to manage these exposures?</w:t>
      </w:r>
    </w:p>
    <w:p w:rsidR="0096440F" w:rsidRDefault="003A41CF" w:rsidP="00903C64">
      <w:pPr>
        <w:pStyle w:val="MCQAnswer"/>
      </w:pPr>
      <w:r>
        <w:t xml:space="preserve">To meet objectives of both operating exposure and transaction exposure management, firm management can diversify the </w:t>
      </w:r>
      <w:proofErr w:type="gramStart"/>
      <w:r>
        <w:t>firm’s</w:t>
      </w:r>
      <w:proofErr w:type="gramEnd"/>
      <w:r>
        <w:t xml:space="preserve"> operating and financing base. Management can also change the firm’s operating and financing policies. </w:t>
      </w:r>
    </w:p>
    <w:p w:rsidR="0096440F" w:rsidRDefault="00E9086F">
      <w:pPr>
        <w:pStyle w:val="MCQList1"/>
        <w:ind w:left="446" w:hanging="446"/>
      </w:pPr>
      <w:r>
        <w:tab/>
      </w:r>
      <w:proofErr w:type="gramStart"/>
      <w:r>
        <w:t>5</w:t>
      </w:r>
      <w:r w:rsidR="003A41CF">
        <w:t xml:space="preserve">. </w:t>
      </w:r>
      <w:r w:rsidR="003A41CF">
        <w:tab/>
      </w:r>
      <w:r w:rsidR="003A41CF">
        <w:tab/>
      </w:r>
      <w:r w:rsidR="003A41CF">
        <w:rPr>
          <w:b/>
        </w:rPr>
        <w:t>Managing Operating Exposure.</w:t>
      </w:r>
      <w:proofErr w:type="gramEnd"/>
      <w:r w:rsidR="003A41CF">
        <w:t xml:space="preserve"> The key to managing operating exposure at the strategic level is for management to recognize </w:t>
      </w:r>
      <w:proofErr w:type="gramStart"/>
      <w:r w:rsidR="003A41CF">
        <w:t>a disequilibrium</w:t>
      </w:r>
      <w:proofErr w:type="gramEnd"/>
      <w:r w:rsidR="003A41CF">
        <w:t xml:space="preserve"> in parity conditions when it occurs and to be prepositioned to react most appropriately. How </w:t>
      </w:r>
      <w:proofErr w:type="gramStart"/>
      <w:r w:rsidR="003A41CF">
        <w:t>can this task best be accomplished</w:t>
      </w:r>
      <w:proofErr w:type="gramEnd"/>
      <w:r w:rsidR="003A41CF">
        <w:t>?</w:t>
      </w:r>
    </w:p>
    <w:p w:rsidR="0096440F" w:rsidRDefault="003A41CF" w:rsidP="00903C64">
      <w:pPr>
        <w:pStyle w:val="MCQAnswer"/>
      </w:pPr>
      <w:r>
        <w:t xml:space="preserve">Managing operating exposure and transaction exposure at the strategic level task </w:t>
      </w:r>
      <w:proofErr w:type="gramStart"/>
      <w:r>
        <w:t>can best be accomplished</w:t>
      </w:r>
      <w:proofErr w:type="gramEnd"/>
      <w:r>
        <w:t xml:space="preserve"> if a firm diversifies internationally both its operating and its financing bases. Diversifying operations means diversifying sales, location of production facilities, and raw material sources. Diversifying the financing base means raising funds in more than one capital market and in more than one currency. A diversification strategy permits the firm to react either actively or passively, depending on management’s risk preference, to opportunities presented by disequilibrium conditions in the foreign exchange, capital, and product markets. Such a strategy does not require management to predict disequilibrium but only to recognize it when it occurs. It does require management to consider how competitors are pre-positioned with respect to their own operating exposures. This knowledge should reveal which firms </w:t>
      </w:r>
      <w:proofErr w:type="gramStart"/>
      <w:r>
        <w:t>would be helped or hurt competitively by alternative disequilibrium scenarios</w:t>
      </w:r>
      <w:proofErr w:type="gramEnd"/>
      <w:r>
        <w:t>.</w:t>
      </w:r>
    </w:p>
    <w:p w:rsidR="00E9086F" w:rsidRDefault="00E9086F" w:rsidP="00044836">
      <w:pPr>
        <w:pStyle w:val="MCQList1"/>
        <w:ind w:left="446" w:hanging="446"/>
        <w:rPr>
          <w:b/>
          <w:bCs/>
        </w:rPr>
      </w:pPr>
      <w:r>
        <w:tab/>
        <w:t>6.</w:t>
      </w:r>
      <w:r>
        <w:tab/>
      </w:r>
      <w:r>
        <w:rPr>
          <w:b/>
          <w:bCs/>
        </w:rPr>
        <w:t>Diversifying Operations</w:t>
      </w:r>
    </w:p>
    <w:p w:rsidR="00E9086F" w:rsidRDefault="00E9086F" w:rsidP="00E9086F">
      <w:pPr>
        <w:pStyle w:val="MCQList2"/>
      </w:pPr>
      <w:r>
        <w:t>a.</w:t>
      </w:r>
      <w:r>
        <w:tab/>
        <w:t>How can an MNE diversify operations?</w:t>
      </w:r>
    </w:p>
    <w:p w:rsidR="00E9086F" w:rsidRDefault="00903C64" w:rsidP="00903C64">
      <w:pPr>
        <w:pStyle w:val="MCQAnswerBL"/>
      </w:pPr>
      <w:r>
        <w:tab/>
      </w:r>
      <w:r w:rsidR="00E9086F">
        <w:t xml:space="preserve">Recognizing a temporary change in worldwide competitive conditions permits management to make changes in operating strategies. Management might make marginal shifts in sourcing raw materials, components, or finished products. If spare capacity exists, production runs </w:t>
      </w:r>
      <w:proofErr w:type="gramStart"/>
      <w:r w:rsidR="00E9086F">
        <w:t>can be lengthened in one country and reduced in another</w:t>
      </w:r>
      <w:proofErr w:type="gramEnd"/>
      <w:r w:rsidR="00E9086F">
        <w:t xml:space="preserve">. The marketing effort can be strengthened in export markets where the firm’s products have become more </w:t>
      </w:r>
      <w:proofErr w:type="gramStart"/>
      <w:r w:rsidR="00E9086F">
        <w:t>price</w:t>
      </w:r>
      <w:proofErr w:type="gramEnd"/>
      <w:r w:rsidR="00E9086F">
        <w:t xml:space="preserve"> competitive because of the disequilibrium condition. Management might notice a change in comparative costs in the firm’s own plants located in different countries. It might also observe changed profit margins or sales volume in one area compared to another, depending on price and income </w:t>
      </w:r>
      <w:proofErr w:type="spellStart"/>
      <w:r w:rsidR="00E9086F">
        <w:t>elasticities</w:t>
      </w:r>
      <w:proofErr w:type="spellEnd"/>
      <w:r w:rsidR="00E9086F">
        <w:t xml:space="preserve"> of demand and competitors’ reactions.</w:t>
      </w:r>
    </w:p>
    <w:p w:rsidR="0096440F" w:rsidRDefault="00903C64" w:rsidP="00903C64">
      <w:pPr>
        <w:pStyle w:val="MCQAnswerBL"/>
      </w:pPr>
      <w:r>
        <w:tab/>
      </w:r>
      <w:r w:rsidR="003A41CF">
        <w:t xml:space="preserve">Constraints exist that may limit the feasibility of diversifying production locations. The technology of a particular industry may require large economies of scale. High tech firms, such as Intel, prefer </w:t>
      </w:r>
      <w:r w:rsidR="003A41CF">
        <w:rPr>
          <w:spacing w:val="-3"/>
        </w:rPr>
        <w:t>to locate in places where they have easy access to other high tech suppliers, a highly educated workforce,</w:t>
      </w:r>
      <w:r w:rsidR="003A41CF">
        <w:t xml:space="preserve"> and one or more leading universities. Their R&amp;D efforts </w:t>
      </w:r>
      <w:proofErr w:type="gramStart"/>
      <w:r w:rsidR="003A41CF">
        <w:t>are tied</w:t>
      </w:r>
      <w:proofErr w:type="gramEnd"/>
      <w:r w:rsidR="003A41CF">
        <w:t xml:space="preserve"> </w:t>
      </w:r>
      <w:r w:rsidR="00044836">
        <w:t xml:space="preserve">closely </w:t>
      </w:r>
      <w:r w:rsidR="003A41CF">
        <w:t>to initial production and sales activities.</w:t>
      </w:r>
    </w:p>
    <w:p w:rsidR="0096440F" w:rsidRDefault="003A41CF">
      <w:pPr>
        <w:pStyle w:val="MCQList2"/>
      </w:pPr>
      <w:r>
        <w:t>b.</w:t>
      </w:r>
      <w:r>
        <w:tab/>
        <w:t>How can an MNE diversify financing?</w:t>
      </w:r>
    </w:p>
    <w:p w:rsidR="0096440F" w:rsidRDefault="00903C64" w:rsidP="00903C64">
      <w:pPr>
        <w:pStyle w:val="MCQAnswerBL"/>
      </w:pPr>
      <w:r>
        <w:tab/>
      </w:r>
      <w:r w:rsidR="003A41CF">
        <w:t xml:space="preserve">If a firm diversifies its financing sources, it will be pre-positioned to take advantage of temporary deviations from the international Fisher effect. If interest rate differentials do not equal expected changes in exchange rates, opportunities to lower a firm’s cost of capital will exist. However, to be able to switch financing sources, a firm </w:t>
      </w:r>
      <w:proofErr w:type="gramStart"/>
      <w:r w:rsidR="003A41CF">
        <w:t>must already be well known</w:t>
      </w:r>
      <w:proofErr w:type="gramEnd"/>
      <w:r w:rsidR="003A41CF">
        <w:t xml:space="preserve"> in the international investment community, with banking </w:t>
      </w:r>
      <w:r w:rsidR="003A41CF">
        <w:lastRenderedPageBreak/>
        <w:t>contacts firmly established. Diversifying sources of financing, regardless of the currency of denomination, can lower a firm’s cost of capital and increase its availability of capital. It could also diversify such risks as restrictive capital market policies, and other constraints if the firm is located in a segmented capital market. This is especially important for firms resident in emerging markets.</w:t>
      </w:r>
    </w:p>
    <w:p w:rsidR="0096440F" w:rsidRDefault="003A41CF" w:rsidP="00044836">
      <w:pPr>
        <w:pStyle w:val="MCQList1"/>
        <w:keepLines w:val="0"/>
        <w:ind w:left="446" w:hanging="446"/>
      </w:pPr>
      <w:r>
        <w:tab/>
      </w:r>
      <w:proofErr w:type="gramStart"/>
      <w:r w:rsidR="00E9086F">
        <w:t>7</w:t>
      </w:r>
      <w:r>
        <w:t>.</w:t>
      </w:r>
      <w:r>
        <w:tab/>
      </w:r>
      <w:r>
        <w:tab/>
      </w:r>
      <w:r>
        <w:rPr>
          <w:b/>
        </w:rPr>
        <w:t>Proactive Management of Operating Exposure</w:t>
      </w:r>
      <w:r w:rsidR="00044836">
        <w:rPr>
          <w:b/>
        </w:rPr>
        <w:t>.</w:t>
      </w:r>
      <w:proofErr w:type="gramEnd"/>
      <w:r w:rsidR="00044836">
        <w:t xml:space="preserve"> </w:t>
      </w:r>
      <w:r>
        <w:t xml:space="preserve">Operating and transaction exposures can be partially managed by adopting operating or financing </w:t>
      </w:r>
      <w:proofErr w:type="gramStart"/>
      <w:r>
        <w:t>policies</w:t>
      </w:r>
      <w:proofErr w:type="gramEnd"/>
      <w:r>
        <w:t xml:space="preserve"> that offset anticipated foreign exchange exposures. What are four of the most commonly employed proactive policies?</w:t>
      </w:r>
    </w:p>
    <w:p w:rsidR="0096440F" w:rsidRDefault="003A41CF" w:rsidP="00903C64">
      <w:pPr>
        <w:pStyle w:val="MCQAnswer"/>
      </w:pPr>
      <w:r>
        <w:t xml:space="preserve">Four of the most commonly employed proactive policies are </w:t>
      </w:r>
      <w:r w:rsidR="00044836">
        <w:t>(</w:t>
      </w:r>
      <w:r>
        <w:t>1) matching currency cash flows</w:t>
      </w:r>
      <w:r w:rsidR="00044836">
        <w:t>,</w:t>
      </w:r>
      <w:r>
        <w:t xml:space="preserve"> </w:t>
      </w:r>
      <w:r w:rsidR="00044836">
        <w:t>(</w:t>
      </w:r>
      <w:r>
        <w:t>2) risk-sharing agreements</w:t>
      </w:r>
      <w:r w:rsidR="00044836">
        <w:t>,</w:t>
      </w:r>
      <w:r>
        <w:t xml:space="preserve"> </w:t>
      </w:r>
      <w:r w:rsidR="00044836">
        <w:t>(</w:t>
      </w:r>
      <w:r>
        <w:t>3) back-to-back or parallel loans</w:t>
      </w:r>
      <w:r w:rsidR="00044836">
        <w:t>,</w:t>
      </w:r>
      <w:r>
        <w:t xml:space="preserve"> and </w:t>
      </w:r>
      <w:r w:rsidR="00044836">
        <w:t>(</w:t>
      </w:r>
      <w:r>
        <w:t>4) cross-currency swaps.</w:t>
      </w:r>
    </w:p>
    <w:p w:rsidR="0096440F" w:rsidRDefault="003A41CF">
      <w:pPr>
        <w:pStyle w:val="MCQList1"/>
        <w:keepNext w:val="0"/>
        <w:keepLines w:val="0"/>
        <w:ind w:left="446" w:hanging="446"/>
      </w:pPr>
      <w:r>
        <w:tab/>
      </w:r>
      <w:r w:rsidR="00E9086F">
        <w:t>8</w:t>
      </w:r>
      <w:r>
        <w:t>.</w:t>
      </w:r>
      <w:r>
        <w:tab/>
      </w:r>
      <w:r>
        <w:rPr>
          <w:b/>
        </w:rPr>
        <w:t>Matching Currency Exposure</w:t>
      </w:r>
    </w:p>
    <w:p w:rsidR="0096440F" w:rsidRDefault="003A41CF">
      <w:pPr>
        <w:pStyle w:val="MCQList2"/>
      </w:pPr>
      <w:r>
        <w:t>a.</w:t>
      </w:r>
      <w:r>
        <w:tab/>
        <w:t>Explain how matching currency cash flows can offset operating exposure.</w:t>
      </w:r>
    </w:p>
    <w:p w:rsidR="0096440F" w:rsidRDefault="00903C64" w:rsidP="00903C64">
      <w:pPr>
        <w:pStyle w:val="MCQAnswerBL"/>
      </w:pPr>
      <w:r>
        <w:tab/>
      </w:r>
      <w:r w:rsidR="003A41CF">
        <w:t xml:space="preserve">One way to offset an anticipated continuous long exposure to a particular currency is to acquire debt denominated in that currency, </w:t>
      </w:r>
      <w:r w:rsidR="005E1B5A">
        <w:t>f</w:t>
      </w:r>
      <w:r w:rsidR="003A41CF">
        <w:t xml:space="preserve">or example Japanese yen. A second alternative would be for the U.S. firm to seek out potential suppliers of raw materials or components in, for example, Japan as a substitute for U.S. or other foreign supplier. The firm would then possess not only an operational yen cash inflow, the receivable, but also a yen operational cash outflow, a payable. If the cash flows were roughly the same in magnitude and timing, the strategy would be a </w:t>
      </w:r>
      <w:r w:rsidR="003A41CF">
        <w:rPr>
          <w:i/>
        </w:rPr>
        <w:t>natural hedge</w:t>
      </w:r>
      <w:r w:rsidR="003A41CF">
        <w:t>. The term “natural” refers to operating-based activities of the firm. A third alternative, often referred to as currency switching, would be to pay foreign suppliers with yen. For example, if the U.S. firm imported components from Mexico, the Mexican firms themselves might welcome payment in yen because they are short yen in their multinational cash flow network.</w:t>
      </w:r>
    </w:p>
    <w:p w:rsidR="00E9086F" w:rsidRDefault="00E9086F" w:rsidP="00E9086F">
      <w:pPr>
        <w:pStyle w:val="MCQList2"/>
      </w:pPr>
      <w:r>
        <w:t>b.</w:t>
      </w:r>
      <w:r>
        <w:tab/>
        <w:t>Give an example of matching currency cash flows.</w:t>
      </w:r>
    </w:p>
    <w:p w:rsidR="00E9086F" w:rsidRDefault="00903C64" w:rsidP="00903C64">
      <w:pPr>
        <w:pStyle w:val="MCQAnswerBL"/>
      </w:pPr>
      <w:r>
        <w:tab/>
      </w:r>
      <w:r w:rsidR="00E9086F">
        <w:t xml:space="preserve">Assume a U.S. firm has operating exposure due to continuing export sales to Canada. In order to compete effectively in Canadian markets, the firm invoices all export sales in Canadian dollars. This policy results in a continuing receipt of Canadian dollars month after month. If the export sales are part of a continuing supplier relationship, the long Canadian dollar position is relatively predictable and constant. If the U.S. firm were to acquire part of its debt-capital in the Canadian dollar markets, it could use the relatively predictable Canadian dollar cash inflows from export sales to service the principal and interest payments on Canadian dollar debt and be cash flow matched. The U.S.-based firm has hedged an operational cash inflow by creating a financial cash outflow, and so it does not </w:t>
      </w:r>
      <w:r w:rsidR="00E9086F">
        <w:rPr>
          <w:spacing w:val="-2"/>
        </w:rPr>
        <w:t xml:space="preserve">have </w:t>
      </w:r>
      <w:proofErr w:type="gramStart"/>
      <w:r w:rsidR="00E9086F">
        <w:rPr>
          <w:spacing w:val="-2"/>
        </w:rPr>
        <w:t>to actively manage</w:t>
      </w:r>
      <w:proofErr w:type="gramEnd"/>
      <w:r w:rsidR="00E9086F">
        <w:rPr>
          <w:spacing w:val="-2"/>
        </w:rPr>
        <w:t xml:space="preserve"> the exposure with contractual financial instruments such as forward contracts.</w:t>
      </w:r>
      <w:r w:rsidR="00E9086F">
        <w:t xml:space="preserve"> </w:t>
      </w:r>
      <w:r w:rsidR="00E9086F">
        <w:rPr>
          <w:spacing w:val="-2"/>
        </w:rPr>
        <w:t>This form of hedging, sometimes referred to as matching, is effective in eliminating currency exposure</w:t>
      </w:r>
      <w:r w:rsidR="00E9086F">
        <w:t xml:space="preserve"> when the exposure cash flow is relatively constant and predictable over time.</w:t>
      </w:r>
    </w:p>
    <w:p w:rsidR="0096440F" w:rsidRDefault="003A41CF">
      <w:pPr>
        <w:pStyle w:val="MCQList1"/>
        <w:keepNext w:val="0"/>
        <w:keepLines w:val="0"/>
        <w:ind w:left="446" w:hanging="446"/>
      </w:pPr>
      <w:r>
        <w:tab/>
      </w:r>
      <w:proofErr w:type="gramStart"/>
      <w:r w:rsidR="00E9086F">
        <w:t>9</w:t>
      </w:r>
      <w:r>
        <w:t>.</w:t>
      </w:r>
      <w:r>
        <w:tab/>
      </w:r>
      <w:r>
        <w:rPr>
          <w:b/>
        </w:rPr>
        <w:t>Risk Sharing.</w:t>
      </w:r>
      <w:proofErr w:type="gramEnd"/>
      <w:r>
        <w:t xml:space="preserve"> An alternative arrangement for managing operating exposure between firms with a continuing buyer-supplier relationship is risk sharing. Explain how risk sharing works.</w:t>
      </w:r>
    </w:p>
    <w:p w:rsidR="0096440F" w:rsidRDefault="003A41CF" w:rsidP="00903C64">
      <w:pPr>
        <w:pStyle w:val="MCQAnswer"/>
      </w:pPr>
      <w:proofErr w:type="gramStart"/>
      <w:r>
        <w:rPr>
          <w:i/>
        </w:rPr>
        <w:t>Risk-sharing</w:t>
      </w:r>
      <w:proofErr w:type="gramEnd"/>
      <w:r>
        <w:t xml:space="preserve"> is a contractual arrangement in which the buyer and seller agree to “share” or split currency movement impacts on payments between them. If the two firms are interested in a long-term relationship based on product quality and supplier reliability and not on the whims of the currency markets, a cooperative agreement to share the burden of currency risk management may be in order. The risk-sharing arrangement </w:t>
      </w:r>
      <w:proofErr w:type="gramStart"/>
      <w:r>
        <w:t>is intended</w:t>
      </w:r>
      <w:proofErr w:type="gramEnd"/>
      <w:r>
        <w:t xml:space="preserve"> to smooth the impact on both parties of volatile and unpredictable exchange rate movements. Of course, a sustained appreciation of one currency versus the other would require the negotiation of a new sharing agreement, but the ultimate goal of the agreement is to alleviate currency pressures on the continuing business relationship. </w:t>
      </w:r>
      <w:r>
        <w:tab/>
      </w:r>
    </w:p>
    <w:p w:rsidR="0096440F" w:rsidRDefault="003A41CF" w:rsidP="00210DBF">
      <w:pPr>
        <w:pStyle w:val="MCQList1"/>
        <w:keepLines w:val="0"/>
        <w:ind w:left="446" w:hanging="446"/>
      </w:pPr>
      <w:proofErr w:type="gramStart"/>
      <w:r>
        <w:lastRenderedPageBreak/>
        <w:t>1</w:t>
      </w:r>
      <w:r w:rsidR="00E9086F">
        <w:t>0</w:t>
      </w:r>
      <w:r>
        <w:t>.</w:t>
      </w:r>
      <w:r>
        <w:tab/>
      </w:r>
      <w:r>
        <w:rPr>
          <w:b/>
        </w:rPr>
        <w:t>Back-to-Back Loans.</w:t>
      </w:r>
      <w:proofErr w:type="gramEnd"/>
      <w:r>
        <w:t xml:space="preserve"> Explain how back-to-back loans can hedge foreign exchange operating exposure.</w:t>
      </w:r>
    </w:p>
    <w:p w:rsidR="0096440F" w:rsidRDefault="003A41CF" w:rsidP="00903C64">
      <w:pPr>
        <w:pStyle w:val="MCQAnswer"/>
      </w:pPr>
      <w:r>
        <w:rPr>
          <w:spacing w:val="-3"/>
        </w:rPr>
        <w:t xml:space="preserve">A </w:t>
      </w:r>
      <w:r>
        <w:rPr>
          <w:i/>
          <w:spacing w:val="-3"/>
        </w:rPr>
        <w:t>back-to-back loan</w:t>
      </w:r>
      <w:r>
        <w:rPr>
          <w:spacing w:val="-3"/>
        </w:rPr>
        <w:t xml:space="preserve">, also referred to as a </w:t>
      </w:r>
      <w:r>
        <w:rPr>
          <w:i/>
          <w:spacing w:val="-3"/>
        </w:rPr>
        <w:t>parallel loan</w:t>
      </w:r>
      <w:r>
        <w:rPr>
          <w:spacing w:val="-3"/>
        </w:rPr>
        <w:t xml:space="preserve"> or </w:t>
      </w:r>
      <w:r>
        <w:rPr>
          <w:i/>
          <w:spacing w:val="-3"/>
        </w:rPr>
        <w:t>credit swap</w:t>
      </w:r>
      <w:r>
        <w:rPr>
          <w:spacing w:val="-3"/>
        </w:rPr>
        <w:t>, occurs when two business firms in</w:t>
      </w:r>
      <w:r>
        <w:t xml:space="preserve"> separate countries arrange to borrow each other’s currency for a specific </w:t>
      </w:r>
      <w:proofErr w:type="gramStart"/>
      <w:r>
        <w:t>period of time</w:t>
      </w:r>
      <w:proofErr w:type="gramEnd"/>
      <w:r>
        <w:t xml:space="preserve">. At an agreed terminal </w:t>
      </w:r>
      <w:proofErr w:type="gramStart"/>
      <w:r>
        <w:t>date</w:t>
      </w:r>
      <w:proofErr w:type="gramEnd"/>
      <w:r>
        <w:t xml:space="preserve"> they return the borrowed currencies. The operation </w:t>
      </w:r>
      <w:proofErr w:type="gramStart"/>
      <w:r>
        <w:t>is conducted</w:t>
      </w:r>
      <w:proofErr w:type="gramEnd"/>
      <w:r>
        <w:t xml:space="preserve"> outside the foreign exchange markets, although spot quotations may be used as the reference point for determining the amount of funds to be swapped. Such a swap creates a covered hedge against exchange loss, </w:t>
      </w:r>
      <w:r w:rsidR="005E1B5A">
        <w:t xml:space="preserve">because </w:t>
      </w:r>
      <w:r>
        <w:t xml:space="preserve">each company, on its own books, borrows the same currency it repays. Back-to-back loans </w:t>
      </w:r>
      <w:proofErr w:type="gramStart"/>
      <w:r>
        <w:t>are also used</w:t>
      </w:r>
      <w:proofErr w:type="gramEnd"/>
      <w:r>
        <w:t xml:space="preserve"> at a time of actual or anticipated legal limitations on the transfer of investment funds to or from either country.</w:t>
      </w:r>
    </w:p>
    <w:p w:rsidR="0096440F" w:rsidRDefault="003A41CF">
      <w:pPr>
        <w:pStyle w:val="MCQList1"/>
        <w:keepNext w:val="0"/>
        <w:keepLines w:val="0"/>
        <w:ind w:left="446" w:hanging="446"/>
      </w:pPr>
      <w:proofErr w:type="gramStart"/>
      <w:r>
        <w:t>1</w:t>
      </w:r>
      <w:r w:rsidR="00E9086F">
        <w:t>1</w:t>
      </w:r>
      <w:r>
        <w:t xml:space="preserve">. </w:t>
      </w:r>
      <w:r>
        <w:tab/>
      </w:r>
      <w:r>
        <w:rPr>
          <w:b/>
        </w:rPr>
        <w:t>Currency Swaps.</w:t>
      </w:r>
      <w:proofErr w:type="gramEnd"/>
      <w:r>
        <w:t xml:space="preserve"> Explain how currency swaps can hedge foreign exchange operating exposure. What are the accounting advantages of currency swaps?</w:t>
      </w:r>
    </w:p>
    <w:p w:rsidR="0096440F" w:rsidRDefault="003A41CF" w:rsidP="00903C64">
      <w:pPr>
        <w:pStyle w:val="MCQAnswer"/>
      </w:pPr>
      <w:r>
        <w:t xml:space="preserve">A </w:t>
      </w:r>
      <w:r>
        <w:rPr>
          <w:i/>
        </w:rPr>
        <w:t>cross currency swap</w:t>
      </w:r>
      <w:r>
        <w:t xml:space="preserve"> resembles a back-to-back loan except that it does not appear on a firm’s balance sheet. The term swap is widely used to describe a foreign exchange agreement between two parties to exchange a given amount of one currency for another and, after a </w:t>
      </w:r>
      <w:proofErr w:type="gramStart"/>
      <w:r>
        <w:t>period of time</w:t>
      </w:r>
      <w:proofErr w:type="gramEnd"/>
      <w:r>
        <w:t>, to give back the original amounts swapped. In a currency swap, a firm and a swap dealer or swap bank agree to excha</w:t>
      </w:r>
      <w:bookmarkStart w:id="0" w:name="_GoBack"/>
      <w:bookmarkEnd w:id="0"/>
      <w:r>
        <w:t xml:space="preserve">nge an equivalent amount of two different currencies for a specified </w:t>
      </w:r>
      <w:proofErr w:type="gramStart"/>
      <w:r>
        <w:t>period of time</w:t>
      </w:r>
      <w:proofErr w:type="gramEnd"/>
      <w:r>
        <w:t xml:space="preserve">. Currency swaps </w:t>
      </w:r>
      <w:proofErr w:type="gramStart"/>
      <w:r>
        <w:t>can be negotiated</w:t>
      </w:r>
      <w:proofErr w:type="gramEnd"/>
      <w:r>
        <w:t xml:space="preserve"> for a wide range of maturities up to at least 10 years. If funds are more expensive in one country than another, a fee may be required to compensate for the interest differential. The swap dealer or swap bank acts as </w:t>
      </w:r>
      <w:proofErr w:type="gramStart"/>
      <w:r>
        <w:t>a middleman</w:t>
      </w:r>
      <w:proofErr w:type="gramEnd"/>
      <w:r>
        <w:t xml:space="preserve"> in setting up the swap agreement.</w:t>
      </w:r>
    </w:p>
    <w:p w:rsidR="0096440F" w:rsidRDefault="003A41CF" w:rsidP="00903C64">
      <w:pPr>
        <w:pStyle w:val="MCQAnswer"/>
      </w:pPr>
      <w:r>
        <w:t xml:space="preserve">Accountants in the United States treat the currency swap as a foreign exchange transaction rather than as debt and treat the obligation to reverse the swap </w:t>
      </w:r>
      <w:proofErr w:type="gramStart"/>
      <w:r>
        <w:t>at some later date</w:t>
      </w:r>
      <w:proofErr w:type="gramEnd"/>
      <w:r>
        <w:t xml:space="preserve"> as a forward exchange contract. Forward exchange contracts </w:t>
      </w:r>
      <w:proofErr w:type="gramStart"/>
      <w:r>
        <w:t>can be matched</w:t>
      </w:r>
      <w:proofErr w:type="gramEnd"/>
      <w:r>
        <w:t xml:space="preserve"> against assets, but they are entered in a firm’s footnotes rather than as balance sheet items. The result is that both translation and operating exposures </w:t>
      </w:r>
      <w:proofErr w:type="gramStart"/>
      <w:r>
        <w:t>are avoided</w:t>
      </w:r>
      <w:proofErr w:type="gramEnd"/>
      <w:r>
        <w:t>, and neither a long-term receivable nor a long-term debt is created on the balance sheet.</w:t>
      </w:r>
    </w:p>
    <w:p w:rsidR="0096440F" w:rsidRDefault="003A41CF">
      <w:pPr>
        <w:pStyle w:val="MCQList1"/>
        <w:ind w:left="446" w:hanging="446"/>
      </w:pPr>
      <w:proofErr w:type="gramStart"/>
      <w:r>
        <w:t>1</w:t>
      </w:r>
      <w:r w:rsidR="00E9086F">
        <w:t>2</w:t>
      </w:r>
      <w:r>
        <w:t>.</w:t>
      </w:r>
      <w:r>
        <w:tab/>
      </w:r>
      <w:r>
        <w:rPr>
          <w:b/>
        </w:rPr>
        <w:t>Contractual Hedging.</w:t>
      </w:r>
      <w:proofErr w:type="gramEnd"/>
      <w:r>
        <w:t xml:space="preserve"> Merck is an MNE that has undertaken contractual hedging of its operating exposure.</w:t>
      </w:r>
    </w:p>
    <w:p w:rsidR="0096440F" w:rsidRDefault="003A41CF">
      <w:pPr>
        <w:pStyle w:val="MCQList2"/>
      </w:pPr>
      <w:r>
        <w:t>a.</w:t>
      </w:r>
      <w:r>
        <w:tab/>
        <w:t>How do they accomplish this task?</w:t>
      </w:r>
    </w:p>
    <w:p w:rsidR="0096440F" w:rsidRDefault="00903C64" w:rsidP="00903C64">
      <w:pPr>
        <w:pStyle w:val="MCQAnswerBL"/>
      </w:pPr>
      <w:r>
        <w:tab/>
      </w:r>
      <w:r w:rsidR="003A41CF">
        <w:t>Merck has undertaken long-term currency option positions, hedges designed to offset lost earnings from adverse exchange rate changes.</w:t>
      </w:r>
    </w:p>
    <w:p w:rsidR="0096440F" w:rsidRDefault="003A41CF">
      <w:pPr>
        <w:pStyle w:val="MCQList2"/>
      </w:pPr>
      <w:r>
        <w:t>b.</w:t>
      </w:r>
      <w:r>
        <w:tab/>
      </w:r>
      <w:r>
        <w:rPr>
          <w:spacing w:val="-3"/>
        </w:rPr>
        <w:t>What assumptions do they make in order to justify contractual hedging of their operating exposure?</w:t>
      </w:r>
    </w:p>
    <w:p w:rsidR="0096440F" w:rsidRDefault="00903C64" w:rsidP="00903C64">
      <w:pPr>
        <w:pStyle w:val="MCQAnswerBL"/>
      </w:pPr>
      <w:r>
        <w:tab/>
      </w:r>
      <w:r w:rsidR="003A41CF">
        <w:t>The ability of firms to hedge the “</w:t>
      </w:r>
      <w:proofErr w:type="spellStart"/>
      <w:r w:rsidR="003A41CF">
        <w:t>unhedgeable</w:t>
      </w:r>
      <w:proofErr w:type="spellEnd"/>
      <w:r w:rsidR="003A41CF">
        <w:t xml:space="preserve">” is dependent upon the assumption of predictability: </w:t>
      </w:r>
      <w:r w:rsidR="00FA4F17">
        <w:t>(</w:t>
      </w:r>
      <w:r w:rsidR="003A41CF">
        <w:rPr>
          <w:spacing w:val="-2"/>
        </w:rPr>
        <w:t xml:space="preserve">1) the predictability of the firm’s future cash flows, and </w:t>
      </w:r>
      <w:r w:rsidR="00FA4F17">
        <w:rPr>
          <w:spacing w:val="-2"/>
        </w:rPr>
        <w:t>(</w:t>
      </w:r>
      <w:r w:rsidR="003A41CF">
        <w:rPr>
          <w:spacing w:val="-2"/>
        </w:rPr>
        <w:t>2) the predictability of the firm’s competitor’s</w:t>
      </w:r>
      <w:r w:rsidR="003A41CF">
        <w:t xml:space="preserve"> responses to exchange rate changes. Although the management of many firms may </w:t>
      </w:r>
      <w:proofErr w:type="gramStart"/>
      <w:r w:rsidR="003A41CF">
        <w:t>believe</w:t>
      </w:r>
      <w:proofErr w:type="gramEnd"/>
      <w:r w:rsidR="003A41CF">
        <w:t xml:space="preserve"> they are capable of predicting their own cash flows, few in practice feel capable of accurately predicting competitor response. Many firms still find even timely measurement of exposure a challenge. Merck is an example of a firm whose management feels capable of both. The company possesses relatively predictable long-run revenue streams due to the product-niche nature of the pharmaceuticals industry. As a U.S.-based exporter to foreign markets, markets in which sales levels by product are relatively predictable and prices are often regulated by government, Merck can accurately predict net long-term </w:t>
      </w:r>
      <w:r w:rsidR="003A41CF">
        <w:rPr>
          <w:spacing w:val="-2"/>
        </w:rPr>
        <w:t>cash flows in foreign currencies five and ten years into the future. Merck has a relatively undiversified</w:t>
      </w:r>
      <w:r w:rsidR="003A41CF">
        <w:t xml:space="preserve"> operating structure. It is highly centralized in terms of where research, development, and production costs are located. Merck’s managers feel Merck has no real alternatives but contractual hedging if it is to weather long-term unexpected exchange rate changes. Merck has purchased over-the-counter </w:t>
      </w:r>
      <w:r w:rsidR="003A41CF">
        <w:rPr>
          <w:spacing w:val="-2"/>
        </w:rPr>
        <w:t xml:space="preserve">(OTC) long-term put options </w:t>
      </w:r>
      <w:proofErr w:type="gramStart"/>
      <w:r w:rsidR="003A41CF">
        <w:rPr>
          <w:spacing w:val="-2"/>
        </w:rPr>
        <w:t>on foreign currencies versus the U.S. dollar as insurance against potential</w:t>
      </w:r>
      <w:r w:rsidR="003A41CF">
        <w:t xml:space="preserve"> lost earnings from exchange rate changes</w:t>
      </w:r>
      <w:proofErr w:type="gramEnd"/>
      <w:r w:rsidR="003A41CF">
        <w:t>. In Merck’s case, the predictability of competitor response to exchange rate changes is less pertinent given the niche-market nature of pharmaceutical products.</w:t>
      </w:r>
    </w:p>
    <w:p w:rsidR="0096440F" w:rsidRDefault="003A41CF" w:rsidP="00903C64">
      <w:pPr>
        <w:pStyle w:val="MCQList2"/>
        <w:keepNext/>
      </w:pPr>
      <w:r>
        <w:lastRenderedPageBreak/>
        <w:t>c.</w:t>
      </w:r>
      <w:r>
        <w:tab/>
        <w:t>How effective is such contractual hedging in your opinion? Explain your reasoning.</w:t>
      </w:r>
    </w:p>
    <w:p w:rsidR="003A41CF" w:rsidRDefault="00903C64" w:rsidP="00903C64">
      <w:pPr>
        <w:pStyle w:val="MCQAnswerBL"/>
      </w:pPr>
      <w:r>
        <w:tab/>
      </w:r>
      <w:r w:rsidR="003A41CF">
        <w:t xml:space="preserve">A significant question remains as to the true effectiveness of hedging operating exposure with contractual hedges. The fact remains that even after feared exchange rate movements and put option position payoffs have occurred, the firm is competitively disadvantaged. The capital outlay required </w:t>
      </w:r>
      <w:r w:rsidR="003A41CF">
        <w:rPr>
          <w:spacing w:val="-2"/>
        </w:rPr>
        <w:t>for the purchase of such sizable put option positions is capital not used for the potential diversification</w:t>
      </w:r>
      <w:r w:rsidR="003A41CF">
        <w:t xml:space="preserve"> of operations, which in the </w:t>
      </w:r>
      <w:proofErr w:type="gramStart"/>
      <w:r w:rsidR="003A41CF">
        <w:t>long run</w:t>
      </w:r>
      <w:proofErr w:type="gramEnd"/>
      <w:r w:rsidR="003A41CF">
        <w:t xml:space="preserve"> might have more effectively maintained the firm’s global market share and international competitiveness.</w:t>
      </w:r>
    </w:p>
    <w:sectPr w:rsidR="003A41CF" w:rsidSect="00FA4F17">
      <w:headerReference w:type="even" r:id="rId9"/>
      <w:headerReference w:type="default" r:id="rId10"/>
      <w:footerReference w:type="even" r:id="rId11"/>
      <w:footerReference w:type="default" r:id="rId12"/>
      <w:headerReference w:type="first" r:id="rId13"/>
      <w:footerReference w:type="first" r:id="rId14"/>
      <w:pgSz w:w="12240" w:h="15840"/>
      <w:pgMar w:top="1008" w:right="1008" w:bottom="1008" w:left="1800" w:header="1008" w:footer="720" w:gutter="0"/>
      <w:pgNumType w:start="65"/>
      <w:cols w:space="720"/>
      <w:titlePg/>
      <w:docGrid w:linePitch="20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6E85" w:rsidRDefault="00F86E85">
      <w:r>
        <w:separator/>
      </w:r>
    </w:p>
  </w:endnote>
  <w:endnote w:type="continuationSeparator" w:id="0">
    <w:p w:rsidR="00F86E85" w:rsidRDefault="00F86E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Times">
    <w:panose1 w:val="02020603050405020304"/>
    <w:charset w:val="00"/>
    <w:family w:val="roman"/>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Narrow">
    <w:panose1 w:val="020B05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440F" w:rsidRDefault="003A41CF">
    <w:pPr>
      <w:pStyle w:val="Footer"/>
      <w:pBdr>
        <w:top w:val="single" w:sz="4" w:space="1" w:color="auto"/>
      </w:pBdr>
      <w:spacing w:before="360"/>
      <w:jc w:val="center"/>
      <w:rPr>
        <w:rFonts w:ascii="Times" w:hAnsi="Times"/>
        <w:sz w:val="18"/>
      </w:rPr>
    </w:pPr>
    <w:r>
      <w:rPr>
        <w:rFonts w:ascii="Times" w:hAnsi="Times"/>
        <w:sz w:val="18"/>
      </w:rPr>
      <w:t>© 201</w:t>
    </w:r>
    <w:r w:rsidR="003206BA">
      <w:rPr>
        <w:rFonts w:ascii="Times" w:hAnsi="Times"/>
        <w:sz w:val="18"/>
      </w:rPr>
      <w:t>5</w:t>
    </w:r>
    <w:r>
      <w:rPr>
        <w:rFonts w:ascii="Times" w:hAnsi="Times"/>
        <w:sz w:val="18"/>
      </w:rPr>
      <w:t xml:space="preserve"> Pearson Education, Inc.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440F" w:rsidRDefault="003A41CF">
    <w:pPr>
      <w:pStyle w:val="Footer"/>
      <w:pBdr>
        <w:top w:val="single" w:sz="4" w:space="1" w:color="auto"/>
      </w:pBdr>
      <w:spacing w:before="360"/>
      <w:jc w:val="center"/>
      <w:rPr>
        <w:rFonts w:ascii="Times" w:hAnsi="Times"/>
        <w:sz w:val="18"/>
      </w:rPr>
    </w:pPr>
    <w:r>
      <w:rPr>
        <w:rFonts w:ascii="Times" w:hAnsi="Times"/>
        <w:sz w:val="18"/>
      </w:rPr>
      <w:t>© 201</w:t>
    </w:r>
    <w:r w:rsidR="003206BA">
      <w:rPr>
        <w:rFonts w:ascii="Times" w:hAnsi="Times"/>
        <w:sz w:val="18"/>
      </w:rPr>
      <w:t>5</w:t>
    </w:r>
    <w:r>
      <w:rPr>
        <w:rFonts w:ascii="Times" w:hAnsi="Times"/>
        <w:sz w:val="18"/>
      </w:rPr>
      <w:t xml:space="preserve"> Pearson Education, Inc.</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440F" w:rsidRDefault="003A41CF">
    <w:pPr>
      <w:pStyle w:val="Footer"/>
      <w:pBdr>
        <w:top w:val="single" w:sz="4" w:space="1" w:color="auto"/>
      </w:pBdr>
      <w:spacing w:before="360"/>
      <w:jc w:val="center"/>
      <w:rPr>
        <w:rFonts w:ascii="Times" w:hAnsi="Times"/>
        <w:sz w:val="18"/>
      </w:rPr>
    </w:pPr>
    <w:r>
      <w:rPr>
        <w:rFonts w:ascii="Times" w:hAnsi="Times"/>
        <w:sz w:val="18"/>
      </w:rPr>
      <w:t>© 201</w:t>
    </w:r>
    <w:r w:rsidR="003206BA">
      <w:rPr>
        <w:rFonts w:ascii="Times" w:hAnsi="Times"/>
        <w:sz w:val="18"/>
      </w:rPr>
      <w:t>5</w:t>
    </w:r>
    <w:r>
      <w:rPr>
        <w:rFonts w:ascii="Times" w:hAnsi="Times"/>
        <w:sz w:val="18"/>
      </w:rPr>
      <w:t xml:space="preserve"> Pearson Education, Inc.</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6E85" w:rsidRDefault="00F86E85">
      <w:r>
        <w:separator/>
      </w:r>
    </w:p>
  </w:footnote>
  <w:footnote w:type="continuationSeparator" w:id="0">
    <w:p w:rsidR="00F86E85" w:rsidRDefault="00F86E8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440F" w:rsidRDefault="003A41CF">
    <w:pPr>
      <w:pStyle w:val="VersoHeader"/>
    </w:pPr>
    <w:r>
      <w:rPr>
        <w:rStyle w:val="PageNumber"/>
      </w:rPr>
      <w:fldChar w:fldCharType="begin"/>
    </w:r>
    <w:r>
      <w:rPr>
        <w:rStyle w:val="PageNumber"/>
      </w:rPr>
      <w:instrText xml:space="preserve"> PAGE </w:instrText>
    </w:r>
    <w:r>
      <w:rPr>
        <w:rStyle w:val="PageNumber"/>
      </w:rPr>
      <w:fldChar w:fldCharType="separate"/>
    </w:r>
    <w:r w:rsidR="00501B2D">
      <w:rPr>
        <w:rStyle w:val="PageNumber"/>
        <w:noProof/>
      </w:rPr>
      <w:t>70</w:t>
    </w:r>
    <w:r>
      <w:rPr>
        <w:rStyle w:val="PageNumber"/>
      </w:rPr>
      <w:fldChar w:fldCharType="end"/>
    </w:r>
    <w:r>
      <w:t> </w:t>
    </w:r>
    <w:r>
      <w:t> </w:t>
    </w:r>
    <w:r>
      <w:t>Moffett</w:t>
    </w:r>
    <w:r>
      <w:rPr>
        <w:rFonts w:cs="Arial"/>
        <w:color w:val="000000"/>
      </w:rPr>
      <w:t>/</w:t>
    </w:r>
    <w:proofErr w:type="spellStart"/>
    <w:r>
      <w:rPr>
        <w:rFonts w:cs="Arial"/>
        <w:color w:val="000000"/>
      </w:rPr>
      <w:t>Stonehill</w:t>
    </w:r>
    <w:proofErr w:type="spellEnd"/>
    <w:r>
      <w:rPr>
        <w:rFonts w:cs="Arial"/>
        <w:color w:val="000000"/>
      </w:rPr>
      <w:t>/</w:t>
    </w:r>
    <w:proofErr w:type="spellStart"/>
    <w:r>
      <w:rPr>
        <w:rFonts w:cs="Arial"/>
        <w:color w:val="000000"/>
      </w:rPr>
      <w:t>Eiteman</w:t>
    </w:r>
    <w:proofErr w:type="spellEnd"/>
    <w:r>
      <w:t> </w:t>
    </w:r>
    <w:r>
      <w:t>•</w:t>
    </w:r>
    <w:r>
      <w:t> </w:t>
    </w:r>
    <w:r>
      <w:rPr>
        <w:i/>
        <w:iCs/>
      </w:rPr>
      <w:t>Fundamentals of Multinational Finance,</w:t>
    </w:r>
    <w:r>
      <w:rPr>
        <w:i/>
      </w:rPr>
      <w:t xml:space="preserve"> </w:t>
    </w:r>
    <w:r>
      <w:t>F</w:t>
    </w:r>
    <w:r w:rsidR="00E9086F">
      <w:t>if</w:t>
    </w:r>
    <w:r>
      <w:t>th Edition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440F" w:rsidRDefault="003A41CF">
    <w:pPr>
      <w:pStyle w:val="RectoHeader"/>
    </w:pPr>
    <w:r>
      <w:t>Chapter 11</w:t>
    </w:r>
    <w:r>
      <w:t> </w:t>
    </w:r>
    <w:r>
      <w:t>Operating Exposure</w:t>
    </w:r>
    <w:r>
      <w:t> </w:t>
    </w:r>
    <w:r>
      <w:t> </w:t>
    </w:r>
    <w:r>
      <w:rPr>
        <w:rStyle w:val="PageNumber"/>
      </w:rPr>
      <w:fldChar w:fldCharType="begin"/>
    </w:r>
    <w:r>
      <w:rPr>
        <w:rStyle w:val="PageNumber"/>
      </w:rPr>
      <w:instrText xml:space="preserve"> PAGE </w:instrText>
    </w:r>
    <w:r>
      <w:rPr>
        <w:rStyle w:val="PageNumber"/>
      </w:rPr>
      <w:fldChar w:fldCharType="separate"/>
    </w:r>
    <w:r w:rsidR="00501B2D">
      <w:rPr>
        <w:rStyle w:val="PageNumber"/>
      </w:rPr>
      <w:t>69</w:t>
    </w:r>
    <w:r>
      <w:rPr>
        <w:rStyle w:val="PageNumber"/>
      </w:rPr>
      <w:fldChar w:fldCharType="end"/>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206BA" w:rsidRDefault="003206B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2494B070"/>
    <w:lvl w:ilvl="0">
      <w:start w:val="1"/>
      <w:numFmt w:val="decimal"/>
      <w:lvlText w:val="%1."/>
      <w:lvlJc w:val="left"/>
      <w:pPr>
        <w:tabs>
          <w:tab w:val="num" w:pos="1800"/>
        </w:tabs>
        <w:ind w:left="1800" w:hanging="360"/>
      </w:pPr>
      <w:rPr>
        <w:rFonts w:cs="Times New Roman"/>
      </w:rPr>
    </w:lvl>
  </w:abstractNum>
  <w:abstractNum w:abstractNumId="1">
    <w:nsid w:val="FFFFFF7D"/>
    <w:multiLevelType w:val="singleLevel"/>
    <w:tmpl w:val="B4EEAEF2"/>
    <w:lvl w:ilvl="0">
      <w:start w:val="1"/>
      <w:numFmt w:val="decimal"/>
      <w:lvlText w:val="%1."/>
      <w:lvlJc w:val="left"/>
      <w:pPr>
        <w:tabs>
          <w:tab w:val="num" w:pos="1440"/>
        </w:tabs>
        <w:ind w:left="1440" w:hanging="360"/>
      </w:pPr>
      <w:rPr>
        <w:rFonts w:cs="Times New Roman"/>
      </w:rPr>
    </w:lvl>
  </w:abstractNum>
  <w:abstractNum w:abstractNumId="2">
    <w:nsid w:val="FFFFFF7E"/>
    <w:multiLevelType w:val="singleLevel"/>
    <w:tmpl w:val="38DA6680"/>
    <w:lvl w:ilvl="0">
      <w:start w:val="1"/>
      <w:numFmt w:val="decimal"/>
      <w:lvlText w:val="%1."/>
      <w:lvlJc w:val="left"/>
      <w:pPr>
        <w:tabs>
          <w:tab w:val="num" w:pos="1080"/>
        </w:tabs>
        <w:ind w:left="1080" w:hanging="360"/>
      </w:pPr>
      <w:rPr>
        <w:rFonts w:cs="Times New Roman"/>
      </w:rPr>
    </w:lvl>
  </w:abstractNum>
  <w:abstractNum w:abstractNumId="3">
    <w:nsid w:val="FFFFFF7F"/>
    <w:multiLevelType w:val="singleLevel"/>
    <w:tmpl w:val="4B2E9DAC"/>
    <w:lvl w:ilvl="0">
      <w:start w:val="1"/>
      <w:numFmt w:val="decimal"/>
      <w:lvlText w:val="%1."/>
      <w:lvlJc w:val="left"/>
      <w:pPr>
        <w:tabs>
          <w:tab w:val="num" w:pos="720"/>
        </w:tabs>
        <w:ind w:left="720" w:hanging="360"/>
      </w:pPr>
      <w:rPr>
        <w:rFonts w:cs="Times New Roman"/>
      </w:rPr>
    </w:lvl>
  </w:abstractNum>
  <w:abstractNum w:abstractNumId="4">
    <w:nsid w:val="FFFFFF80"/>
    <w:multiLevelType w:val="singleLevel"/>
    <w:tmpl w:val="6F8601C6"/>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14DC8860"/>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5A4AC2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15001EBA"/>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5E14A06E"/>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D9EE3094"/>
    <w:lvl w:ilvl="0">
      <w:start w:val="1"/>
      <w:numFmt w:val="bullet"/>
      <w:lvlText w:val=""/>
      <w:lvlJc w:val="left"/>
      <w:pPr>
        <w:tabs>
          <w:tab w:val="num" w:pos="360"/>
        </w:tabs>
        <w:ind w:left="360" w:hanging="360"/>
      </w:pPr>
      <w:rPr>
        <w:rFonts w:ascii="Symbol" w:hAnsi="Symbol" w:hint="default"/>
      </w:rPr>
    </w:lvl>
  </w:abstractNum>
  <w:abstractNum w:abstractNumId="10">
    <w:nsid w:val="00000001"/>
    <w:multiLevelType w:val="singleLevel"/>
    <w:tmpl w:val="00000001"/>
    <w:lvl w:ilvl="0">
      <w:start w:val="1"/>
      <w:numFmt w:val="lowerLetter"/>
      <w:suff w:val="nothing"/>
      <w:lvlText w:val="%1."/>
      <w:lvlJc w:val="left"/>
      <w:rPr>
        <w:rFonts w:cs="Times New Roman"/>
      </w:rPr>
    </w:lvl>
  </w:abstractNum>
  <w:abstractNum w:abstractNumId="11">
    <w:nsid w:val="00000002"/>
    <w:multiLevelType w:val="singleLevel"/>
    <w:tmpl w:val="00000002"/>
    <w:lvl w:ilvl="0">
      <w:start w:val="1"/>
      <w:numFmt w:val="lowerLetter"/>
      <w:suff w:val="nothing"/>
      <w:lvlText w:val="%1."/>
      <w:lvlJc w:val="left"/>
      <w:rPr>
        <w:rFonts w:cs="Times New Roman"/>
      </w:rPr>
    </w:lvl>
  </w:abstractNum>
  <w:abstractNum w:abstractNumId="12">
    <w:nsid w:val="00000003"/>
    <w:multiLevelType w:val="singleLevel"/>
    <w:tmpl w:val="00000003"/>
    <w:lvl w:ilvl="0">
      <w:start w:val="1"/>
      <w:numFmt w:val="lowerLetter"/>
      <w:suff w:val="nothing"/>
      <w:lvlText w:val="%1."/>
      <w:lvlJc w:val="left"/>
      <w:rPr>
        <w:rFonts w:cs="Times New Roman"/>
      </w:rPr>
    </w:lvl>
  </w:abstractNum>
  <w:abstractNum w:abstractNumId="13">
    <w:nsid w:val="01F666CE"/>
    <w:multiLevelType w:val="hybridMultilevel"/>
    <w:tmpl w:val="C2AE2706"/>
    <w:lvl w:ilvl="0" w:tplc="7CD2096C">
      <w:start w:val="1"/>
      <w:numFmt w:val="upperLetter"/>
      <w:pStyle w:val="OutlineA"/>
      <w:lvlText w:val="%1."/>
      <w:lvlJc w:val="left"/>
      <w:pPr>
        <w:ind w:left="1530" w:hanging="360"/>
      </w:pPr>
      <w:rPr>
        <w:rFonts w:hint="default"/>
      </w:r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14">
    <w:nsid w:val="02F81989"/>
    <w:multiLevelType w:val="hybridMultilevel"/>
    <w:tmpl w:val="02D276CE"/>
    <w:lvl w:ilvl="0" w:tplc="5E240388">
      <w:start w:val="1"/>
      <w:numFmt w:val="decimal"/>
      <w:pStyle w:val="Outlline1"/>
      <w:lvlText w:val="%1."/>
      <w:lvlJc w:val="left"/>
      <w:pPr>
        <w:ind w:left="1890" w:hanging="360"/>
      </w:pPr>
    </w:lvl>
    <w:lvl w:ilvl="1" w:tplc="04090019" w:tentative="1">
      <w:start w:val="1"/>
      <w:numFmt w:val="lowerLetter"/>
      <w:lvlText w:val="%2."/>
      <w:lvlJc w:val="left"/>
      <w:pPr>
        <w:ind w:left="2610" w:hanging="360"/>
      </w:pPr>
    </w:lvl>
    <w:lvl w:ilvl="2" w:tplc="0409001B" w:tentative="1">
      <w:start w:val="1"/>
      <w:numFmt w:val="lowerRoman"/>
      <w:lvlText w:val="%3."/>
      <w:lvlJc w:val="right"/>
      <w:pPr>
        <w:ind w:left="3330" w:hanging="180"/>
      </w:pPr>
    </w:lvl>
    <w:lvl w:ilvl="3" w:tplc="0409000F" w:tentative="1">
      <w:start w:val="1"/>
      <w:numFmt w:val="decimal"/>
      <w:lvlText w:val="%4."/>
      <w:lvlJc w:val="left"/>
      <w:pPr>
        <w:ind w:left="4050" w:hanging="360"/>
      </w:pPr>
    </w:lvl>
    <w:lvl w:ilvl="4" w:tplc="04090019" w:tentative="1">
      <w:start w:val="1"/>
      <w:numFmt w:val="lowerLetter"/>
      <w:lvlText w:val="%5."/>
      <w:lvlJc w:val="left"/>
      <w:pPr>
        <w:ind w:left="4770" w:hanging="360"/>
      </w:pPr>
    </w:lvl>
    <w:lvl w:ilvl="5" w:tplc="0409001B" w:tentative="1">
      <w:start w:val="1"/>
      <w:numFmt w:val="lowerRoman"/>
      <w:lvlText w:val="%6."/>
      <w:lvlJc w:val="right"/>
      <w:pPr>
        <w:ind w:left="5490" w:hanging="180"/>
      </w:pPr>
    </w:lvl>
    <w:lvl w:ilvl="6" w:tplc="0409000F" w:tentative="1">
      <w:start w:val="1"/>
      <w:numFmt w:val="decimal"/>
      <w:lvlText w:val="%7."/>
      <w:lvlJc w:val="left"/>
      <w:pPr>
        <w:ind w:left="6210" w:hanging="360"/>
      </w:pPr>
    </w:lvl>
    <w:lvl w:ilvl="7" w:tplc="04090019" w:tentative="1">
      <w:start w:val="1"/>
      <w:numFmt w:val="lowerLetter"/>
      <w:lvlText w:val="%8."/>
      <w:lvlJc w:val="left"/>
      <w:pPr>
        <w:ind w:left="6930" w:hanging="360"/>
      </w:pPr>
    </w:lvl>
    <w:lvl w:ilvl="8" w:tplc="0409001B" w:tentative="1">
      <w:start w:val="1"/>
      <w:numFmt w:val="lowerRoman"/>
      <w:lvlText w:val="%9."/>
      <w:lvlJc w:val="right"/>
      <w:pPr>
        <w:ind w:left="7650" w:hanging="180"/>
      </w:pPr>
    </w:lvl>
  </w:abstractNum>
  <w:abstractNum w:abstractNumId="15">
    <w:nsid w:val="2F40739D"/>
    <w:multiLevelType w:val="hybridMultilevel"/>
    <w:tmpl w:val="6A5483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22201AD"/>
    <w:multiLevelType w:val="hybridMultilevel"/>
    <w:tmpl w:val="EF04107E"/>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A55172E"/>
    <w:multiLevelType w:val="multilevel"/>
    <w:tmpl w:val="1136A33C"/>
    <w:lvl w:ilvl="0">
      <w:start w:val="1"/>
      <w:numFmt w:val="none"/>
      <w:pStyle w:val="awTB01questionHead"/>
      <w:suff w:val="nothing"/>
      <w:lvlText w:val="%1"/>
      <w:lvlJc w:val="left"/>
      <w:rPr>
        <w:rFonts w:cs="Times New Roman" w:hint="default"/>
      </w:rPr>
    </w:lvl>
    <w:lvl w:ilvl="1">
      <w:start w:val="1"/>
      <w:numFmt w:val="decimal"/>
      <w:pStyle w:val="MCA"/>
      <w:lvlText w:val="%2."/>
      <w:lvlJc w:val="left"/>
      <w:pPr>
        <w:tabs>
          <w:tab w:val="num" w:pos="547"/>
        </w:tabs>
        <w:ind w:left="547" w:hanging="547"/>
      </w:pPr>
      <w:rPr>
        <w:rFonts w:cs="Times New Roman" w:hint="default"/>
      </w:rPr>
    </w:lvl>
    <w:lvl w:ilvl="2">
      <w:start w:val="1"/>
      <w:numFmt w:val="lowerLetter"/>
      <w:pStyle w:val="awTB03distractor"/>
      <w:lvlText w:val="(%3)"/>
      <w:lvlJc w:val="left"/>
      <w:pPr>
        <w:tabs>
          <w:tab w:val="num" w:pos="907"/>
        </w:tabs>
        <w:ind w:left="907" w:hanging="360"/>
      </w:pPr>
      <w:rPr>
        <w:rFonts w:cs="Times New Roman" w:hint="default"/>
      </w:rPr>
    </w:lvl>
    <w:lvl w:ilvl="3">
      <w:start w:val="1"/>
      <w:numFmt w:val="none"/>
      <w:lvlText w:val="Answer:"/>
      <w:lvlJc w:val="left"/>
      <w:pPr>
        <w:tabs>
          <w:tab w:val="num" w:pos="1987"/>
        </w:tabs>
        <w:ind w:left="1411" w:hanging="864"/>
      </w:pPr>
      <w:rPr>
        <w:rFonts w:ascii="Times New Roman" w:hAnsi="Times New Roman" w:cs="Times New Roman" w:hint="default"/>
        <w:b w:val="0"/>
        <w:i w:val="0"/>
        <w:caps w:val="0"/>
        <w:smallCaps w:val="0"/>
        <w:strike w:val="0"/>
        <w:dstrike w:val="0"/>
        <w:snapToGrid w:val="0"/>
        <w:vanish w:val="0"/>
        <w:color w:val="000000"/>
        <w:spacing w:val="0"/>
        <w:kern w:val="0"/>
        <w:position w:val="0"/>
        <w:u w:val="none"/>
        <w:vertAlign w:val="baseline"/>
      </w:rPr>
    </w:lvl>
    <w:lvl w:ilvl="4">
      <w:start w:val="1"/>
      <w:numFmt w:val="none"/>
      <w:lvlText w:val="(%5)"/>
      <w:lvlJc w:val="left"/>
      <w:pPr>
        <w:tabs>
          <w:tab w:val="num" w:pos="2160"/>
        </w:tabs>
        <w:ind w:left="2160" w:hanging="360"/>
      </w:pPr>
      <w:rPr>
        <w:rFonts w:cs="Times New Roman" w:hint="default"/>
      </w:rPr>
    </w:lvl>
    <w:lvl w:ilvl="5">
      <w:start w:val="1"/>
      <w:numFmt w:val="none"/>
      <w:lvlText w:val="(%6)"/>
      <w:lvlJc w:val="left"/>
      <w:pPr>
        <w:tabs>
          <w:tab w:val="num" w:pos="2520"/>
        </w:tabs>
        <w:ind w:left="2520" w:hanging="360"/>
      </w:pPr>
      <w:rPr>
        <w:rFonts w:cs="Times New Roman" w:hint="default"/>
      </w:rPr>
    </w:lvl>
    <w:lvl w:ilvl="6">
      <w:start w:val="1"/>
      <w:numFmt w:val="none"/>
      <w:lvlText w:val="%7."/>
      <w:lvlJc w:val="left"/>
      <w:pPr>
        <w:tabs>
          <w:tab w:val="num" w:pos="2880"/>
        </w:tabs>
        <w:ind w:left="2880" w:hanging="360"/>
      </w:pPr>
      <w:rPr>
        <w:rFonts w:cs="Times New Roman" w:hint="default"/>
      </w:rPr>
    </w:lvl>
    <w:lvl w:ilvl="7">
      <w:start w:val="1"/>
      <w:numFmt w:val="none"/>
      <w:lvlText w:val="%8."/>
      <w:lvlJc w:val="left"/>
      <w:pPr>
        <w:tabs>
          <w:tab w:val="num" w:pos="3240"/>
        </w:tabs>
        <w:ind w:left="3240" w:hanging="360"/>
      </w:pPr>
      <w:rPr>
        <w:rFonts w:cs="Times New Roman" w:hint="default"/>
      </w:rPr>
    </w:lvl>
    <w:lvl w:ilvl="8">
      <w:start w:val="1"/>
      <w:numFmt w:val="none"/>
      <w:lvlText w:val="%9."/>
      <w:lvlJc w:val="left"/>
      <w:pPr>
        <w:tabs>
          <w:tab w:val="num" w:pos="3600"/>
        </w:tabs>
        <w:ind w:left="3600" w:hanging="360"/>
      </w:pPr>
      <w:rPr>
        <w:rFonts w:cs="Times New Roman" w:hint="default"/>
      </w:rPr>
    </w:lvl>
  </w:abstractNum>
  <w:abstractNum w:abstractNumId="18">
    <w:nsid w:val="70803C3A"/>
    <w:multiLevelType w:val="multilevel"/>
    <w:tmpl w:val="AFB09CF2"/>
    <w:lvl w:ilvl="0">
      <w:start w:val="1"/>
      <w:numFmt w:val="decimal"/>
      <w:lvlText w:val="%1."/>
      <w:lvlJc w:val="left"/>
      <w:pPr>
        <w:tabs>
          <w:tab w:val="num" w:pos="360"/>
        </w:tabs>
      </w:pPr>
      <w:rPr>
        <w:rFonts w:cs="Times New Roman" w:hint="default"/>
      </w:rPr>
    </w:lvl>
    <w:lvl w:ilvl="1">
      <w:start w:val="1"/>
      <w:numFmt w:val="lowerLetter"/>
      <w:lvlText w:val="%2)"/>
      <w:lvlJc w:val="left"/>
      <w:pPr>
        <w:tabs>
          <w:tab w:val="num" w:pos="1080"/>
        </w:tabs>
        <w:ind w:left="720"/>
      </w:pPr>
      <w:rPr>
        <w:rFonts w:cs="Times New Roman" w:hint="default"/>
      </w:rPr>
    </w:lvl>
    <w:lvl w:ilvl="2">
      <w:start w:val="1"/>
      <w:numFmt w:val="decimal"/>
      <w:lvlText w:val="%3."/>
      <w:lvlJc w:val="left"/>
      <w:pPr>
        <w:tabs>
          <w:tab w:val="num" w:pos="1800"/>
        </w:tabs>
        <w:ind w:left="1440"/>
      </w:pPr>
      <w:rPr>
        <w:rFonts w:cs="Times New Roman" w:hint="default"/>
      </w:rPr>
    </w:lvl>
    <w:lvl w:ilvl="3">
      <w:start w:val="1"/>
      <w:numFmt w:val="lowerLetter"/>
      <w:lvlText w:val="%4)"/>
      <w:lvlJc w:val="left"/>
      <w:pPr>
        <w:tabs>
          <w:tab w:val="num" w:pos="2520"/>
        </w:tabs>
        <w:ind w:left="2160"/>
      </w:pPr>
      <w:rPr>
        <w:rFonts w:cs="Times New Roman" w:hint="default"/>
      </w:rPr>
    </w:lvl>
    <w:lvl w:ilvl="4">
      <w:start w:val="1"/>
      <w:numFmt w:val="decimal"/>
      <w:lvlText w:val="(%5)"/>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9">
    <w:nsid w:val="796A1FDB"/>
    <w:multiLevelType w:val="hybridMultilevel"/>
    <w:tmpl w:val="4ED6CA92"/>
    <w:lvl w:ilvl="0" w:tplc="F1C261AE">
      <w:start w:val="1"/>
      <w:numFmt w:val="upperRoman"/>
      <w:pStyle w:val="OutlineI"/>
      <w:lvlText w:val="%1."/>
      <w:lvlJc w:val="righ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num w:numId="1">
    <w:abstractNumId w:val="9"/>
  </w:num>
  <w:num w:numId="2">
    <w:abstractNumId w:val="9"/>
  </w:num>
  <w:num w:numId="3">
    <w:abstractNumId w:val="9"/>
  </w:num>
  <w:num w:numId="4">
    <w:abstractNumId w:val="18"/>
  </w:num>
  <w:num w:numId="5">
    <w:abstractNumId w:val="9"/>
  </w:num>
  <w:num w:numId="6">
    <w:abstractNumId w:val="17"/>
  </w:num>
  <w:num w:numId="7">
    <w:abstractNumId w:val="7"/>
  </w:num>
  <w:num w:numId="8">
    <w:abstractNumId w:val="6"/>
  </w:num>
  <w:num w:numId="9">
    <w:abstractNumId w:val="5"/>
  </w:num>
  <w:num w:numId="10">
    <w:abstractNumId w:val="4"/>
  </w:num>
  <w:num w:numId="11">
    <w:abstractNumId w:val="8"/>
  </w:num>
  <w:num w:numId="12">
    <w:abstractNumId w:val="3"/>
  </w:num>
  <w:num w:numId="13">
    <w:abstractNumId w:val="2"/>
  </w:num>
  <w:num w:numId="14">
    <w:abstractNumId w:val="1"/>
  </w:num>
  <w:num w:numId="15">
    <w:abstractNumId w:val="0"/>
  </w:num>
  <w:num w:numId="16">
    <w:abstractNumId w:val="10"/>
  </w:num>
  <w:num w:numId="17">
    <w:abstractNumId w:val="17"/>
  </w:num>
  <w:num w:numId="18">
    <w:abstractNumId w:val="11"/>
  </w:num>
  <w:num w:numId="19">
    <w:abstractNumId w:val="12"/>
  </w:num>
  <w:num w:numId="20">
    <w:abstractNumId w:val="17"/>
  </w:num>
  <w:num w:numId="21">
    <w:abstractNumId w:val="17"/>
  </w:num>
  <w:num w:numId="22">
    <w:abstractNumId w:val="17"/>
  </w:num>
  <w:num w:numId="23">
    <w:abstractNumId w:val="17"/>
  </w:num>
  <w:num w:numId="24">
    <w:abstractNumId w:val="9"/>
  </w:num>
  <w:num w:numId="25">
    <w:abstractNumId w:val="18"/>
  </w:num>
  <w:num w:numId="26">
    <w:abstractNumId w:val="15"/>
  </w:num>
  <w:num w:numId="27">
    <w:abstractNumId w:val="16"/>
  </w:num>
  <w:num w:numId="28">
    <w:abstractNumId w:val="13"/>
  </w:num>
  <w:num w:numId="29">
    <w:abstractNumId w:val="14"/>
  </w:num>
  <w:num w:numId="30">
    <w:abstractNumId w:val="19"/>
  </w:num>
  <w:num w:numId="31">
    <w:abstractNumId w:val="14"/>
    <w:lvlOverride w:ilvl="0">
      <w:startOverride w:val="1"/>
    </w:lvlOverride>
  </w:num>
  <w:num w:numId="32">
    <w:abstractNumId w:val="13"/>
    <w:lvlOverride w:ilvl="0">
      <w:startOverride w:val="1"/>
    </w:lvlOverride>
  </w:num>
  <w:num w:numId="33">
    <w:abstractNumId w:val="13"/>
    <w:lvlOverride w:ilvl="0">
      <w:startOverride w:val="1"/>
    </w:lvlOverride>
  </w:num>
  <w:num w:numId="34">
    <w:abstractNumId w:val="1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8"/>
  <w:mirrorMargins/>
  <w:proofState w:spelling="clean" w:grammar="clean"/>
  <w:doNotTrackFormatting/>
  <w:defaultTabStop w:val="720"/>
  <w:evenAndOddHeaders/>
  <w:drawingGridHorizontalSpacing w:val="75"/>
  <w:drawingGridVerticalSpacing w:val="102"/>
  <w:displayHorizontalDrawingGridEvery w:val="0"/>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hapterid" w:val="30321"/>
    <w:docVar w:name="projectid" w:val="3143"/>
    <w:docVar w:name="projectname" w:val="BSP_moffett_fund_multintl_fin_im_4e"/>
    <w:docVar w:name="RAP_URL" w:val="http://writerap.pearson.com/pena"/>
    <w:docVar w:name="rapVersion" w:val="2"/>
    <w:docVar w:name="saved" w:val="0"/>
    <w:docVar w:name="templateID" w:val="159"/>
    <w:docVar w:name="templateName" w:val="-- NO TEMPLATE --"/>
    <w:docVar w:name="wrToolbarVersion" w:val="2010/03/17"/>
  </w:docVars>
  <w:rsids>
    <w:rsidRoot w:val="00666875"/>
    <w:rsid w:val="00044836"/>
    <w:rsid w:val="00114AA1"/>
    <w:rsid w:val="00210DBF"/>
    <w:rsid w:val="002260D8"/>
    <w:rsid w:val="003206BA"/>
    <w:rsid w:val="003A41CF"/>
    <w:rsid w:val="00501B2D"/>
    <w:rsid w:val="005E1B5A"/>
    <w:rsid w:val="00666875"/>
    <w:rsid w:val="00847428"/>
    <w:rsid w:val="00903C64"/>
    <w:rsid w:val="0096440F"/>
    <w:rsid w:val="00E9086F"/>
    <w:rsid w:val="00F86E85"/>
    <w:rsid w:val="00FA4F17"/>
    <w:rsid w:val="00FC58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ocked/>
    <w:rPr>
      <w:rFonts w:ascii="Cambria" w:hAnsi="Cambria" w:cs="Times New Roman"/>
      <w:b/>
      <w:bCs/>
      <w:kern w:val="32"/>
      <w:sz w:val="32"/>
      <w:szCs w:val="32"/>
    </w:rPr>
  </w:style>
  <w:style w:type="character" w:customStyle="1" w:styleId="Heading2Char">
    <w:name w:val="Heading 2 Char"/>
    <w:basedOn w:val="DefaultParagraphFont"/>
    <w:semiHidden/>
    <w:locked/>
    <w:rPr>
      <w:rFonts w:ascii="Cambria" w:hAnsi="Cambria" w:cs="Times New Roman"/>
      <w:b/>
      <w:bCs/>
      <w:i/>
      <w:iCs/>
      <w:sz w:val="28"/>
      <w:szCs w:val="28"/>
    </w:rPr>
  </w:style>
  <w:style w:type="character" w:customStyle="1" w:styleId="Heading3Char">
    <w:name w:val="Heading 3 Char"/>
    <w:basedOn w:val="DefaultParagraphFont"/>
    <w:semiHidden/>
    <w:locked/>
    <w:rPr>
      <w:rFonts w:ascii="Cambria" w:hAnsi="Cambria" w:cs="Times New Roman"/>
      <w:b/>
      <w:bCs/>
      <w:sz w:val="26"/>
      <w:szCs w:val="26"/>
    </w:rPr>
  </w:style>
  <w:style w:type="character" w:customStyle="1" w:styleId="Heading4Char">
    <w:name w:val="Heading 4 Char"/>
    <w:basedOn w:val="DefaultParagraphFont"/>
    <w:semiHidden/>
    <w:locked/>
    <w:rPr>
      <w:rFonts w:ascii="Calibri" w:hAnsi="Calibri" w:cs="Times New Roman"/>
      <w:b/>
      <w:bCs/>
      <w:sz w:val="28"/>
      <w:szCs w:val="28"/>
    </w:rPr>
  </w:style>
  <w:style w:type="character" w:customStyle="1" w:styleId="Heading5Char">
    <w:name w:val="Heading 5 Char"/>
    <w:basedOn w:val="DefaultParagraphFont"/>
    <w:semiHidden/>
    <w:locked/>
    <w:rPr>
      <w:rFonts w:ascii="Calibri" w:hAnsi="Calibri" w:cs="Times New Roman"/>
      <w:b/>
      <w:bCs/>
      <w:i/>
      <w:iCs/>
      <w:sz w:val="26"/>
      <w:szCs w:val="26"/>
    </w:rPr>
  </w:style>
  <w:style w:type="character" w:customStyle="1" w:styleId="Heading6Char">
    <w:name w:val="Heading 6 Char"/>
    <w:basedOn w:val="DefaultParagraphFont"/>
    <w:semiHidden/>
    <w:locked/>
    <w:rPr>
      <w:rFonts w:ascii="Calibri" w:hAnsi="Calibri" w:cs="Times New Roman"/>
      <w:b/>
      <w:bCs/>
    </w:rPr>
  </w:style>
  <w:style w:type="character" w:customStyle="1" w:styleId="Heading7Char">
    <w:name w:val="Heading 7 Char"/>
    <w:basedOn w:val="DefaultParagraphFont"/>
    <w:semiHidden/>
    <w:locked/>
    <w:rPr>
      <w:rFonts w:ascii="Calibri" w:hAnsi="Calibri" w:cs="Times New Roman"/>
      <w:sz w:val="24"/>
      <w:szCs w:val="24"/>
    </w:rPr>
  </w:style>
  <w:style w:type="character" w:customStyle="1" w:styleId="Heading8Char">
    <w:name w:val="Heading 8 Char"/>
    <w:basedOn w:val="DefaultParagraphFont"/>
    <w:semiHidden/>
    <w:locked/>
    <w:rPr>
      <w:rFonts w:ascii="Calibri" w:hAnsi="Calibri" w:cs="Times New Roman"/>
      <w:i/>
      <w:iCs/>
      <w:sz w:val="24"/>
      <w:szCs w:val="24"/>
    </w:rPr>
  </w:style>
  <w:style w:type="character" w:customStyle="1" w:styleId="Heading9Char">
    <w:name w:val="Heading 9 Char"/>
    <w:basedOn w:val="DefaultParagraphFont"/>
    <w:semiHidden/>
    <w:locked/>
    <w:rPr>
      <w:rFonts w:ascii="Cambria" w:hAnsi="Cambria" w:cs="Times New Roman"/>
    </w:rPr>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22"/>
      </w:numPr>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tabs>
        <w:tab w:val="num" w:pos="547"/>
        <w:tab w:val="left" w:pos="640"/>
      </w:tabs>
      <w:spacing w:before="200" w:after="60"/>
      <w:ind w:left="547" w:hanging="547"/>
      <w:outlineLvl w:val="2"/>
    </w:pPr>
    <w:rPr>
      <w:rFonts w:ascii="Times" w:hAnsi="Times"/>
      <w:sz w:val="22"/>
    </w:rPr>
  </w:style>
  <w:style w:type="paragraph" w:customStyle="1" w:styleId="awTB03distractor">
    <w:name w:val="awTB_03_distractor"/>
    <w:basedOn w:val="Normal"/>
    <w:pPr>
      <w:keepNext/>
      <w:keepLines/>
      <w:numPr>
        <w:ilvl w:val="2"/>
        <w:numId w:val="20"/>
      </w:numPr>
      <w:tabs>
        <w:tab w:val="left" w:pos="720"/>
      </w:tabs>
      <w:spacing w:after="40"/>
      <w:outlineLvl w:val="2"/>
    </w:pPr>
    <w:rPr>
      <w:rFonts w:ascii="Times" w:hAnsi="Times"/>
      <w:sz w:val="22"/>
    </w:rPr>
  </w:style>
  <w:style w:type="paragraph" w:customStyle="1" w:styleId="awTB01questionHead">
    <w:name w:val="awTB_01_questionHead"/>
    <w:basedOn w:val="Normal"/>
    <w:pPr>
      <w:keepNext/>
      <w:keepLines/>
      <w:numPr>
        <w:numId w:val="20"/>
      </w:numPr>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character" w:customStyle="1" w:styleId="HeaderChar">
    <w:name w:val="Header Char"/>
    <w:basedOn w:val="DefaultParagraphFont"/>
    <w:semiHidden/>
    <w:locked/>
    <w:rPr>
      <w:rFonts w:cs="Times New Roman"/>
      <w:sz w:val="20"/>
      <w:szCs w:val="20"/>
    </w:rPr>
  </w:style>
  <w:style w:type="paragraph" w:styleId="Footer">
    <w:name w:val="footer"/>
    <w:basedOn w:val="Normal"/>
    <w:semiHidden/>
    <w:pPr>
      <w:tabs>
        <w:tab w:val="center" w:pos="4320"/>
        <w:tab w:val="right" w:pos="8640"/>
      </w:tabs>
    </w:pPr>
  </w:style>
  <w:style w:type="character" w:customStyle="1" w:styleId="FooterChar">
    <w:name w:val="Footer Char"/>
    <w:basedOn w:val="DefaultParagraphFont"/>
    <w:semiHidden/>
    <w:locked/>
    <w:rPr>
      <w:rFonts w:cs="Times New Roman"/>
      <w:sz w:val="20"/>
      <w:szCs w:val="20"/>
    </w:r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numPr>
        <w:ilvl w:val="0"/>
        <w:numId w:val="0"/>
      </w:numPr>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character" w:customStyle="1" w:styleId="BodyTextIndentChar">
    <w:name w:val="Body Text Indent Char"/>
    <w:basedOn w:val="DefaultParagraphFont"/>
    <w:semiHidden/>
    <w:locked/>
    <w:rPr>
      <w:rFonts w:cs="Times New Roman"/>
      <w:sz w:val="20"/>
      <w:szCs w:val="20"/>
    </w:rPr>
  </w:style>
  <w:style w:type="paragraph" w:customStyle="1" w:styleId="Problemlist1">
    <w:name w:val="Problem_list1"/>
    <w:basedOn w:val="awTB02question"/>
    <w:pPr>
      <w:tabs>
        <w:tab w:val="clear" w:pos="547"/>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pPr>
      <w:keepLines/>
      <w:tabs>
        <w:tab w:val="left" w:pos="825"/>
      </w:tabs>
      <w:spacing w:after="40"/>
      <w:ind w:left="825" w:hanging="375"/>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character" w:customStyle="1" w:styleId="BodyTextChar">
    <w:name w:val="Body Text Char"/>
    <w:basedOn w:val="DefaultParagraphFont"/>
    <w:semiHidden/>
    <w:locked/>
    <w:rPr>
      <w:rFonts w:cs="Times New Roman"/>
      <w:sz w:val="20"/>
      <w:szCs w:val="20"/>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character" w:customStyle="1" w:styleId="TitleChar">
    <w:name w:val="Title Char"/>
    <w:basedOn w:val="DefaultParagraphFont"/>
    <w:locked/>
    <w:rPr>
      <w:rFonts w:ascii="Cambria" w:hAnsi="Cambria" w:cs="Times New Roman"/>
      <w:b/>
      <w:bCs/>
      <w:kern w:val="28"/>
      <w:sz w:val="32"/>
      <w:szCs w:val="32"/>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character" w:customStyle="1" w:styleId="BodyTextIndent2Char">
    <w:name w:val="Body Text Indent 2 Char"/>
    <w:basedOn w:val="DefaultParagraphFont"/>
    <w:semiHidden/>
    <w:locked/>
    <w:rPr>
      <w:rFonts w:cs="Times New Roman"/>
      <w:sz w:val="20"/>
      <w:szCs w:val="20"/>
    </w:r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customStyle="1" w:styleId="BodyTextIndent3Char">
    <w:name w:val="Body Text Indent 3 Char"/>
    <w:basedOn w:val="DefaultParagraphFont"/>
    <w:semiHidden/>
    <w:locked/>
    <w:rPr>
      <w:rFonts w:cs="Times New Roman"/>
      <w:sz w:val="16"/>
      <w:szCs w:val="16"/>
    </w:r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character" w:customStyle="1" w:styleId="BalloonTextChar">
    <w:name w:val="Balloon Text Char"/>
    <w:basedOn w:val="DefaultParagraphFont"/>
    <w:semiHidden/>
    <w:locked/>
    <w:rPr>
      <w:rFonts w:cs="Times New Roman"/>
      <w:sz w:val="2"/>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spacing w:before="120"/>
    </w:pPr>
  </w:style>
  <w:style w:type="character" w:customStyle="1" w:styleId="BLChar">
    <w:name w:val="BL Char"/>
    <w:basedOn w:val="DefaultParagraphFont"/>
    <w:rPr>
      <w:rFonts w:ascii="Times" w:hAnsi="Times" w:cs="Times New Roman"/>
      <w:sz w:val="24"/>
      <w:szCs w:val="24"/>
      <w:lang w:val="en-US" w:eastAsia="en-US" w:bidi="ar-SA"/>
    </w:rPr>
  </w:style>
  <w:style w:type="character" w:customStyle="1" w:styleId="BL2Char">
    <w:name w:val="BL2 Char"/>
    <w:basedOn w:val="BLChar"/>
    <w:rPr>
      <w:rFonts w:ascii="Times" w:hAnsi="Times" w:cs="Times New Roman"/>
      <w:sz w:val="24"/>
      <w:szCs w:val="24"/>
      <w:lang w:val="en-US" w:eastAsia="en-US" w:bidi="ar-SA"/>
    </w:r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clear" w:pos="825"/>
        <w:tab w:val="left" w:pos="821"/>
        <w:tab w:val="left" w:pos="1200"/>
      </w:tabs>
      <w:ind w:left="1200" w:hanging="754"/>
    </w:pPr>
  </w:style>
  <w:style w:type="paragraph" w:styleId="ListParagraph">
    <w:name w:val="List Paragraph"/>
    <w:basedOn w:val="Normal"/>
    <w:uiPriority w:val="34"/>
    <w:qFormat/>
    <w:rsid w:val="00114AA1"/>
    <w:pPr>
      <w:ind w:left="720"/>
      <w:contextualSpacing/>
    </w:pPr>
  </w:style>
  <w:style w:type="paragraph" w:customStyle="1" w:styleId="OutlineI">
    <w:name w:val="Outline_I"/>
    <w:basedOn w:val="Normal"/>
    <w:qFormat/>
    <w:rsid w:val="00903C64"/>
    <w:pPr>
      <w:numPr>
        <w:numId w:val="30"/>
      </w:numPr>
      <w:spacing w:before="60"/>
      <w:ind w:left="1170"/>
    </w:pPr>
    <w:rPr>
      <w:rFonts w:ascii="Times" w:eastAsiaTheme="minorHAnsi" w:hAnsi="Times" w:cs="Times"/>
      <w:sz w:val="22"/>
      <w:szCs w:val="24"/>
    </w:rPr>
  </w:style>
  <w:style w:type="paragraph" w:customStyle="1" w:styleId="OutlineA">
    <w:name w:val="Outline_A"/>
    <w:basedOn w:val="Normal"/>
    <w:qFormat/>
    <w:rsid w:val="00903C64"/>
    <w:pPr>
      <w:numPr>
        <w:numId w:val="28"/>
      </w:numPr>
      <w:spacing w:before="60"/>
      <w:ind w:left="1526"/>
    </w:pPr>
    <w:rPr>
      <w:rFonts w:ascii="Times" w:eastAsiaTheme="minorHAnsi" w:hAnsi="Times" w:cs="Times"/>
      <w:sz w:val="22"/>
      <w:szCs w:val="24"/>
    </w:rPr>
  </w:style>
  <w:style w:type="paragraph" w:customStyle="1" w:styleId="Outlline1">
    <w:name w:val="Outlline_1"/>
    <w:basedOn w:val="Normal"/>
    <w:qFormat/>
    <w:rsid w:val="00903C64"/>
    <w:pPr>
      <w:numPr>
        <w:numId w:val="29"/>
      </w:numPr>
      <w:spacing w:before="60"/>
    </w:pPr>
    <w:rPr>
      <w:rFonts w:ascii="Times" w:eastAsiaTheme="minorHAnsi" w:hAnsi="Times" w:cs="Times"/>
      <w:sz w:val="22"/>
      <w:szCs w:val="24"/>
    </w:rPr>
  </w:style>
  <w:style w:type="paragraph" w:customStyle="1" w:styleId="MCQAnswer">
    <w:name w:val="MCQ_Answer"/>
    <w:basedOn w:val="Normal"/>
    <w:qFormat/>
    <w:rsid w:val="00903C64"/>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903C64"/>
    <w:pPr>
      <w:spacing w:after="60"/>
      <w:ind w:left="810" w:hanging="364"/>
    </w:pPr>
    <w:rPr>
      <w:rFonts w:ascii="Arial Narrow" w:hAnsi="Arial Narrow"/>
      <w:sz w:val="22"/>
      <w:szCs w:val="24"/>
    </w:rPr>
  </w:style>
  <w:style w:type="paragraph" w:customStyle="1" w:styleId="LearningObjectives">
    <w:name w:val="LearningObjectives"/>
    <w:basedOn w:val="Normal"/>
    <w:qFormat/>
    <w:rsid w:val="00903C64"/>
    <w:pPr>
      <w:spacing w:before="120" w:line="259" w:lineRule="auto"/>
      <w:ind w:left="720" w:hanging="360"/>
    </w:pPr>
    <w:rPr>
      <w:rFonts w:ascii="Times" w:eastAsiaTheme="minorHAnsi" w:hAnsi="Times" w:cs="Times"/>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ocked/>
    <w:rPr>
      <w:rFonts w:ascii="Cambria" w:hAnsi="Cambria" w:cs="Times New Roman"/>
      <w:b/>
      <w:bCs/>
      <w:kern w:val="32"/>
      <w:sz w:val="32"/>
      <w:szCs w:val="32"/>
    </w:rPr>
  </w:style>
  <w:style w:type="character" w:customStyle="1" w:styleId="Heading2Char">
    <w:name w:val="Heading 2 Char"/>
    <w:basedOn w:val="DefaultParagraphFont"/>
    <w:semiHidden/>
    <w:locked/>
    <w:rPr>
      <w:rFonts w:ascii="Cambria" w:hAnsi="Cambria" w:cs="Times New Roman"/>
      <w:b/>
      <w:bCs/>
      <w:i/>
      <w:iCs/>
      <w:sz w:val="28"/>
      <w:szCs w:val="28"/>
    </w:rPr>
  </w:style>
  <w:style w:type="character" w:customStyle="1" w:styleId="Heading3Char">
    <w:name w:val="Heading 3 Char"/>
    <w:basedOn w:val="DefaultParagraphFont"/>
    <w:semiHidden/>
    <w:locked/>
    <w:rPr>
      <w:rFonts w:ascii="Cambria" w:hAnsi="Cambria" w:cs="Times New Roman"/>
      <w:b/>
      <w:bCs/>
      <w:sz w:val="26"/>
      <w:szCs w:val="26"/>
    </w:rPr>
  </w:style>
  <w:style w:type="character" w:customStyle="1" w:styleId="Heading4Char">
    <w:name w:val="Heading 4 Char"/>
    <w:basedOn w:val="DefaultParagraphFont"/>
    <w:semiHidden/>
    <w:locked/>
    <w:rPr>
      <w:rFonts w:ascii="Calibri" w:hAnsi="Calibri" w:cs="Times New Roman"/>
      <w:b/>
      <w:bCs/>
      <w:sz w:val="28"/>
      <w:szCs w:val="28"/>
    </w:rPr>
  </w:style>
  <w:style w:type="character" w:customStyle="1" w:styleId="Heading5Char">
    <w:name w:val="Heading 5 Char"/>
    <w:basedOn w:val="DefaultParagraphFont"/>
    <w:semiHidden/>
    <w:locked/>
    <w:rPr>
      <w:rFonts w:ascii="Calibri" w:hAnsi="Calibri" w:cs="Times New Roman"/>
      <w:b/>
      <w:bCs/>
      <w:i/>
      <w:iCs/>
      <w:sz w:val="26"/>
      <w:szCs w:val="26"/>
    </w:rPr>
  </w:style>
  <w:style w:type="character" w:customStyle="1" w:styleId="Heading6Char">
    <w:name w:val="Heading 6 Char"/>
    <w:basedOn w:val="DefaultParagraphFont"/>
    <w:semiHidden/>
    <w:locked/>
    <w:rPr>
      <w:rFonts w:ascii="Calibri" w:hAnsi="Calibri" w:cs="Times New Roman"/>
      <w:b/>
      <w:bCs/>
    </w:rPr>
  </w:style>
  <w:style w:type="character" w:customStyle="1" w:styleId="Heading7Char">
    <w:name w:val="Heading 7 Char"/>
    <w:basedOn w:val="DefaultParagraphFont"/>
    <w:semiHidden/>
    <w:locked/>
    <w:rPr>
      <w:rFonts w:ascii="Calibri" w:hAnsi="Calibri" w:cs="Times New Roman"/>
      <w:sz w:val="24"/>
      <w:szCs w:val="24"/>
    </w:rPr>
  </w:style>
  <w:style w:type="character" w:customStyle="1" w:styleId="Heading8Char">
    <w:name w:val="Heading 8 Char"/>
    <w:basedOn w:val="DefaultParagraphFont"/>
    <w:semiHidden/>
    <w:locked/>
    <w:rPr>
      <w:rFonts w:ascii="Calibri" w:hAnsi="Calibri" w:cs="Times New Roman"/>
      <w:i/>
      <w:iCs/>
      <w:sz w:val="24"/>
      <w:szCs w:val="24"/>
    </w:rPr>
  </w:style>
  <w:style w:type="character" w:customStyle="1" w:styleId="Heading9Char">
    <w:name w:val="Heading 9 Char"/>
    <w:basedOn w:val="DefaultParagraphFont"/>
    <w:semiHidden/>
    <w:locked/>
    <w:rPr>
      <w:rFonts w:ascii="Cambria" w:hAnsi="Cambria" w:cs="Times New Roman"/>
    </w:rPr>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22"/>
      </w:numPr>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tabs>
        <w:tab w:val="num" w:pos="547"/>
        <w:tab w:val="left" w:pos="640"/>
      </w:tabs>
      <w:spacing w:before="200" w:after="60"/>
      <w:ind w:left="547" w:hanging="547"/>
      <w:outlineLvl w:val="2"/>
    </w:pPr>
    <w:rPr>
      <w:rFonts w:ascii="Times" w:hAnsi="Times"/>
      <w:sz w:val="22"/>
    </w:rPr>
  </w:style>
  <w:style w:type="paragraph" w:customStyle="1" w:styleId="awTB03distractor">
    <w:name w:val="awTB_03_distractor"/>
    <w:basedOn w:val="Normal"/>
    <w:pPr>
      <w:keepNext/>
      <w:keepLines/>
      <w:numPr>
        <w:ilvl w:val="2"/>
        <w:numId w:val="20"/>
      </w:numPr>
      <w:tabs>
        <w:tab w:val="left" w:pos="720"/>
      </w:tabs>
      <w:spacing w:after="40"/>
      <w:outlineLvl w:val="2"/>
    </w:pPr>
    <w:rPr>
      <w:rFonts w:ascii="Times" w:hAnsi="Times"/>
      <w:sz w:val="22"/>
    </w:rPr>
  </w:style>
  <w:style w:type="paragraph" w:customStyle="1" w:styleId="awTB01questionHead">
    <w:name w:val="awTB_01_questionHead"/>
    <w:basedOn w:val="Normal"/>
    <w:pPr>
      <w:keepNext/>
      <w:keepLines/>
      <w:numPr>
        <w:numId w:val="20"/>
      </w:numPr>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character" w:customStyle="1" w:styleId="HeaderChar">
    <w:name w:val="Header Char"/>
    <w:basedOn w:val="DefaultParagraphFont"/>
    <w:semiHidden/>
    <w:locked/>
    <w:rPr>
      <w:rFonts w:cs="Times New Roman"/>
      <w:sz w:val="20"/>
      <w:szCs w:val="20"/>
    </w:rPr>
  </w:style>
  <w:style w:type="paragraph" w:styleId="Footer">
    <w:name w:val="footer"/>
    <w:basedOn w:val="Normal"/>
    <w:semiHidden/>
    <w:pPr>
      <w:tabs>
        <w:tab w:val="center" w:pos="4320"/>
        <w:tab w:val="right" w:pos="8640"/>
      </w:tabs>
    </w:pPr>
  </w:style>
  <w:style w:type="character" w:customStyle="1" w:styleId="FooterChar">
    <w:name w:val="Footer Char"/>
    <w:basedOn w:val="DefaultParagraphFont"/>
    <w:semiHidden/>
    <w:locked/>
    <w:rPr>
      <w:rFonts w:cs="Times New Roman"/>
      <w:sz w:val="20"/>
      <w:szCs w:val="20"/>
    </w:r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numPr>
        <w:ilvl w:val="0"/>
        <w:numId w:val="0"/>
      </w:numPr>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character" w:customStyle="1" w:styleId="BodyTextIndentChar">
    <w:name w:val="Body Text Indent Char"/>
    <w:basedOn w:val="DefaultParagraphFont"/>
    <w:semiHidden/>
    <w:locked/>
    <w:rPr>
      <w:rFonts w:cs="Times New Roman"/>
      <w:sz w:val="20"/>
      <w:szCs w:val="20"/>
    </w:rPr>
  </w:style>
  <w:style w:type="paragraph" w:customStyle="1" w:styleId="Problemlist1">
    <w:name w:val="Problem_list1"/>
    <w:basedOn w:val="awTB02question"/>
    <w:pPr>
      <w:tabs>
        <w:tab w:val="clear" w:pos="547"/>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pPr>
      <w:keepLines/>
      <w:tabs>
        <w:tab w:val="left" w:pos="825"/>
      </w:tabs>
      <w:spacing w:after="40"/>
      <w:ind w:left="825" w:hanging="375"/>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character" w:customStyle="1" w:styleId="BodyTextChar">
    <w:name w:val="Body Text Char"/>
    <w:basedOn w:val="DefaultParagraphFont"/>
    <w:semiHidden/>
    <w:locked/>
    <w:rPr>
      <w:rFonts w:cs="Times New Roman"/>
      <w:sz w:val="20"/>
      <w:szCs w:val="20"/>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character" w:customStyle="1" w:styleId="TitleChar">
    <w:name w:val="Title Char"/>
    <w:basedOn w:val="DefaultParagraphFont"/>
    <w:locked/>
    <w:rPr>
      <w:rFonts w:ascii="Cambria" w:hAnsi="Cambria" w:cs="Times New Roman"/>
      <w:b/>
      <w:bCs/>
      <w:kern w:val="28"/>
      <w:sz w:val="32"/>
      <w:szCs w:val="32"/>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character" w:customStyle="1" w:styleId="BodyTextIndent2Char">
    <w:name w:val="Body Text Indent 2 Char"/>
    <w:basedOn w:val="DefaultParagraphFont"/>
    <w:semiHidden/>
    <w:locked/>
    <w:rPr>
      <w:rFonts w:cs="Times New Roman"/>
      <w:sz w:val="20"/>
      <w:szCs w:val="20"/>
    </w:r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customStyle="1" w:styleId="BodyTextIndent3Char">
    <w:name w:val="Body Text Indent 3 Char"/>
    <w:basedOn w:val="DefaultParagraphFont"/>
    <w:semiHidden/>
    <w:locked/>
    <w:rPr>
      <w:rFonts w:cs="Times New Roman"/>
      <w:sz w:val="16"/>
      <w:szCs w:val="16"/>
    </w:r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character" w:customStyle="1" w:styleId="BalloonTextChar">
    <w:name w:val="Balloon Text Char"/>
    <w:basedOn w:val="DefaultParagraphFont"/>
    <w:semiHidden/>
    <w:locked/>
    <w:rPr>
      <w:rFonts w:cs="Times New Roman"/>
      <w:sz w:val="2"/>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spacing w:before="120"/>
    </w:pPr>
  </w:style>
  <w:style w:type="character" w:customStyle="1" w:styleId="BLChar">
    <w:name w:val="BL Char"/>
    <w:basedOn w:val="DefaultParagraphFont"/>
    <w:rPr>
      <w:rFonts w:ascii="Times" w:hAnsi="Times" w:cs="Times New Roman"/>
      <w:sz w:val="24"/>
      <w:szCs w:val="24"/>
      <w:lang w:val="en-US" w:eastAsia="en-US" w:bidi="ar-SA"/>
    </w:rPr>
  </w:style>
  <w:style w:type="character" w:customStyle="1" w:styleId="BL2Char">
    <w:name w:val="BL2 Char"/>
    <w:basedOn w:val="BLChar"/>
    <w:rPr>
      <w:rFonts w:ascii="Times" w:hAnsi="Times" w:cs="Times New Roman"/>
      <w:sz w:val="24"/>
      <w:szCs w:val="24"/>
      <w:lang w:val="en-US" w:eastAsia="en-US" w:bidi="ar-SA"/>
    </w:r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clear" w:pos="825"/>
        <w:tab w:val="left" w:pos="821"/>
        <w:tab w:val="left" w:pos="1200"/>
      </w:tabs>
      <w:ind w:left="1200" w:hanging="754"/>
    </w:pPr>
  </w:style>
  <w:style w:type="paragraph" w:styleId="ListParagraph">
    <w:name w:val="List Paragraph"/>
    <w:basedOn w:val="Normal"/>
    <w:uiPriority w:val="34"/>
    <w:qFormat/>
    <w:rsid w:val="00114AA1"/>
    <w:pPr>
      <w:ind w:left="720"/>
      <w:contextualSpacing/>
    </w:pPr>
  </w:style>
  <w:style w:type="paragraph" w:customStyle="1" w:styleId="OutlineI">
    <w:name w:val="Outline_I"/>
    <w:basedOn w:val="Normal"/>
    <w:qFormat/>
    <w:rsid w:val="00903C64"/>
    <w:pPr>
      <w:numPr>
        <w:numId w:val="30"/>
      </w:numPr>
      <w:spacing w:before="60"/>
      <w:ind w:left="1170"/>
    </w:pPr>
    <w:rPr>
      <w:rFonts w:ascii="Times" w:eastAsiaTheme="minorHAnsi" w:hAnsi="Times" w:cs="Times"/>
      <w:sz w:val="22"/>
      <w:szCs w:val="24"/>
    </w:rPr>
  </w:style>
  <w:style w:type="paragraph" w:customStyle="1" w:styleId="OutlineA">
    <w:name w:val="Outline_A"/>
    <w:basedOn w:val="Normal"/>
    <w:qFormat/>
    <w:rsid w:val="00903C64"/>
    <w:pPr>
      <w:numPr>
        <w:numId w:val="28"/>
      </w:numPr>
      <w:spacing w:before="60"/>
      <w:ind w:left="1526"/>
    </w:pPr>
    <w:rPr>
      <w:rFonts w:ascii="Times" w:eastAsiaTheme="minorHAnsi" w:hAnsi="Times" w:cs="Times"/>
      <w:sz w:val="22"/>
      <w:szCs w:val="24"/>
    </w:rPr>
  </w:style>
  <w:style w:type="paragraph" w:customStyle="1" w:styleId="Outlline1">
    <w:name w:val="Outlline_1"/>
    <w:basedOn w:val="Normal"/>
    <w:qFormat/>
    <w:rsid w:val="00903C64"/>
    <w:pPr>
      <w:numPr>
        <w:numId w:val="29"/>
      </w:numPr>
      <w:spacing w:before="60"/>
    </w:pPr>
    <w:rPr>
      <w:rFonts w:ascii="Times" w:eastAsiaTheme="minorHAnsi" w:hAnsi="Times" w:cs="Times"/>
      <w:sz w:val="22"/>
      <w:szCs w:val="24"/>
    </w:rPr>
  </w:style>
  <w:style w:type="paragraph" w:customStyle="1" w:styleId="MCQAnswer">
    <w:name w:val="MCQ_Answer"/>
    <w:basedOn w:val="Normal"/>
    <w:qFormat/>
    <w:rsid w:val="00903C64"/>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903C64"/>
    <w:pPr>
      <w:spacing w:after="60"/>
      <w:ind w:left="810" w:hanging="364"/>
    </w:pPr>
    <w:rPr>
      <w:rFonts w:ascii="Arial Narrow" w:hAnsi="Arial Narrow"/>
      <w:sz w:val="22"/>
      <w:szCs w:val="24"/>
    </w:rPr>
  </w:style>
  <w:style w:type="paragraph" w:customStyle="1" w:styleId="LearningObjectives">
    <w:name w:val="LearningObjectives"/>
    <w:basedOn w:val="Normal"/>
    <w:qFormat/>
    <w:rsid w:val="00903C64"/>
    <w:pPr>
      <w:spacing w:before="120" w:line="259" w:lineRule="auto"/>
      <w:ind w:left="720" w:hanging="360"/>
    </w:pPr>
    <w:rPr>
      <w:rFonts w:ascii="Times" w:eastAsiaTheme="minorHAnsi" w:hAnsi="Times" w:cs="Times"/>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6</Pages>
  <Words>2491</Words>
  <Characters>13927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M10_MOFF9242_03_IM_C10</vt:lpstr>
    </vt:vector>
  </TitlesOfParts>
  <Company>ITC</Company>
  <LinksUpToDate>false</LinksUpToDate>
  <CharactersWithSpaces>16386</CharactersWithSpaces>
  <SharedDoc>false</SharedDoc>
  <HLinks>
    <vt:vector size="6" baseType="variant">
      <vt:variant>
        <vt:i4>917606</vt:i4>
      </vt:variant>
      <vt:variant>
        <vt:i4>3959</vt:i4>
      </vt:variant>
      <vt:variant>
        <vt:i4>1025</vt:i4>
      </vt:variant>
      <vt:variant>
        <vt:i4>1</vt:i4>
      </vt:variant>
      <vt:variant>
        <vt:lpwstr>..\..\ART\TIFF\Exhibit_11x03.tif</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M10_MOFF9242_03_IM_C10</dc:title>
  <dc:subject/>
  <dc:creator>Administrator</dc:creator>
  <cp:keywords/>
  <dc:description/>
  <cp:lastModifiedBy>Sheryl Nelson</cp:lastModifiedBy>
  <cp:revision>11</cp:revision>
  <cp:lastPrinted>2008-02-06T23:03:00Z</cp:lastPrinted>
  <dcterms:created xsi:type="dcterms:W3CDTF">2014-07-14T21:40:00Z</dcterms:created>
  <dcterms:modified xsi:type="dcterms:W3CDTF">2014-09-29T15:27:00Z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