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3D572" w14:textId="25AB27EA" w:rsidR="00813EB3" w:rsidRDefault="00813EB3" w:rsidP="001C1063">
      <w:pPr>
        <w:pStyle w:val="Title"/>
        <w:jc w:val="center"/>
      </w:pPr>
      <w:r w:rsidRPr="00E368CE">
        <w:t>Component 2</w:t>
      </w:r>
      <w:r w:rsidR="001C1063" w:rsidRPr="00E368CE">
        <w:t xml:space="preserve"> Individual  Report</w:t>
      </w:r>
    </w:p>
    <w:p w14:paraId="07ECB845" w14:textId="77777777" w:rsidR="008F464C" w:rsidRDefault="008F464C" w:rsidP="008F464C"/>
    <w:p w14:paraId="23DBB2B8" w14:textId="77777777" w:rsidR="008F464C" w:rsidRPr="008F464C" w:rsidRDefault="008F464C" w:rsidP="008F464C"/>
    <w:p w14:paraId="464BE178" w14:textId="7A9F4E18" w:rsidR="00C757EF" w:rsidRPr="00E368CE" w:rsidRDefault="00C757EF" w:rsidP="00C757EF">
      <w:pPr>
        <w:rPr>
          <w:rFonts w:ascii="Arial" w:hAnsi="Arial" w:cs="Arial"/>
          <w:sz w:val="22"/>
          <w:szCs w:val="22"/>
        </w:rPr>
      </w:pPr>
      <w:r w:rsidRPr="00E368CE">
        <w:rPr>
          <w:rFonts w:ascii="Arial" w:hAnsi="Arial" w:cs="Arial"/>
          <w:sz w:val="22"/>
          <w:szCs w:val="22"/>
        </w:rPr>
        <w:t>Student Name: Kaden Silveira</w:t>
      </w:r>
    </w:p>
    <w:p w14:paraId="37F9C3FF" w14:textId="53229BE6" w:rsidR="00C757EF" w:rsidRPr="00E368CE" w:rsidRDefault="00C757EF" w:rsidP="00C757EF">
      <w:pPr>
        <w:rPr>
          <w:rFonts w:ascii="Arial" w:hAnsi="Arial" w:cs="Arial"/>
          <w:sz w:val="22"/>
          <w:szCs w:val="22"/>
        </w:rPr>
      </w:pPr>
      <w:r w:rsidRPr="00E368CE">
        <w:rPr>
          <w:rFonts w:ascii="Arial" w:hAnsi="Arial" w:cs="Arial"/>
          <w:sz w:val="22"/>
          <w:szCs w:val="22"/>
        </w:rPr>
        <w:t>Student Number: 2416870</w:t>
      </w:r>
    </w:p>
    <w:p w14:paraId="7C60D7F1" w14:textId="3C50EE2A" w:rsidR="00C757EF" w:rsidRPr="00E368CE" w:rsidRDefault="00C757EF" w:rsidP="00C757EF">
      <w:pPr>
        <w:rPr>
          <w:rFonts w:ascii="Arial" w:hAnsi="Arial" w:cs="Arial"/>
          <w:sz w:val="22"/>
          <w:szCs w:val="22"/>
        </w:rPr>
      </w:pPr>
      <w:r w:rsidRPr="00E368CE">
        <w:rPr>
          <w:rFonts w:ascii="Arial" w:hAnsi="Arial" w:cs="Arial"/>
          <w:sz w:val="22"/>
          <w:szCs w:val="22"/>
        </w:rPr>
        <w:t>Module Code: LCLM5002</w:t>
      </w:r>
    </w:p>
    <w:p w14:paraId="024E3697" w14:textId="0D90E0E0" w:rsidR="00C757EF" w:rsidRPr="00E368CE" w:rsidRDefault="00C757EF" w:rsidP="00C757EF">
      <w:pPr>
        <w:rPr>
          <w:rFonts w:ascii="Arial" w:hAnsi="Arial" w:cs="Arial"/>
          <w:sz w:val="22"/>
          <w:szCs w:val="22"/>
        </w:rPr>
      </w:pPr>
      <w:r w:rsidRPr="00E368CE">
        <w:rPr>
          <w:rFonts w:ascii="Arial" w:hAnsi="Arial" w:cs="Arial"/>
          <w:sz w:val="22"/>
          <w:szCs w:val="22"/>
        </w:rPr>
        <w:t>Module Title: Developing and Managing Individuals and Teams</w:t>
      </w:r>
    </w:p>
    <w:p w14:paraId="5BAFA6DA" w14:textId="3EAFD586" w:rsidR="00C757EF" w:rsidRPr="00E368CE" w:rsidRDefault="00C757EF" w:rsidP="00813EB3">
      <w:pPr>
        <w:rPr>
          <w:rFonts w:ascii="Arial" w:hAnsi="Arial" w:cs="Arial"/>
          <w:sz w:val="22"/>
          <w:szCs w:val="22"/>
        </w:rPr>
      </w:pPr>
      <w:r w:rsidRPr="00E368CE">
        <w:rPr>
          <w:rFonts w:ascii="Arial" w:hAnsi="Arial" w:cs="Arial"/>
          <w:sz w:val="22"/>
          <w:szCs w:val="22"/>
        </w:rPr>
        <w:t>Lecturer: Gregory Cowan</w:t>
      </w:r>
    </w:p>
    <w:p w14:paraId="2FECD328" w14:textId="4741C8EE" w:rsidR="00C757EF" w:rsidRPr="00E368CE" w:rsidRDefault="00C757EF" w:rsidP="00706FCF">
      <w:pPr>
        <w:pStyle w:val="Heading2"/>
        <w:ind w:left="360"/>
      </w:pPr>
      <w:r w:rsidRPr="00E368CE">
        <w:t>Introduction</w:t>
      </w:r>
    </w:p>
    <w:p w14:paraId="1515441D" w14:textId="4DFEA013" w:rsidR="004863B1" w:rsidRDefault="00864277" w:rsidP="00C757EF">
      <w:pPr>
        <w:rPr>
          <w:rFonts w:ascii="Arial" w:hAnsi="Arial" w:cs="Arial"/>
          <w:sz w:val="22"/>
          <w:szCs w:val="22"/>
        </w:rPr>
      </w:pPr>
      <w:r>
        <w:rPr>
          <w:rFonts w:ascii="Arial" w:hAnsi="Arial" w:cs="Arial"/>
          <w:sz w:val="22"/>
          <w:szCs w:val="22"/>
        </w:rPr>
        <w:t>This report has been prepared for the General Manager at the London Branch by Kaden Silveira, this report</w:t>
      </w:r>
      <w:r w:rsidR="00212175">
        <w:rPr>
          <w:rFonts w:ascii="Arial" w:hAnsi="Arial" w:cs="Arial"/>
          <w:sz w:val="22"/>
          <w:szCs w:val="22"/>
        </w:rPr>
        <w:t xml:space="preserve"> investigates the alarming rise in employee grievances noted in my first month of attending and the report was thoroughly done by myself.</w:t>
      </w:r>
      <w:r w:rsidR="00011B51">
        <w:rPr>
          <w:rFonts w:ascii="Arial" w:hAnsi="Arial" w:cs="Arial"/>
          <w:sz w:val="22"/>
          <w:szCs w:val="22"/>
        </w:rPr>
        <w:t xml:space="preserve"> Analysis confirms these are not isolated incidents but clear signs of stress caused by three major changes happening all at once</w:t>
      </w:r>
      <w:r w:rsidR="00266D48">
        <w:rPr>
          <w:rFonts w:ascii="Arial" w:hAnsi="Arial" w:cs="Arial"/>
          <w:sz w:val="22"/>
          <w:szCs w:val="22"/>
        </w:rPr>
        <w:t xml:space="preserve">: our </w:t>
      </w:r>
      <w:r w:rsidR="00BC16B2">
        <w:rPr>
          <w:rFonts w:ascii="Arial" w:hAnsi="Arial" w:cs="Arial"/>
          <w:sz w:val="22"/>
          <w:szCs w:val="22"/>
        </w:rPr>
        <w:t>ongoing business</w:t>
      </w:r>
      <w:r w:rsidR="00266D48">
        <w:rPr>
          <w:rFonts w:ascii="Arial" w:hAnsi="Arial" w:cs="Arial"/>
          <w:sz w:val="22"/>
          <w:szCs w:val="22"/>
        </w:rPr>
        <w:t xml:space="preserve"> transformation, the rapid rollout of new digital tools </w:t>
      </w:r>
      <w:r w:rsidR="00BC16B2">
        <w:rPr>
          <w:rFonts w:ascii="Arial" w:hAnsi="Arial" w:cs="Arial"/>
          <w:sz w:val="22"/>
          <w:szCs w:val="22"/>
        </w:rPr>
        <w:t>every day</w:t>
      </w:r>
      <w:r w:rsidR="00266D48">
        <w:rPr>
          <w:rFonts w:ascii="Arial" w:hAnsi="Arial" w:cs="Arial"/>
          <w:sz w:val="22"/>
          <w:szCs w:val="22"/>
        </w:rPr>
        <w:t>, the shift of flexible hybrid working (Knights</w:t>
      </w:r>
      <w:r w:rsidR="007B03CC">
        <w:rPr>
          <w:rFonts w:ascii="Arial" w:hAnsi="Arial" w:cs="Arial"/>
          <w:sz w:val="22"/>
          <w:szCs w:val="22"/>
        </w:rPr>
        <w:t xml:space="preserve"> &amp; Willmott, 2020).While necessary for the company’s future, these changes have accidently created serious people problems within our organisation</w:t>
      </w:r>
      <w:r w:rsidR="00BC16B2">
        <w:rPr>
          <w:rFonts w:ascii="Arial" w:hAnsi="Arial" w:cs="Arial"/>
          <w:sz w:val="22"/>
          <w:szCs w:val="22"/>
        </w:rPr>
        <w:t xml:space="preserve"> and further more has caused confusion over roles, technology related stress, and feelings of unfairness which are harming morale and team productivity.</w:t>
      </w:r>
    </w:p>
    <w:p w14:paraId="2532DB87" w14:textId="77777777" w:rsidR="007F23F4" w:rsidRPr="00E368CE" w:rsidRDefault="007F23F4" w:rsidP="00C757EF">
      <w:pPr>
        <w:rPr>
          <w:rFonts w:ascii="Arial" w:hAnsi="Arial" w:cs="Arial"/>
          <w:sz w:val="22"/>
          <w:szCs w:val="22"/>
        </w:rPr>
      </w:pPr>
    </w:p>
    <w:p w14:paraId="1E112918" w14:textId="49EEF771" w:rsidR="001E3074" w:rsidRPr="00E368CE" w:rsidRDefault="001E3074" w:rsidP="007F23F4">
      <w:pPr>
        <w:pStyle w:val="Heading2"/>
        <w:numPr>
          <w:ilvl w:val="0"/>
          <w:numId w:val="1"/>
        </w:numPr>
      </w:pPr>
      <w:r w:rsidRPr="00E368CE">
        <w:t>Explanation of Specific Factors related to business transformation, digital technology trends, and flexible working arrangements</w:t>
      </w:r>
    </w:p>
    <w:p w14:paraId="76CFEF08" w14:textId="77777777" w:rsidR="004863B1" w:rsidRPr="00E368CE" w:rsidRDefault="004863B1" w:rsidP="001E3074">
      <w:pPr>
        <w:rPr>
          <w:rFonts w:ascii="Arial" w:hAnsi="Arial" w:cs="Arial"/>
          <w:sz w:val="22"/>
          <w:szCs w:val="22"/>
        </w:rPr>
      </w:pPr>
    </w:p>
    <w:p w14:paraId="6165682D" w14:textId="6BE2CC99" w:rsidR="001E3074" w:rsidRPr="00E368CE" w:rsidRDefault="001E3074" w:rsidP="001E3074">
      <w:pPr>
        <w:rPr>
          <w:rFonts w:ascii="Arial" w:hAnsi="Arial" w:cs="Arial"/>
        </w:rPr>
      </w:pPr>
      <w:r w:rsidRPr="00E368CE">
        <w:rPr>
          <w:rFonts w:ascii="Arial" w:hAnsi="Arial" w:cs="Arial"/>
          <w:sz w:val="22"/>
          <w:szCs w:val="22"/>
        </w:rPr>
        <w:t>The alarming volume of nature of grievances can be directly attributed to the complex, often poorly managed, interplay of three broad, systemic factors, each creating distinct yet overlapping psychological and operational stressors for the workforce</w:t>
      </w:r>
      <w:r w:rsidRPr="00E368CE">
        <w:rPr>
          <w:rFonts w:ascii="Arial" w:hAnsi="Arial" w:cs="Arial"/>
        </w:rPr>
        <w:t>.</w:t>
      </w:r>
    </w:p>
    <w:p w14:paraId="5030FFFB" w14:textId="77777777" w:rsidR="007F23F4" w:rsidRDefault="001E3074" w:rsidP="00C757EF">
      <w:pPr>
        <w:rPr>
          <w:rFonts w:ascii="Arial" w:hAnsi="Arial" w:cs="Arial"/>
          <w:sz w:val="22"/>
          <w:szCs w:val="22"/>
        </w:rPr>
      </w:pPr>
      <w:r w:rsidRPr="008F464C">
        <w:rPr>
          <w:rFonts w:ascii="Arial" w:hAnsi="Arial" w:cs="Arial"/>
          <w:b/>
          <w:bCs/>
          <w:sz w:val="22"/>
          <w:szCs w:val="22"/>
        </w:rPr>
        <w:t>Business Transformation</w:t>
      </w:r>
      <w:r w:rsidRPr="00E368CE">
        <w:rPr>
          <w:rFonts w:ascii="Arial" w:hAnsi="Arial" w:cs="Arial"/>
          <w:sz w:val="22"/>
          <w:szCs w:val="22"/>
        </w:rPr>
        <w:t xml:space="preserve">: </w:t>
      </w:r>
      <w:r w:rsidR="00521D74">
        <w:rPr>
          <w:rFonts w:ascii="Arial" w:hAnsi="Arial" w:cs="Arial"/>
          <w:sz w:val="22"/>
          <w:szCs w:val="22"/>
        </w:rPr>
        <w:t>Such as adopting agile ways of working, overhauling core processes, or entering new markets</w:t>
      </w:r>
      <w:r w:rsidR="000A7D86">
        <w:rPr>
          <w:rFonts w:ascii="Arial" w:hAnsi="Arial" w:cs="Arial"/>
          <w:sz w:val="22"/>
          <w:szCs w:val="22"/>
        </w:rPr>
        <w:t xml:space="preserve"> fundamentally unsettles how things are normally done around in our organisation. It changes reporting lines and breaks the unspoken trust employees have about their role and future with the company.</w:t>
      </w:r>
      <w:r w:rsidR="0018203C">
        <w:rPr>
          <w:rFonts w:ascii="Arial" w:hAnsi="Arial" w:cs="Arial"/>
          <w:sz w:val="22"/>
          <w:szCs w:val="22"/>
        </w:rPr>
        <w:t xml:space="preserve"> When this change is communicated </w:t>
      </w:r>
      <w:r w:rsidR="007D5AF6">
        <w:rPr>
          <w:rFonts w:ascii="Arial" w:hAnsi="Arial" w:cs="Arial"/>
          <w:sz w:val="22"/>
          <w:szCs w:val="22"/>
        </w:rPr>
        <w:t>poorly</w:t>
      </w:r>
      <w:r w:rsidR="0018203C">
        <w:rPr>
          <w:rFonts w:ascii="Arial" w:hAnsi="Arial" w:cs="Arial"/>
          <w:sz w:val="22"/>
          <w:szCs w:val="22"/>
        </w:rPr>
        <w:t>, typically through top</w:t>
      </w:r>
      <w:r w:rsidR="009B60B9">
        <w:rPr>
          <w:rFonts w:ascii="Arial" w:hAnsi="Arial" w:cs="Arial"/>
          <w:sz w:val="22"/>
          <w:szCs w:val="22"/>
        </w:rPr>
        <w:t>-down</w:t>
      </w:r>
      <w:r w:rsidR="0018203C">
        <w:rPr>
          <w:rFonts w:ascii="Arial" w:hAnsi="Arial" w:cs="Arial"/>
          <w:sz w:val="22"/>
          <w:szCs w:val="22"/>
        </w:rPr>
        <w:t xml:space="preserve"> memos that fail to explain the ‘why’ as to what </w:t>
      </w:r>
      <w:r w:rsidR="0008219B">
        <w:rPr>
          <w:rFonts w:ascii="Arial" w:hAnsi="Arial" w:cs="Arial"/>
          <w:sz w:val="22"/>
          <w:szCs w:val="22"/>
        </w:rPr>
        <w:t xml:space="preserve">occurred, it creates greater confusion than understanding, worry, and pushes people to resist the new direction (Hayes, 2022). As </w:t>
      </w:r>
      <w:r w:rsidR="006E6AA1">
        <w:rPr>
          <w:rFonts w:ascii="Arial" w:hAnsi="Arial" w:cs="Arial"/>
          <w:sz w:val="22"/>
          <w:szCs w:val="22"/>
        </w:rPr>
        <w:t>roles and teams change without clear updates</w:t>
      </w:r>
      <w:r w:rsidR="00BB5C3B">
        <w:rPr>
          <w:rFonts w:ascii="Arial" w:hAnsi="Arial" w:cs="Arial"/>
          <w:sz w:val="22"/>
          <w:szCs w:val="22"/>
        </w:rPr>
        <w:t xml:space="preserve">, staff are left unsure </w:t>
      </w:r>
      <w:r w:rsidR="007D5AF6">
        <w:rPr>
          <w:rFonts w:ascii="Arial" w:hAnsi="Arial" w:cs="Arial"/>
          <w:sz w:val="22"/>
          <w:szCs w:val="22"/>
        </w:rPr>
        <w:t>of</w:t>
      </w:r>
      <w:r w:rsidR="00BB5C3B">
        <w:rPr>
          <w:rFonts w:ascii="Arial" w:hAnsi="Arial" w:cs="Arial"/>
          <w:sz w:val="22"/>
          <w:szCs w:val="22"/>
        </w:rPr>
        <w:t xml:space="preserve"> what is expected of them. At the same time, they fear their current skills are becoming obsolete as new ones are required, but they can</w:t>
      </w:r>
      <w:r w:rsidR="007D5AF6">
        <w:rPr>
          <w:rFonts w:ascii="Arial" w:hAnsi="Arial" w:cs="Arial"/>
          <w:sz w:val="22"/>
          <w:szCs w:val="22"/>
        </w:rPr>
        <w:t>’</w:t>
      </w:r>
      <w:r w:rsidR="00BB5C3B">
        <w:rPr>
          <w:rFonts w:ascii="Arial" w:hAnsi="Arial" w:cs="Arial"/>
          <w:sz w:val="22"/>
          <w:szCs w:val="22"/>
        </w:rPr>
        <w:t xml:space="preserve">t see a clear path to learn them and this causes them to </w:t>
      </w:r>
      <w:r w:rsidR="007D5AF6">
        <w:rPr>
          <w:rFonts w:ascii="Arial" w:hAnsi="Arial" w:cs="Arial"/>
          <w:sz w:val="22"/>
          <w:szCs w:val="22"/>
        </w:rPr>
        <w:t>feel distressed and unimportant.</w:t>
      </w:r>
      <w:r w:rsidR="00936C6C">
        <w:rPr>
          <w:rFonts w:ascii="Arial" w:hAnsi="Arial" w:cs="Arial"/>
          <w:sz w:val="22"/>
          <w:szCs w:val="22"/>
        </w:rPr>
        <w:t xml:space="preserve"> A major issue is that during this long, uncertain</w:t>
      </w:r>
      <w:r w:rsidR="001D333E">
        <w:rPr>
          <w:rFonts w:ascii="Arial" w:hAnsi="Arial" w:cs="Arial"/>
          <w:sz w:val="22"/>
          <w:szCs w:val="22"/>
        </w:rPr>
        <w:t xml:space="preserve"> transition phase, people’s workloads almost always increase.</w:t>
      </w:r>
    </w:p>
    <w:p w14:paraId="5A9D0111" w14:textId="669729F1" w:rsidR="00521D74" w:rsidRPr="00E368CE" w:rsidRDefault="001D333E" w:rsidP="00C757EF">
      <w:pPr>
        <w:rPr>
          <w:rFonts w:ascii="Arial" w:hAnsi="Arial" w:cs="Arial"/>
          <w:sz w:val="22"/>
          <w:szCs w:val="22"/>
        </w:rPr>
      </w:pPr>
      <w:r>
        <w:rPr>
          <w:rFonts w:ascii="Arial" w:hAnsi="Arial" w:cs="Arial"/>
          <w:sz w:val="22"/>
          <w:szCs w:val="22"/>
        </w:rPr>
        <w:lastRenderedPageBreak/>
        <w:t>However, they rarely get extra help</w:t>
      </w:r>
      <w:r w:rsidR="005B2E89">
        <w:rPr>
          <w:rFonts w:ascii="Arial" w:hAnsi="Arial" w:cs="Arial"/>
          <w:sz w:val="22"/>
          <w:szCs w:val="22"/>
        </w:rPr>
        <w:t xml:space="preserve">, acknowledgement, or </w:t>
      </w:r>
      <w:r w:rsidR="0081774E">
        <w:rPr>
          <w:rFonts w:ascii="Arial" w:hAnsi="Arial" w:cs="Arial"/>
          <w:sz w:val="22"/>
          <w:szCs w:val="22"/>
        </w:rPr>
        <w:t xml:space="preserve">a </w:t>
      </w:r>
      <w:r w:rsidR="005B2E89">
        <w:rPr>
          <w:rFonts w:ascii="Arial" w:hAnsi="Arial" w:cs="Arial"/>
          <w:sz w:val="22"/>
          <w:szCs w:val="22"/>
        </w:rPr>
        <w:t xml:space="preserve">break from their normal </w:t>
      </w:r>
      <w:r w:rsidR="0081774E">
        <w:rPr>
          <w:rFonts w:ascii="Arial" w:hAnsi="Arial" w:cs="Arial"/>
          <w:sz w:val="22"/>
          <w:szCs w:val="22"/>
        </w:rPr>
        <w:t>duties</w:t>
      </w:r>
      <w:r w:rsidR="005B2E89">
        <w:rPr>
          <w:rFonts w:ascii="Arial" w:hAnsi="Arial" w:cs="Arial"/>
          <w:sz w:val="22"/>
          <w:szCs w:val="22"/>
        </w:rPr>
        <w:t>. This makes people feel the situation Is unfair, that they are being taken advantage of</w:t>
      </w:r>
      <w:r w:rsidR="00150743">
        <w:rPr>
          <w:rFonts w:ascii="Arial" w:hAnsi="Arial" w:cs="Arial"/>
          <w:sz w:val="22"/>
          <w:szCs w:val="22"/>
        </w:rPr>
        <w:t>, and leads directly to burnout. Finally, when employees cannot see where their career could go in the new company structure, their sense of professional security vanishes, which goes against all principles of having and creating a good workforce plan.</w:t>
      </w:r>
    </w:p>
    <w:p w14:paraId="39227BB6" w14:textId="2E6EEDD2" w:rsidR="001F6F54" w:rsidRPr="00E368CE" w:rsidRDefault="001F6F54" w:rsidP="00C757EF">
      <w:pPr>
        <w:rPr>
          <w:rFonts w:ascii="Arial" w:hAnsi="Arial" w:cs="Arial"/>
          <w:sz w:val="22"/>
          <w:szCs w:val="22"/>
        </w:rPr>
      </w:pPr>
      <w:r w:rsidRPr="008F464C">
        <w:rPr>
          <w:rFonts w:ascii="Arial" w:hAnsi="Arial" w:cs="Arial"/>
          <w:b/>
          <w:bCs/>
          <w:sz w:val="22"/>
          <w:szCs w:val="22"/>
        </w:rPr>
        <w:t>Digital Technology Trends</w:t>
      </w:r>
      <w:r w:rsidR="008F464C">
        <w:rPr>
          <w:rFonts w:ascii="Arial" w:hAnsi="Arial" w:cs="Arial"/>
          <w:sz w:val="22"/>
          <w:szCs w:val="22"/>
        </w:rPr>
        <w:t>:</w:t>
      </w:r>
      <w:r w:rsidRPr="00E368CE">
        <w:rPr>
          <w:rFonts w:ascii="Arial" w:hAnsi="Arial" w:cs="Arial"/>
          <w:sz w:val="22"/>
          <w:szCs w:val="22"/>
        </w:rPr>
        <w:t xml:space="preserve"> </w:t>
      </w:r>
      <w:r w:rsidR="00A430B5">
        <w:rPr>
          <w:rFonts w:ascii="Arial" w:hAnsi="Arial" w:cs="Arial"/>
          <w:sz w:val="22"/>
          <w:szCs w:val="22"/>
        </w:rPr>
        <w:t>The rushed rollout of new tools such as AI, data analytics, and always on platforms such as Microsoft Teams creates serious people problems, even as it improves efficiency. Many grievances come from staff simply not getting enough training in terms of digital knowledge</w:t>
      </w:r>
      <w:r w:rsidR="00993D95">
        <w:rPr>
          <w:rFonts w:ascii="Arial" w:hAnsi="Arial" w:cs="Arial"/>
          <w:sz w:val="22"/>
          <w:szCs w:val="22"/>
        </w:rPr>
        <w:t>, which leaves them feeling inadequate and swamped. A deeper issue is the expectation to be constantly online. This “always-on”</w:t>
      </w:r>
      <w:r w:rsidR="00F12DF0">
        <w:rPr>
          <w:rFonts w:ascii="Arial" w:hAnsi="Arial" w:cs="Arial"/>
          <w:sz w:val="22"/>
          <w:szCs w:val="22"/>
        </w:rPr>
        <w:t xml:space="preserve"> culture breeds anxiety, makes it impossible to mentally switch off from work which causes personal stress due to </w:t>
      </w:r>
      <w:r w:rsidR="0092460F">
        <w:rPr>
          <w:rFonts w:ascii="Arial" w:hAnsi="Arial" w:cs="Arial"/>
          <w:sz w:val="22"/>
          <w:szCs w:val="22"/>
        </w:rPr>
        <w:t>a unjust work life balance, and this is also a direct pattern</w:t>
      </w:r>
      <w:r w:rsidR="00FC5824">
        <w:rPr>
          <w:rFonts w:ascii="Arial" w:hAnsi="Arial" w:cs="Arial"/>
          <w:sz w:val="22"/>
          <w:szCs w:val="22"/>
        </w:rPr>
        <w:t xml:space="preserve"> leading to burnout complaints (Mazmanian et al., 2013). It gets worse when companies use software to track productivity</w:t>
      </w:r>
      <w:r w:rsidR="000259E4">
        <w:rPr>
          <w:rFonts w:ascii="Arial" w:hAnsi="Arial" w:cs="Arial"/>
          <w:sz w:val="22"/>
          <w:szCs w:val="22"/>
        </w:rPr>
        <w:t xml:space="preserve"> without clear rules; this feels like invasive surveillance, kills trust, and makes people feel like they’re not in control of their own work. Underneath all this is a real fear that automation will make their job obsolete. If leadership doesn’t openly address</w:t>
      </w:r>
      <w:r w:rsidR="00BA3EAF">
        <w:rPr>
          <w:rFonts w:ascii="Arial" w:hAnsi="Arial" w:cs="Arial"/>
          <w:sz w:val="22"/>
          <w:szCs w:val="22"/>
        </w:rPr>
        <w:t xml:space="preserve"> this fear and offer proper retraining, it will destroy group/team morale, stop people from innovating, and push our best talent out the door.</w:t>
      </w:r>
    </w:p>
    <w:p w14:paraId="4AF904DF" w14:textId="77777777" w:rsidR="0012533A" w:rsidRPr="00E368CE" w:rsidRDefault="0012533A" w:rsidP="00C757EF">
      <w:pPr>
        <w:rPr>
          <w:rFonts w:ascii="Arial" w:hAnsi="Arial" w:cs="Arial"/>
          <w:sz w:val="22"/>
          <w:szCs w:val="22"/>
        </w:rPr>
      </w:pPr>
    </w:p>
    <w:p w14:paraId="5B399EC2" w14:textId="6FB4A04D" w:rsidR="00EC1126" w:rsidRDefault="0012533A" w:rsidP="00C757EF">
      <w:pPr>
        <w:rPr>
          <w:rFonts w:ascii="Arial" w:hAnsi="Arial" w:cs="Arial"/>
          <w:sz w:val="22"/>
          <w:szCs w:val="22"/>
        </w:rPr>
      </w:pPr>
      <w:r w:rsidRPr="008F464C">
        <w:rPr>
          <w:rFonts w:ascii="Arial" w:hAnsi="Arial" w:cs="Arial"/>
          <w:b/>
          <w:bCs/>
          <w:sz w:val="22"/>
          <w:szCs w:val="22"/>
        </w:rPr>
        <w:t>Flexible Working Arrangement</w:t>
      </w:r>
      <w:r w:rsidRPr="00E368CE">
        <w:rPr>
          <w:rFonts w:ascii="Arial" w:hAnsi="Arial" w:cs="Arial"/>
          <w:sz w:val="22"/>
          <w:szCs w:val="22"/>
        </w:rPr>
        <w:t xml:space="preserve">: </w:t>
      </w:r>
      <w:r w:rsidR="00252EB7">
        <w:rPr>
          <w:rFonts w:ascii="Arial" w:hAnsi="Arial" w:cs="Arial"/>
          <w:sz w:val="22"/>
          <w:szCs w:val="22"/>
        </w:rPr>
        <w:t>While hybrid and remote work are now standard, they have created new, persistent problems. A major issue is proximity bias, where managers unconsciously favour employees they see in the office, viewing them as more dedicated and giving them better projects and promotion chances (Bloom et</w:t>
      </w:r>
      <w:r w:rsidR="00E90537">
        <w:rPr>
          <w:rFonts w:ascii="Arial" w:hAnsi="Arial" w:cs="Arial"/>
          <w:sz w:val="22"/>
          <w:szCs w:val="22"/>
        </w:rPr>
        <w:t xml:space="preserve"> al., 2015). This leaves remote workers feeling isolated and out of the loop. Missing the informal chats and networking that happen naturally in an office.</w:t>
      </w:r>
    </w:p>
    <w:p w14:paraId="054BDF08" w14:textId="02595910" w:rsidR="00E90537" w:rsidRPr="00E368CE" w:rsidRDefault="00E90537" w:rsidP="00C757EF">
      <w:pPr>
        <w:rPr>
          <w:rFonts w:ascii="Arial" w:hAnsi="Arial" w:cs="Arial"/>
          <w:sz w:val="22"/>
          <w:szCs w:val="22"/>
        </w:rPr>
      </w:pPr>
      <w:r>
        <w:rPr>
          <w:rFonts w:ascii="Arial" w:hAnsi="Arial" w:cs="Arial"/>
          <w:sz w:val="22"/>
          <w:szCs w:val="22"/>
        </w:rPr>
        <w:t>Practical problems also fuel grievances. Many lack a proper home office or reliable internet, making their workday harder when they are at home.</w:t>
      </w:r>
      <w:r w:rsidR="00B15741">
        <w:rPr>
          <w:rFonts w:ascii="Arial" w:hAnsi="Arial" w:cs="Arial"/>
          <w:sz w:val="22"/>
          <w:szCs w:val="22"/>
        </w:rPr>
        <w:t xml:space="preserve"> The biggest struggle, however, is the blurred line between work and home. Without clear rules to switch off, people end up working longer hours and can’t mentally disconnect</w:t>
      </w:r>
      <w:r w:rsidR="00001E0E">
        <w:rPr>
          <w:rFonts w:ascii="Arial" w:hAnsi="Arial" w:cs="Arial"/>
          <w:sz w:val="22"/>
          <w:szCs w:val="22"/>
        </w:rPr>
        <w:t xml:space="preserve">, leading to burnout. To make matters worse, inconsistent policies across teams where some have full flexibility and others are micromanaged breed resentment and a strong sense of unfairness, </w:t>
      </w:r>
      <w:r w:rsidR="00207C02">
        <w:rPr>
          <w:rFonts w:ascii="Arial" w:hAnsi="Arial" w:cs="Arial"/>
          <w:sz w:val="22"/>
          <w:szCs w:val="22"/>
        </w:rPr>
        <w:t>undermining</w:t>
      </w:r>
      <w:r w:rsidR="00001E0E">
        <w:rPr>
          <w:rFonts w:ascii="Arial" w:hAnsi="Arial" w:cs="Arial"/>
          <w:sz w:val="22"/>
          <w:szCs w:val="22"/>
        </w:rPr>
        <w:t xml:space="preserve"> the principle of equal opportunity for all staff (Gajendran &amp; Harris</w:t>
      </w:r>
      <w:r w:rsidR="00207C02">
        <w:rPr>
          <w:rFonts w:ascii="Arial" w:hAnsi="Arial" w:cs="Arial"/>
          <w:sz w:val="22"/>
          <w:szCs w:val="22"/>
        </w:rPr>
        <w:t>on, 2015)</w:t>
      </w:r>
    </w:p>
    <w:p w14:paraId="77AF8E68" w14:textId="77777777" w:rsidR="002C4A4E" w:rsidRPr="00E368CE" w:rsidRDefault="002C4A4E" w:rsidP="00C757EF">
      <w:pPr>
        <w:rPr>
          <w:rFonts w:ascii="Arial" w:hAnsi="Arial" w:cs="Arial"/>
        </w:rPr>
      </w:pPr>
    </w:p>
    <w:p w14:paraId="39ACD0E1" w14:textId="5A858FC6" w:rsidR="002C4A4E" w:rsidRPr="00E368CE" w:rsidRDefault="000449A3" w:rsidP="008E78E7">
      <w:pPr>
        <w:pStyle w:val="Heading2"/>
        <w:numPr>
          <w:ilvl w:val="0"/>
          <w:numId w:val="1"/>
        </w:numPr>
      </w:pPr>
      <w:r w:rsidRPr="00E368CE">
        <w:t>Evaluation of Different Contemporary HR Practices to Address</w:t>
      </w:r>
      <w:r w:rsidR="00490AA2" w:rsidRPr="00E368CE">
        <w:t xml:space="preserve"> Each Aforementioned Factor</w:t>
      </w:r>
    </w:p>
    <w:p w14:paraId="1B9F28FD" w14:textId="259AF6DA" w:rsidR="007E18BD" w:rsidRPr="00E368CE" w:rsidRDefault="00E56594" w:rsidP="00490AA2">
      <w:pPr>
        <w:rPr>
          <w:rFonts w:ascii="Arial" w:hAnsi="Arial" w:cs="Arial"/>
          <w:sz w:val="22"/>
          <w:szCs w:val="22"/>
        </w:rPr>
      </w:pPr>
      <w:r>
        <w:rPr>
          <w:rFonts w:ascii="Arial" w:hAnsi="Arial" w:cs="Arial"/>
          <w:sz w:val="22"/>
          <w:szCs w:val="22"/>
        </w:rPr>
        <w:t>Solving</w:t>
      </w:r>
      <w:r w:rsidR="00125D17">
        <w:rPr>
          <w:rFonts w:ascii="Arial" w:hAnsi="Arial" w:cs="Arial"/>
          <w:sz w:val="22"/>
          <w:szCs w:val="22"/>
        </w:rPr>
        <w:t xml:space="preserve"> these linked challenges means HR must change. We need to stop just administering policies and start implementing proactive, strategic practices that are genuinely focused on supporting our people.</w:t>
      </w:r>
    </w:p>
    <w:p w14:paraId="09FD251D" w14:textId="0772A6A1" w:rsidR="007E18BD" w:rsidRDefault="007E18BD" w:rsidP="00490AA2">
      <w:pPr>
        <w:rPr>
          <w:rFonts w:ascii="Arial" w:hAnsi="Arial" w:cs="Arial"/>
          <w:sz w:val="22"/>
          <w:szCs w:val="22"/>
        </w:rPr>
      </w:pPr>
      <w:r w:rsidRPr="00731A10">
        <w:rPr>
          <w:rFonts w:ascii="Arial" w:hAnsi="Arial" w:cs="Arial"/>
          <w:b/>
          <w:bCs/>
          <w:sz w:val="22"/>
          <w:szCs w:val="22"/>
        </w:rPr>
        <w:t>To Mitigate Business Transformation Impacts</w:t>
      </w:r>
      <w:r w:rsidRPr="00E368CE">
        <w:rPr>
          <w:rFonts w:ascii="Arial" w:hAnsi="Arial" w:cs="Arial"/>
          <w:sz w:val="22"/>
          <w:szCs w:val="22"/>
        </w:rPr>
        <w:t>:</w:t>
      </w:r>
    </w:p>
    <w:p w14:paraId="52D081BD" w14:textId="183E5647" w:rsidR="002D2900" w:rsidRDefault="009867AA" w:rsidP="002D2900">
      <w:pPr>
        <w:pStyle w:val="ListParagraph"/>
        <w:numPr>
          <w:ilvl w:val="0"/>
          <w:numId w:val="7"/>
        </w:numPr>
        <w:rPr>
          <w:rFonts w:ascii="Arial" w:hAnsi="Arial" w:cs="Arial"/>
          <w:sz w:val="22"/>
          <w:szCs w:val="22"/>
        </w:rPr>
      </w:pPr>
      <w:r w:rsidRPr="001B6460">
        <w:rPr>
          <w:rFonts w:ascii="Arial" w:hAnsi="Arial" w:cs="Arial"/>
          <w:b/>
          <w:bCs/>
          <w:sz w:val="22"/>
          <w:szCs w:val="22"/>
        </w:rPr>
        <w:t>Involve People in the Change</w:t>
      </w:r>
      <w:r>
        <w:rPr>
          <w:rFonts w:ascii="Arial" w:hAnsi="Arial" w:cs="Arial"/>
          <w:sz w:val="22"/>
          <w:szCs w:val="22"/>
        </w:rPr>
        <w:t xml:space="preserve">: Instead of just announcing changes from the top, use a clear framework like Kotter’s 8 step process. This focuses on building a strong </w:t>
      </w:r>
      <w:r>
        <w:rPr>
          <w:rFonts w:ascii="Arial" w:hAnsi="Arial" w:cs="Arial"/>
          <w:sz w:val="22"/>
          <w:szCs w:val="22"/>
        </w:rPr>
        <w:lastRenderedPageBreak/>
        <w:t xml:space="preserve">leadership team, creating a shared outlook </w:t>
      </w:r>
      <w:r w:rsidR="004D1E68">
        <w:rPr>
          <w:rFonts w:ascii="Arial" w:hAnsi="Arial" w:cs="Arial"/>
          <w:sz w:val="22"/>
          <w:szCs w:val="22"/>
        </w:rPr>
        <w:t>onto the future, and actively removing barriers so all employees can contribute (Kotter, 2012). Creating networks</w:t>
      </w:r>
      <w:r w:rsidR="0030545E">
        <w:rPr>
          <w:rFonts w:ascii="Arial" w:hAnsi="Arial" w:cs="Arial"/>
          <w:sz w:val="22"/>
          <w:szCs w:val="22"/>
        </w:rPr>
        <w:t xml:space="preserve"> of respected ‘change champions’ across teams is key. They ensure honest two way communication, make feedback a regular part of the process</w:t>
      </w:r>
      <w:r w:rsidR="002D2900">
        <w:rPr>
          <w:rFonts w:ascii="Arial" w:hAnsi="Arial" w:cs="Arial"/>
          <w:sz w:val="22"/>
          <w:szCs w:val="22"/>
        </w:rPr>
        <w:t>, and help everyone feel ownership of the outcome, which cuts down resistance.</w:t>
      </w:r>
    </w:p>
    <w:p w14:paraId="03627152" w14:textId="77777777" w:rsidR="001B6460" w:rsidRDefault="001B6460" w:rsidP="001B6460">
      <w:pPr>
        <w:pStyle w:val="ListParagraph"/>
        <w:rPr>
          <w:rFonts w:ascii="Arial" w:hAnsi="Arial" w:cs="Arial"/>
          <w:sz w:val="22"/>
          <w:szCs w:val="22"/>
        </w:rPr>
      </w:pPr>
    </w:p>
    <w:p w14:paraId="21614FF3" w14:textId="3D4D895D" w:rsidR="002D2900" w:rsidRPr="002D2900" w:rsidRDefault="002D2900" w:rsidP="002D2900">
      <w:pPr>
        <w:pStyle w:val="ListParagraph"/>
        <w:numPr>
          <w:ilvl w:val="0"/>
          <w:numId w:val="7"/>
        </w:numPr>
        <w:rPr>
          <w:rFonts w:ascii="Arial" w:hAnsi="Arial" w:cs="Arial"/>
          <w:sz w:val="22"/>
          <w:szCs w:val="22"/>
        </w:rPr>
      </w:pPr>
      <w:r w:rsidRPr="001B6460">
        <w:rPr>
          <w:rFonts w:ascii="Arial" w:hAnsi="Arial" w:cs="Arial"/>
          <w:b/>
          <w:bCs/>
          <w:sz w:val="22"/>
          <w:szCs w:val="22"/>
        </w:rPr>
        <w:t>Plan Skills Proactively</w:t>
      </w:r>
      <w:r w:rsidR="00C96633">
        <w:rPr>
          <w:rFonts w:ascii="Arial" w:hAnsi="Arial" w:cs="Arial"/>
          <w:sz w:val="22"/>
          <w:szCs w:val="22"/>
        </w:rPr>
        <w:t>: Waiting to train people is too late. HR must use data to spot future skill gaps and create clear, persona pathways for staff to transition into new roles.</w:t>
      </w:r>
      <w:r w:rsidR="00BB32D7">
        <w:rPr>
          <w:rFonts w:ascii="Arial" w:hAnsi="Arial" w:cs="Arial"/>
          <w:sz w:val="22"/>
          <w:szCs w:val="22"/>
        </w:rPr>
        <w:t xml:space="preserve"> </w:t>
      </w:r>
      <w:r w:rsidR="004A2408">
        <w:rPr>
          <w:rFonts w:ascii="Arial" w:hAnsi="Arial" w:cs="Arial"/>
          <w:sz w:val="22"/>
          <w:szCs w:val="22"/>
        </w:rPr>
        <w:t>A powerful tool is an Internal Talent Marketplace, similar in concept to the professional networking and opportunity matching features of LinkedIn. This lets employees</w:t>
      </w:r>
      <w:r w:rsidR="00DF4705">
        <w:rPr>
          <w:rFonts w:ascii="Arial" w:hAnsi="Arial" w:cs="Arial"/>
          <w:sz w:val="22"/>
          <w:szCs w:val="22"/>
        </w:rPr>
        <w:t xml:space="preserve"> see internal career opportunities, work on short term projects in different areas, and find bite</w:t>
      </w:r>
      <w:r w:rsidR="001B6460">
        <w:rPr>
          <w:rFonts w:ascii="Arial" w:hAnsi="Arial" w:cs="Arial"/>
          <w:sz w:val="22"/>
          <w:szCs w:val="22"/>
        </w:rPr>
        <w:t xml:space="preserve"> </w:t>
      </w:r>
      <w:r w:rsidR="00DF4705">
        <w:rPr>
          <w:rFonts w:ascii="Arial" w:hAnsi="Arial" w:cs="Arial"/>
          <w:sz w:val="22"/>
          <w:szCs w:val="22"/>
        </w:rPr>
        <w:t>sized training</w:t>
      </w:r>
      <w:r w:rsidR="001B6460">
        <w:rPr>
          <w:rFonts w:ascii="Arial" w:hAnsi="Arial" w:cs="Arial"/>
          <w:sz w:val="22"/>
          <w:szCs w:val="22"/>
        </w:rPr>
        <w:t>. It promotes constant learning, shows there are future options within the company, and reduces the fear of job loss by investing in people’s long-term value (Cappelli &amp; Keller, 2014).</w:t>
      </w:r>
    </w:p>
    <w:p w14:paraId="46BB0B7A" w14:textId="77777777" w:rsidR="009867AA" w:rsidRDefault="009867AA" w:rsidP="005F711C">
      <w:pPr>
        <w:pStyle w:val="ListParagraph"/>
        <w:rPr>
          <w:rFonts w:ascii="Arial" w:hAnsi="Arial" w:cs="Arial"/>
          <w:sz w:val="22"/>
          <w:szCs w:val="22"/>
        </w:rPr>
      </w:pPr>
    </w:p>
    <w:p w14:paraId="6A8586C3" w14:textId="77777777" w:rsidR="009867AA" w:rsidRDefault="009867AA" w:rsidP="005F711C">
      <w:pPr>
        <w:pStyle w:val="ListParagraph"/>
        <w:rPr>
          <w:rFonts w:ascii="Arial" w:hAnsi="Arial" w:cs="Arial"/>
          <w:sz w:val="22"/>
          <w:szCs w:val="22"/>
        </w:rPr>
      </w:pPr>
    </w:p>
    <w:p w14:paraId="40D2A70A" w14:textId="10B42895" w:rsidR="005F711C" w:rsidRPr="00731A10" w:rsidRDefault="005F711C" w:rsidP="005F711C">
      <w:pPr>
        <w:pStyle w:val="ListParagraph"/>
        <w:rPr>
          <w:rFonts w:ascii="Arial" w:hAnsi="Arial" w:cs="Arial"/>
          <w:b/>
          <w:bCs/>
          <w:sz w:val="22"/>
          <w:szCs w:val="22"/>
        </w:rPr>
      </w:pPr>
      <w:r w:rsidRPr="00731A10">
        <w:rPr>
          <w:rFonts w:ascii="Arial" w:hAnsi="Arial" w:cs="Arial"/>
          <w:b/>
          <w:bCs/>
          <w:sz w:val="22"/>
          <w:szCs w:val="22"/>
        </w:rPr>
        <w:t>To Address Digital Technology</w:t>
      </w:r>
      <w:r w:rsidR="00BC5D63" w:rsidRPr="00731A10">
        <w:rPr>
          <w:rFonts w:ascii="Arial" w:hAnsi="Arial" w:cs="Arial"/>
          <w:b/>
          <w:bCs/>
          <w:sz w:val="22"/>
          <w:szCs w:val="22"/>
        </w:rPr>
        <w:t xml:space="preserve"> Challenges:</w:t>
      </w:r>
    </w:p>
    <w:p w14:paraId="2527F271" w14:textId="05CD0D5A" w:rsidR="00BC5D63" w:rsidRPr="00E368CE" w:rsidRDefault="00BC5D63" w:rsidP="00BC5D63">
      <w:pPr>
        <w:pStyle w:val="ListParagraph"/>
        <w:numPr>
          <w:ilvl w:val="0"/>
          <w:numId w:val="2"/>
        </w:numPr>
        <w:rPr>
          <w:rFonts w:ascii="Arial" w:hAnsi="Arial" w:cs="Arial"/>
          <w:sz w:val="22"/>
          <w:szCs w:val="22"/>
        </w:rPr>
      </w:pPr>
      <w:r w:rsidRPr="00E368CE">
        <w:rPr>
          <w:rFonts w:ascii="Arial" w:hAnsi="Arial" w:cs="Arial"/>
          <w:sz w:val="22"/>
          <w:szCs w:val="22"/>
        </w:rPr>
        <w:t>Promoting Digital Wellbeing &amp; Ethical Technology Governance: HR must lead in establishing not just policies but a cultural shift. This includes instituting “Digital Hygiene”</w:t>
      </w:r>
      <w:r w:rsidR="00863D27" w:rsidRPr="00E368CE">
        <w:rPr>
          <w:rFonts w:ascii="Arial" w:hAnsi="Arial" w:cs="Arial"/>
          <w:sz w:val="22"/>
          <w:szCs w:val="22"/>
        </w:rPr>
        <w:t xml:space="preserve"> protocols and a formal, organisation wide “Right to Disconnect” policy, </w:t>
      </w:r>
      <w:r w:rsidR="0028069A" w:rsidRPr="00E368CE">
        <w:rPr>
          <w:rFonts w:ascii="Arial" w:hAnsi="Arial" w:cs="Arial"/>
          <w:sz w:val="22"/>
          <w:szCs w:val="22"/>
        </w:rPr>
        <w:t>endorsed</w:t>
      </w:r>
      <w:r w:rsidR="00863D27" w:rsidRPr="00E368CE">
        <w:rPr>
          <w:rFonts w:ascii="Arial" w:hAnsi="Arial" w:cs="Arial"/>
          <w:sz w:val="22"/>
          <w:szCs w:val="22"/>
        </w:rPr>
        <w:t xml:space="preserve"> by senior </w:t>
      </w:r>
      <w:r w:rsidR="002F6E92" w:rsidRPr="00E368CE">
        <w:rPr>
          <w:rFonts w:ascii="Arial" w:hAnsi="Arial" w:cs="Arial"/>
          <w:sz w:val="22"/>
          <w:szCs w:val="22"/>
        </w:rPr>
        <w:t>leadership</w:t>
      </w:r>
      <w:r w:rsidR="00863D27" w:rsidRPr="00E368CE">
        <w:rPr>
          <w:rFonts w:ascii="Arial" w:hAnsi="Arial" w:cs="Arial"/>
          <w:sz w:val="22"/>
          <w:szCs w:val="22"/>
        </w:rPr>
        <w:t xml:space="preserve">, to </w:t>
      </w:r>
      <w:r w:rsidR="00BE19FF" w:rsidRPr="00E368CE">
        <w:rPr>
          <w:rFonts w:ascii="Arial" w:hAnsi="Arial" w:cs="Arial"/>
          <w:sz w:val="22"/>
          <w:szCs w:val="22"/>
        </w:rPr>
        <w:t>legally and culturally protect work life boundaries and combat burnout (Grant et al</w:t>
      </w:r>
      <w:r w:rsidR="00176FB3" w:rsidRPr="00E368CE">
        <w:rPr>
          <w:rFonts w:ascii="Arial" w:hAnsi="Arial" w:cs="Arial"/>
          <w:sz w:val="22"/>
          <w:szCs w:val="22"/>
        </w:rPr>
        <w:t>., 2019) A practical application is implementing organisation sanctioned ‘focus time’ blocks in shared calendars to facilitate deep, uninterrupted work</w:t>
      </w:r>
      <w:r w:rsidR="00980A4E" w:rsidRPr="00E368CE">
        <w:rPr>
          <w:rFonts w:ascii="Arial" w:hAnsi="Arial" w:cs="Arial"/>
          <w:sz w:val="22"/>
          <w:szCs w:val="22"/>
        </w:rPr>
        <w:t>. Furthermore, Co creating an Ethical AI Charter with employee representatives is imperative to govern the use of monitoring tools,</w:t>
      </w:r>
      <w:r w:rsidR="00C72BF6" w:rsidRPr="00E368CE">
        <w:rPr>
          <w:rFonts w:ascii="Arial" w:hAnsi="Arial" w:cs="Arial"/>
          <w:sz w:val="22"/>
          <w:szCs w:val="22"/>
        </w:rPr>
        <w:t xml:space="preserve"> algorithmic decision making in recruitment or performance, and data privacy, ensuring transparency, fairness, and the preservation of trust.</w:t>
      </w:r>
    </w:p>
    <w:p w14:paraId="49CE2911" w14:textId="16CE8DEB" w:rsidR="00063E08" w:rsidRPr="00E368CE" w:rsidRDefault="00063E08" w:rsidP="00BC5D63">
      <w:pPr>
        <w:pStyle w:val="ListParagraph"/>
        <w:numPr>
          <w:ilvl w:val="0"/>
          <w:numId w:val="2"/>
        </w:numPr>
        <w:rPr>
          <w:rFonts w:ascii="Arial" w:hAnsi="Arial" w:cs="Arial"/>
          <w:sz w:val="22"/>
          <w:szCs w:val="22"/>
        </w:rPr>
      </w:pPr>
      <w:r w:rsidRPr="00E368CE">
        <w:rPr>
          <w:rFonts w:ascii="Arial" w:hAnsi="Arial" w:cs="Arial"/>
          <w:sz w:val="22"/>
          <w:szCs w:val="22"/>
        </w:rPr>
        <w:t>Technology Enabled, Human Centric Performance Development: The legacy</w:t>
      </w:r>
      <w:r w:rsidR="004C100E" w:rsidRPr="00E368CE">
        <w:rPr>
          <w:rFonts w:ascii="Arial" w:hAnsi="Arial" w:cs="Arial"/>
          <w:sz w:val="22"/>
          <w:szCs w:val="22"/>
        </w:rPr>
        <w:t xml:space="preserve"> annual appraisal is obsolete. The contemporary approach is continuous performance development model</w:t>
      </w:r>
      <w:r w:rsidR="002F4FAD" w:rsidRPr="00E368CE">
        <w:rPr>
          <w:rFonts w:ascii="Arial" w:hAnsi="Arial" w:cs="Arial"/>
          <w:sz w:val="22"/>
          <w:szCs w:val="22"/>
        </w:rPr>
        <w:t>, Facilitated by platforms like Lattice or Culture Amp. This framework shifts focus from retrospective scoring to ongoing feedback,</w:t>
      </w:r>
      <w:r w:rsidR="00C77050" w:rsidRPr="00E368CE">
        <w:rPr>
          <w:rFonts w:ascii="Arial" w:hAnsi="Arial" w:cs="Arial"/>
          <w:sz w:val="22"/>
          <w:szCs w:val="22"/>
        </w:rPr>
        <w:t xml:space="preserve"> forward looking coaching conversation, and growth orientated </w:t>
      </w:r>
      <w:r w:rsidR="001C15B9" w:rsidRPr="00E368CE">
        <w:rPr>
          <w:rFonts w:ascii="Arial" w:hAnsi="Arial" w:cs="Arial"/>
          <w:sz w:val="22"/>
          <w:szCs w:val="22"/>
        </w:rPr>
        <w:t>goal setting. It repositions technology as enabler of development and conversation, rather than solely</w:t>
      </w:r>
      <w:r w:rsidR="00A64A6F" w:rsidRPr="00E368CE">
        <w:rPr>
          <w:rFonts w:ascii="Arial" w:hAnsi="Arial" w:cs="Arial"/>
          <w:sz w:val="22"/>
          <w:szCs w:val="22"/>
        </w:rPr>
        <w:t xml:space="preserve"> a tool for surveillance or bureaucratic record keeping, thereby addressing grievances related to unfair or opaque evaluation.</w:t>
      </w:r>
    </w:p>
    <w:p w14:paraId="34F566B5" w14:textId="39E90487" w:rsidR="00A64A6F" w:rsidRPr="00731A10" w:rsidRDefault="00A64A6F" w:rsidP="00A64A6F">
      <w:pPr>
        <w:rPr>
          <w:rFonts w:ascii="Arial" w:hAnsi="Arial" w:cs="Arial"/>
          <w:b/>
          <w:bCs/>
          <w:sz w:val="22"/>
          <w:szCs w:val="22"/>
        </w:rPr>
      </w:pPr>
      <w:r w:rsidRPr="00731A10">
        <w:rPr>
          <w:rFonts w:ascii="Arial" w:hAnsi="Arial" w:cs="Arial"/>
          <w:b/>
          <w:bCs/>
          <w:sz w:val="22"/>
          <w:szCs w:val="22"/>
        </w:rPr>
        <w:t>To Optimise Flexible Working Arrangements</w:t>
      </w:r>
    </w:p>
    <w:p w14:paraId="15ABDCDF" w14:textId="1F0689F5" w:rsidR="00970BA3" w:rsidRPr="00E368CE" w:rsidRDefault="00491E90" w:rsidP="00970BA3">
      <w:pPr>
        <w:pStyle w:val="ListParagraph"/>
        <w:numPr>
          <w:ilvl w:val="0"/>
          <w:numId w:val="3"/>
        </w:numPr>
        <w:rPr>
          <w:rFonts w:ascii="Arial" w:hAnsi="Arial" w:cs="Arial"/>
          <w:sz w:val="22"/>
          <w:szCs w:val="22"/>
        </w:rPr>
      </w:pPr>
      <w:r w:rsidRPr="00731A10">
        <w:rPr>
          <w:rFonts w:ascii="Arial" w:hAnsi="Arial" w:cs="Arial"/>
          <w:b/>
          <w:bCs/>
          <w:sz w:val="22"/>
          <w:szCs w:val="22"/>
        </w:rPr>
        <w:t>Designing an equity centric hybrid work framework</w:t>
      </w:r>
      <w:r w:rsidRPr="00E368CE">
        <w:rPr>
          <w:rFonts w:ascii="Arial" w:hAnsi="Arial" w:cs="Arial"/>
          <w:sz w:val="22"/>
          <w:szCs w:val="22"/>
        </w:rPr>
        <w:t xml:space="preserve">: Success requires moving from ad hoc flexibility to deliberate </w:t>
      </w:r>
      <w:r w:rsidR="006C2B0D" w:rsidRPr="00E368CE">
        <w:rPr>
          <w:rFonts w:ascii="Arial" w:hAnsi="Arial" w:cs="Arial"/>
          <w:sz w:val="22"/>
          <w:szCs w:val="22"/>
        </w:rPr>
        <w:t>“principles based</w:t>
      </w:r>
      <w:r w:rsidR="005278A8" w:rsidRPr="00E368CE">
        <w:rPr>
          <w:rFonts w:ascii="Arial" w:hAnsi="Arial" w:cs="Arial"/>
          <w:sz w:val="22"/>
          <w:szCs w:val="22"/>
        </w:rPr>
        <w:t>”</w:t>
      </w:r>
      <w:r w:rsidR="00D24E5C" w:rsidRPr="00E368CE">
        <w:rPr>
          <w:rFonts w:ascii="Arial" w:hAnsi="Arial" w:cs="Arial"/>
          <w:sz w:val="22"/>
          <w:szCs w:val="22"/>
        </w:rPr>
        <w:t xml:space="preserve"> hybrid framework. This charter, </w:t>
      </w:r>
      <w:r w:rsidR="00560121" w:rsidRPr="00E368CE">
        <w:rPr>
          <w:rFonts w:ascii="Arial" w:hAnsi="Arial" w:cs="Arial"/>
          <w:sz w:val="22"/>
          <w:szCs w:val="22"/>
        </w:rPr>
        <w:t>co-created</w:t>
      </w:r>
      <w:r w:rsidR="00D24E5C" w:rsidRPr="00E368CE">
        <w:rPr>
          <w:rFonts w:ascii="Arial" w:hAnsi="Arial" w:cs="Arial"/>
          <w:sz w:val="22"/>
          <w:szCs w:val="22"/>
        </w:rPr>
        <w:t xml:space="preserve"> with employees, defines clear expectations on core collaboration hours</w:t>
      </w:r>
      <w:r w:rsidR="002225D9" w:rsidRPr="00E368CE">
        <w:rPr>
          <w:rFonts w:ascii="Arial" w:hAnsi="Arial" w:cs="Arial"/>
          <w:sz w:val="22"/>
          <w:szCs w:val="22"/>
        </w:rPr>
        <w:t>, communication protocols, and outcome based performance metrics. Mandating inclusive meeting practices where all participants join via individual laptops in a hybrid setting and providing</w:t>
      </w:r>
      <w:r w:rsidR="0097393D" w:rsidRPr="00E368CE">
        <w:rPr>
          <w:rFonts w:ascii="Arial" w:hAnsi="Arial" w:cs="Arial"/>
          <w:sz w:val="22"/>
          <w:szCs w:val="22"/>
        </w:rPr>
        <w:t xml:space="preserve"> a standardised home working equipment stipend are essential, tangible actions to create a level playing field and demonstrate organisational commitment to equitable support</w:t>
      </w:r>
      <w:r w:rsidR="00B4301B" w:rsidRPr="00E368CE">
        <w:rPr>
          <w:rFonts w:ascii="Arial" w:hAnsi="Arial" w:cs="Arial"/>
          <w:sz w:val="22"/>
          <w:szCs w:val="22"/>
        </w:rPr>
        <w:t>.</w:t>
      </w:r>
    </w:p>
    <w:p w14:paraId="43E41631" w14:textId="39518521" w:rsidR="00B4301B" w:rsidRPr="00E368CE" w:rsidRDefault="00B4301B" w:rsidP="00970BA3">
      <w:pPr>
        <w:pStyle w:val="ListParagraph"/>
        <w:numPr>
          <w:ilvl w:val="0"/>
          <w:numId w:val="3"/>
        </w:numPr>
        <w:rPr>
          <w:rFonts w:ascii="Arial" w:hAnsi="Arial" w:cs="Arial"/>
          <w:sz w:val="22"/>
          <w:szCs w:val="22"/>
        </w:rPr>
      </w:pPr>
      <w:r w:rsidRPr="00731A10">
        <w:rPr>
          <w:rFonts w:ascii="Arial" w:hAnsi="Arial" w:cs="Arial"/>
          <w:b/>
          <w:bCs/>
          <w:sz w:val="22"/>
          <w:szCs w:val="22"/>
        </w:rPr>
        <w:t>Cultivating Intentional Connection &amp; Systematically Mitigating Bias</w:t>
      </w:r>
      <w:r w:rsidR="007C35DD" w:rsidRPr="00731A10">
        <w:rPr>
          <w:rFonts w:ascii="Arial" w:hAnsi="Arial" w:cs="Arial"/>
          <w:b/>
          <w:bCs/>
          <w:sz w:val="22"/>
          <w:szCs w:val="22"/>
        </w:rPr>
        <w:t>:</w:t>
      </w:r>
      <w:r w:rsidR="007C35DD" w:rsidRPr="00E368CE">
        <w:rPr>
          <w:rFonts w:ascii="Arial" w:hAnsi="Arial" w:cs="Arial"/>
          <w:sz w:val="22"/>
          <w:szCs w:val="22"/>
        </w:rPr>
        <w:t xml:space="preserve"> Combatting isolation and proximity bias requires deliberate, designed intervention, This includes </w:t>
      </w:r>
      <w:r w:rsidR="007C35DD" w:rsidRPr="00E368CE">
        <w:rPr>
          <w:rFonts w:ascii="Arial" w:hAnsi="Arial" w:cs="Arial"/>
          <w:sz w:val="22"/>
          <w:szCs w:val="22"/>
        </w:rPr>
        <w:lastRenderedPageBreak/>
        <w:t>scheduling mandatory “virtual watercooler” time at the start of team meetings and investing in structured hybrid social events. Most critically, mandatory, accessed training for all people managers</w:t>
      </w:r>
      <w:r w:rsidR="00594678" w:rsidRPr="00E368CE">
        <w:rPr>
          <w:rFonts w:ascii="Arial" w:hAnsi="Arial" w:cs="Arial"/>
          <w:sz w:val="22"/>
          <w:szCs w:val="22"/>
        </w:rPr>
        <w:t xml:space="preserve"> on inclusive leadership, outcome based management, and recognising unconscious bias is </w:t>
      </w:r>
      <w:r w:rsidR="00560121" w:rsidRPr="00E368CE">
        <w:rPr>
          <w:rFonts w:ascii="Arial" w:hAnsi="Arial" w:cs="Arial"/>
          <w:sz w:val="22"/>
          <w:szCs w:val="22"/>
        </w:rPr>
        <w:t>non-negotiable</w:t>
      </w:r>
      <w:r w:rsidR="00594678" w:rsidRPr="00E368CE">
        <w:rPr>
          <w:rFonts w:ascii="Arial" w:hAnsi="Arial" w:cs="Arial"/>
          <w:sz w:val="22"/>
          <w:szCs w:val="22"/>
        </w:rPr>
        <w:t>. This ensures career advancement and opportunity allocation are based on demonstrable merit and measurable results, not physical presence or visibility (Gratton, 2021)</w:t>
      </w:r>
    </w:p>
    <w:p w14:paraId="16BDADD6" w14:textId="2F4437A6" w:rsidR="00594678" w:rsidRPr="00E368CE" w:rsidRDefault="00387F87" w:rsidP="008E78E7">
      <w:pPr>
        <w:pStyle w:val="Heading2"/>
        <w:numPr>
          <w:ilvl w:val="0"/>
          <w:numId w:val="1"/>
        </w:numPr>
      </w:pPr>
      <w:r w:rsidRPr="00E368CE">
        <w:t>Critical Evaluation of How Departmental Managers Can Ensure these Contemporary Practices Are Implemented as a Matter of Urgency.</w:t>
      </w:r>
    </w:p>
    <w:p w14:paraId="0C83F326" w14:textId="34905E90" w:rsidR="00387F87" w:rsidRPr="00E368CE" w:rsidRDefault="00E779DA" w:rsidP="00387F87">
      <w:pPr>
        <w:rPr>
          <w:rFonts w:ascii="Arial" w:hAnsi="Arial" w:cs="Arial"/>
          <w:sz w:val="22"/>
          <w:szCs w:val="22"/>
        </w:rPr>
      </w:pPr>
      <w:r w:rsidRPr="00E368CE">
        <w:rPr>
          <w:rFonts w:ascii="Arial" w:hAnsi="Arial" w:cs="Arial"/>
          <w:sz w:val="22"/>
          <w:szCs w:val="22"/>
        </w:rPr>
        <w:t>The strategic efficacy and timely impact of the aforementioned HR practices are entirely contingent on their consistent, skilled application by departmental managers, who constitute the critical interface between policy</w:t>
      </w:r>
      <w:r w:rsidR="00073C6A" w:rsidRPr="00E368CE">
        <w:rPr>
          <w:rFonts w:ascii="Arial" w:hAnsi="Arial" w:cs="Arial"/>
          <w:sz w:val="22"/>
          <w:szCs w:val="22"/>
        </w:rPr>
        <w:t xml:space="preserve"> an daily employee experience. Ensuring urgent, effective implementation requires a multi-faceted strategy</w:t>
      </w:r>
      <w:r w:rsidR="008C680F" w:rsidRPr="00E368CE">
        <w:rPr>
          <w:rFonts w:ascii="Arial" w:hAnsi="Arial" w:cs="Arial"/>
          <w:sz w:val="22"/>
          <w:szCs w:val="22"/>
        </w:rPr>
        <w:t xml:space="preserve"> that combines unambiguous accountability, targeted capability building, and sustained, high value support.</w:t>
      </w:r>
    </w:p>
    <w:p w14:paraId="0F01B558" w14:textId="79B8DF5F" w:rsidR="008C680F" w:rsidRPr="00E368CE" w:rsidRDefault="008C680F" w:rsidP="00387F87">
      <w:pPr>
        <w:rPr>
          <w:rFonts w:ascii="Arial" w:hAnsi="Arial" w:cs="Arial"/>
          <w:sz w:val="22"/>
          <w:szCs w:val="22"/>
        </w:rPr>
      </w:pPr>
    </w:p>
    <w:p w14:paraId="6E88839B" w14:textId="00F4B750" w:rsidR="008C680F" w:rsidRPr="00E368CE" w:rsidRDefault="008C680F" w:rsidP="00387F87">
      <w:pPr>
        <w:rPr>
          <w:rFonts w:ascii="Arial" w:hAnsi="Arial" w:cs="Arial"/>
          <w:sz w:val="22"/>
          <w:szCs w:val="22"/>
        </w:rPr>
      </w:pPr>
      <w:r w:rsidRPr="00E368CE">
        <w:rPr>
          <w:rFonts w:ascii="Arial" w:hAnsi="Arial" w:cs="Arial"/>
          <w:sz w:val="22"/>
          <w:szCs w:val="22"/>
        </w:rPr>
        <w:t>First, Managerial accountability must be structurally and explicitly embedded into the core definition of their role.</w:t>
      </w:r>
      <w:r w:rsidR="00F62794" w:rsidRPr="00E368CE">
        <w:rPr>
          <w:rFonts w:ascii="Arial" w:hAnsi="Arial" w:cs="Arial"/>
          <w:sz w:val="22"/>
          <w:szCs w:val="22"/>
        </w:rPr>
        <w:t xml:space="preserve"> Merely communicating new expectations is insufficient. Managerial Key performance Indicators (KPI’s)</w:t>
      </w:r>
      <w:r w:rsidR="00126856" w:rsidRPr="00E368CE">
        <w:rPr>
          <w:rFonts w:ascii="Arial" w:hAnsi="Arial" w:cs="Arial"/>
          <w:sz w:val="22"/>
          <w:szCs w:val="22"/>
        </w:rPr>
        <w:t xml:space="preserve">, bonus </w:t>
      </w:r>
      <w:r w:rsidR="006D152F" w:rsidRPr="00E368CE">
        <w:rPr>
          <w:rFonts w:ascii="Arial" w:hAnsi="Arial" w:cs="Arial"/>
          <w:sz w:val="22"/>
          <w:szCs w:val="22"/>
        </w:rPr>
        <w:t>structures</w:t>
      </w:r>
      <w:r w:rsidR="00126856" w:rsidRPr="00E368CE">
        <w:rPr>
          <w:rFonts w:ascii="Arial" w:hAnsi="Arial" w:cs="Arial"/>
          <w:sz w:val="22"/>
          <w:szCs w:val="22"/>
        </w:rPr>
        <w:t xml:space="preserve">, and promotion criteria must be fundamentally realigned to reflect their paramount </w:t>
      </w:r>
      <w:r w:rsidR="006D152F" w:rsidRPr="00E368CE">
        <w:rPr>
          <w:rFonts w:ascii="Arial" w:hAnsi="Arial" w:cs="Arial"/>
          <w:sz w:val="22"/>
          <w:szCs w:val="22"/>
        </w:rPr>
        <w:t>responsibility</w:t>
      </w:r>
      <w:r w:rsidR="00126856" w:rsidRPr="00E368CE">
        <w:rPr>
          <w:rFonts w:ascii="Arial" w:hAnsi="Arial" w:cs="Arial"/>
          <w:sz w:val="22"/>
          <w:szCs w:val="22"/>
        </w:rPr>
        <w:t xml:space="preserve"> as people leaders and change agents, not just operational </w:t>
      </w:r>
      <w:r w:rsidR="006C4317" w:rsidRPr="00E368CE">
        <w:rPr>
          <w:rFonts w:ascii="Arial" w:hAnsi="Arial" w:cs="Arial"/>
          <w:sz w:val="22"/>
          <w:szCs w:val="22"/>
        </w:rPr>
        <w:t>deliverers. This</w:t>
      </w:r>
      <w:r w:rsidR="006D152F" w:rsidRPr="00E368CE">
        <w:rPr>
          <w:rFonts w:ascii="Arial" w:hAnsi="Arial" w:cs="Arial"/>
          <w:sz w:val="22"/>
          <w:szCs w:val="22"/>
        </w:rPr>
        <w:t xml:space="preserve"> can be  oper</w:t>
      </w:r>
      <w:r w:rsidR="006C4317" w:rsidRPr="00E368CE">
        <w:rPr>
          <w:rFonts w:ascii="Arial" w:hAnsi="Arial" w:cs="Arial"/>
          <w:sz w:val="22"/>
          <w:szCs w:val="22"/>
        </w:rPr>
        <w:t xml:space="preserve">ationalised </w:t>
      </w:r>
      <w:r w:rsidR="006D152F" w:rsidRPr="00E368CE">
        <w:rPr>
          <w:rFonts w:ascii="Arial" w:hAnsi="Arial" w:cs="Arial"/>
          <w:sz w:val="22"/>
          <w:szCs w:val="22"/>
        </w:rPr>
        <w:t xml:space="preserve">through a formal </w:t>
      </w:r>
      <w:r w:rsidR="006C4317" w:rsidRPr="00E368CE">
        <w:rPr>
          <w:rFonts w:ascii="Arial" w:hAnsi="Arial" w:cs="Arial"/>
          <w:sz w:val="22"/>
          <w:szCs w:val="22"/>
        </w:rPr>
        <w:t>balanced</w:t>
      </w:r>
      <w:r w:rsidR="006D152F" w:rsidRPr="00E368CE">
        <w:rPr>
          <w:rFonts w:ascii="Arial" w:hAnsi="Arial" w:cs="Arial"/>
          <w:sz w:val="22"/>
          <w:szCs w:val="22"/>
        </w:rPr>
        <w:t xml:space="preserve"> scorecard</w:t>
      </w:r>
      <w:r w:rsidR="006C4317" w:rsidRPr="00E368CE">
        <w:rPr>
          <w:rFonts w:ascii="Arial" w:hAnsi="Arial" w:cs="Arial"/>
          <w:sz w:val="22"/>
          <w:szCs w:val="22"/>
        </w:rPr>
        <w:t xml:space="preserve">; for instance, 30% of manager’s quarterly performance assessment could be objectively </w:t>
      </w:r>
      <w:r w:rsidR="00AA737B" w:rsidRPr="00E368CE">
        <w:rPr>
          <w:rFonts w:ascii="Arial" w:hAnsi="Arial" w:cs="Arial"/>
          <w:sz w:val="22"/>
          <w:szCs w:val="22"/>
        </w:rPr>
        <w:t xml:space="preserve">linked to people metrics: 10% to team engagement survey results, 10% to documented completion of mandatory development check ins, and 10% to measurable </w:t>
      </w:r>
      <w:r w:rsidR="00086557" w:rsidRPr="00E368CE">
        <w:rPr>
          <w:rFonts w:ascii="Arial" w:hAnsi="Arial" w:cs="Arial"/>
          <w:sz w:val="22"/>
          <w:szCs w:val="22"/>
        </w:rPr>
        <w:t xml:space="preserve">improvement in team retention or reduction in formal grievances. This tangible weighting signals that effective people leadership is a core, measurable business competency </w:t>
      </w:r>
      <w:r w:rsidR="00C50C64" w:rsidRPr="00E368CE">
        <w:rPr>
          <w:rFonts w:ascii="Arial" w:hAnsi="Arial" w:cs="Arial"/>
          <w:sz w:val="22"/>
          <w:szCs w:val="22"/>
        </w:rPr>
        <w:t xml:space="preserve">with direct consequences for reward, recognition, and career progression, creating </w:t>
      </w:r>
      <w:r w:rsidR="00560121" w:rsidRPr="00E368CE">
        <w:rPr>
          <w:rFonts w:ascii="Arial" w:hAnsi="Arial" w:cs="Arial"/>
          <w:sz w:val="22"/>
          <w:szCs w:val="22"/>
        </w:rPr>
        <w:t>non-negotiable</w:t>
      </w:r>
      <w:r w:rsidR="00C50C64" w:rsidRPr="00E368CE">
        <w:rPr>
          <w:rFonts w:ascii="Arial" w:hAnsi="Arial" w:cs="Arial"/>
          <w:sz w:val="22"/>
          <w:szCs w:val="22"/>
        </w:rPr>
        <w:t xml:space="preserve"> urgency (Purcell &amp; Hutchinson</w:t>
      </w:r>
      <w:r w:rsidR="00C76E88" w:rsidRPr="00E368CE">
        <w:rPr>
          <w:rFonts w:ascii="Arial" w:hAnsi="Arial" w:cs="Arial"/>
          <w:sz w:val="22"/>
          <w:szCs w:val="22"/>
        </w:rPr>
        <w:t>, 2007).</w:t>
      </w:r>
    </w:p>
    <w:p w14:paraId="468493A2" w14:textId="1E9193E3" w:rsidR="00C76E88" w:rsidRPr="00E368CE" w:rsidRDefault="00C76E88" w:rsidP="00387F87">
      <w:pPr>
        <w:rPr>
          <w:rFonts w:ascii="Arial" w:hAnsi="Arial" w:cs="Arial"/>
          <w:sz w:val="22"/>
          <w:szCs w:val="22"/>
        </w:rPr>
      </w:pPr>
      <w:r w:rsidRPr="00E368CE">
        <w:rPr>
          <w:rFonts w:ascii="Arial" w:hAnsi="Arial" w:cs="Arial"/>
          <w:sz w:val="22"/>
          <w:szCs w:val="22"/>
        </w:rPr>
        <w:t>Second, capability building must be immediate, relevant, and relentlessly practical. Managers cannot be expected</w:t>
      </w:r>
      <w:r w:rsidR="00AE2DB7" w:rsidRPr="00E368CE">
        <w:rPr>
          <w:rFonts w:ascii="Arial" w:hAnsi="Arial" w:cs="Arial"/>
          <w:sz w:val="22"/>
          <w:szCs w:val="22"/>
        </w:rPr>
        <w:t xml:space="preserve"> to lead hybrid teams equitably, foster psychological safety amidst change, or conduct effective growth conversations without targeted, “just in time” support. Intensive, immersive workshops focused on specific, applied skills such as facilitating inclusive hybrid decision making, recognising early signs of digital fatigue and burnout, and </w:t>
      </w:r>
      <w:r w:rsidR="00272392" w:rsidRPr="00E368CE">
        <w:rPr>
          <w:rFonts w:ascii="Arial" w:hAnsi="Arial" w:cs="Arial"/>
          <w:sz w:val="22"/>
          <w:szCs w:val="22"/>
        </w:rPr>
        <w:t xml:space="preserve">using </w:t>
      </w:r>
      <w:r w:rsidR="00AE2DB7" w:rsidRPr="00E368CE">
        <w:rPr>
          <w:rFonts w:ascii="Arial" w:hAnsi="Arial" w:cs="Arial"/>
          <w:sz w:val="22"/>
          <w:szCs w:val="22"/>
        </w:rPr>
        <w:t>new HR analytic</w:t>
      </w:r>
      <w:r w:rsidR="00C376FD" w:rsidRPr="00E368CE">
        <w:rPr>
          <w:rFonts w:ascii="Arial" w:hAnsi="Arial" w:cs="Arial"/>
          <w:sz w:val="22"/>
          <w:szCs w:val="22"/>
        </w:rPr>
        <w:t xml:space="preserve">s dashboards to guide team support, are vastly more </w:t>
      </w:r>
      <w:r w:rsidR="00246D83" w:rsidRPr="00E368CE">
        <w:rPr>
          <w:rFonts w:ascii="Arial" w:hAnsi="Arial" w:cs="Arial"/>
          <w:sz w:val="22"/>
          <w:szCs w:val="22"/>
        </w:rPr>
        <w:t xml:space="preserve">impactful than generic leadership theory. Providing managers with simple, </w:t>
      </w:r>
      <w:r w:rsidR="00DA49FE" w:rsidRPr="00E368CE">
        <w:rPr>
          <w:rFonts w:ascii="Arial" w:hAnsi="Arial" w:cs="Arial"/>
          <w:sz w:val="22"/>
          <w:szCs w:val="22"/>
        </w:rPr>
        <w:t>standardised</w:t>
      </w:r>
      <w:r w:rsidR="00246D83" w:rsidRPr="00E368CE">
        <w:rPr>
          <w:rFonts w:ascii="Arial" w:hAnsi="Arial" w:cs="Arial"/>
          <w:sz w:val="22"/>
          <w:szCs w:val="22"/>
        </w:rPr>
        <w:t xml:space="preserve"> </w:t>
      </w:r>
      <w:r w:rsidR="00DA49FE" w:rsidRPr="00E368CE">
        <w:rPr>
          <w:rFonts w:ascii="Arial" w:hAnsi="Arial" w:cs="Arial"/>
          <w:sz w:val="22"/>
          <w:szCs w:val="22"/>
        </w:rPr>
        <w:t>toolkits</w:t>
      </w:r>
      <w:r w:rsidR="00246D83" w:rsidRPr="00E368CE">
        <w:rPr>
          <w:rFonts w:ascii="Arial" w:hAnsi="Arial" w:cs="Arial"/>
          <w:sz w:val="22"/>
          <w:szCs w:val="22"/>
        </w:rPr>
        <w:t xml:space="preserve"> such as templates </w:t>
      </w:r>
      <w:r w:rsidR="00BF6303" w:rsidRPr="00E368CE">
        <w:rPr>
          <w:rFonts w:ascii="Arial" w:hAnsi="Arial" w:cs="Arial"/>
          <w:sz w:val="22"/>
          <w:szCs w:val="22"/>
        </w:rPr>
        <w:t xml:space="preserve">for career pathway discussions or scripts or guidelines for difficult change conversations and rules and guides for </w:t>
      </w:r>
      <w:r w:rsidR="00DA49FE" w:rsidRPr="00E368CE">
        <w:rPr>
          <w:rFonts w:ascii="Arial" w:hAnsi="Arial" w:cs="Arial"/>
          <w:sz w:val="22"/>
          <w:szCs w:val="22"/>
        </w:rPr>
        <w:t>settings communication norms within the team. This empowers them to act consistently and with confidence from day one.</w:t>
      </w:r>
    </w:p>
    <w:p w14:paraId="6C68AE28" w14:textId="1DC3FCF5" w:rsidR="00436230" w:rsidRPr="00E368CE" w:rsidRDefault="00DA49FE" w:rsidP="00387F87">
      <w:pPr>
        <w:rPr>
          <w:rFonts w:ascii="Arial" w:hAnsi="Arial" w:cs="Arial"/>
          <w:sz w:val="22"/>
          <w:szCs w:val="22"/>
        </w:rPr>
      </w:pPr>
      <w:r w:rsidRPr="00E368CE">
        <w:rPr>
          <w:rFonts w:ascii="Arial" w:hAnsi="Arial" w:cs="Arial"/>
          <w:sz w:val="22"/>
          <w:szCs w:val="22"/>
        </w:rPr>
        <w:t>Finally, the HR function must transition</w:t>
      </w:r>
      <w:r w:rsidR="007B3214" w:rsidRPr="00E368CE">
        <w:rPr>
          <w:rFonts w:ascii="Arial" w:hAnsi="Arial" w:cs="Arial"/>
          <w:sz w:val="22"/>
          <w:szCs w:val="22"/>
        </w:rPr>
        <w:t xml:space="preserve"> from a policy creating department to a high support, high challenge business partners. HR business partners should be strategically assigned to coach managers, not just advise them.</w:t>
      </w:r>
      <w:r w:rsidR="00F83262" w:rsidRPr="00E368CE">
        <w:rPr>
          <w:rFonts w:ascii="Arial" w:hAnsi="Arial" w:cs="Arial"/>
          <w:sz w:val="22"/>
          <w:szCs w:val="22"/>
        </w:rPr>
        <w:t xml:space="preserve"> This involves providing real time,  </w:t>
      </w:r>
      <w:r w:rsidR="004B48AF" w:rsidRPr="00E368CE">
        <w:rPr>
          <w:rFonts w:ascii="Arial" w:hAnsi="Arial" w:cs="Arial"/>
          <w:sz w:val="22"/>
          <w:szCs w:val="22"/>
        </w:rPr>
        <w:t xml:space="preserve">anonymised </w:t>
      </w:r>
      <w:r w:rsidR="00F83262" w:rsidRPr="00E368CE">
        <w:rPr>
          <w:rFonts w:ascii="Arial" w:hAnsi="Arial" w:cs="Arial"/>
          <w:sz w:val="22"/>
          <w:szCs w:val="22"/>
        </w:rPr>
        <w:t>data</w:t>
      </w:r>
      <w:r w:rsidR="004B48AF" w:rsidRPr="00E368CE">
        <w:rPr>
          <w:rFonts w:ascii="Arial" w:hAnsi="Arial" w:cs="Arial"/>
          <w:sz w:val="22"/>
          <w:szCs w:val="22"/>
        </w:rPr>
        <w:t xml:space="preserve"> from pulse surveys</w:t>
      </w:r>
      <w:r w:rsidR="00FF5447" w:rsidRPr="00E368CE">
        <w:rPr>
          <w:rFonts w:ascii="Arial" w:hAnsi="Arial" w:cs="Arial"/>
          <w:sz w:val="22"/>
          <w:szCs w:val="22"/>
        </w:rPr>
        <w:t>, exit interview trends, and team diagnostics to help managers identify at risk individual or morale dips early. This partnership enables proactive , targeted intervention rather than reactive</w:t>
      </w:r>
      <w:r w:rsidR="00277277" w:rsidRPr="00E368CE">
        <w:rPr>
          <w:rFonts w:ascii="Arial" w:hAnsi="Arial" w:cs="Arial"/>
          <w:sz w:val="22"/>
          <w:szCs w:val="22"/>
        </w:rPr>
        <w:t xml:space="preserve"> firefighting after grievances escalate. By creating this integrated </w:t>
      </w:r>
      <w:r w:rsidR="00277277" w:rsidRPr="00E368CE">
        <w:rPr>
          <w:rFonts w:ascii="Arial" w:hAnsi="Arial" w:cs="Arial"/>
          <w:sz w:val="22"/>
          <w:szCs w:val="22"/>
        </w:rPr>
        <w:lastRenderedPageBreak/>
        <w:t>ecosystem which marries clear, consequential accountability for people outcome</w:t>
      </w:r>
      <w:r w:rsidR="00436230" w:rsidRPr="00E368CE">
        <w:rPr>
          <w:rFonts w:ascii="Arial" w:hAnsi="Arial" w:cs="Arial"/>
          <w:sz w:val="22"/>
          <w:szCs w:val="22"/>
        </w:rPr>
        <w:t>s with practical transformed from potential bottleneck or passive recipients of HR policy into the empowered, primary architects and urgent drivers of resilient, adaptive, and high performing organisational culture.</w:t>
      </w:r>
    </w:p>
    <w:p w14:paraId="69A3F159" w14:textId="77777777" w:rsidR="0082791A" w:rsidRPr="00E368CE" w:rsidRDefault="0082791A" w:rsidP="00387F87">
      <w:pPr>
        <w:rPr>
          <w:rFonts w:ascii="Arial" w:hAnsi="Arial" w:cs="Arial"/>
        </w:rPr>
      </w:pPr>
    </w:p>
    <w:p w14:paraId="23D74192" w14:textId="0BBB9AC4" w:rsidR="0082791A" w:rsidRPr="00E368CE" w:rsidRDefault="0082791A" w:rsidP="0082791A">
      <w:pPr>
        <w:pStyle w:val="Heading1"/>
        <w:numPr>
          <w:ilvl w:val="0"/>
          <w:numId w:val="1"/>
        </w:numPr>
        <w:rPr>
          <w:rFonts w:ascii="Arial" w:hAnsi="Arial" w:cs="Arial"/>
        </w:rPr>
      </w:pPr>
      <w:r w:rsidRPr="00E368CE">
        <w:rPr>
          <w:rFonts w:ascii="Arial" w:hAnsi="Arial" w:cs="Arial"/>
        </w:rPr>
        <w:t>Conclusio</w:t>
      </w:r>
      <w:r w:rsidR="0045084F" w:rsidRPr="00E368CE">
        <w:rPr>
          <w:rFonts w:ascii="Arial" w:hAnsi="Arial" w:cs="Arial"/>
        </w:rPr>
        <w:t>n and Recommendations</w:t>
      </w:r>
    </w:p>
    <w:p w14:paraId="531F6FA5" w14:textId="5BA46717" w:rsidR="0045084F" w:rsidRPr="00E368CE" w:rsidRDefault="0045084F" w:rsidP="0045084F">
      <w:pPr>
        <w:rPr>
          <w:rFonts w:ascii="Arial" w:hAnsi="Arial" w:cs="Arial"/>
          <w:sz w:val="22"/>
          <w:szCs w:val="22"/>
        </w:rPr>
      </w:pPr>
      <w:r w:rsidRPr="00E368CE">
        <w:rPr>
          <w:rFonts w:ascii="Arial" w:hAnsi="Arial" w:cs="Arial"/>
          <w:sz w:val="22"/>
          <w:szCs w:val="22"/>
        </w:rPr>
        <w:t xml:space="preserve">In conclusion, the current grievance crisis serves as a critical leading indicator, revealing a profound and unsustainable gap between the rapid pace of operational and technological transformation and the maturity </w:t>
      </w:r>
      <w:r w:rsidR="00630CBB" w:rsidRPr="00E368CE">
        <w:rPr>
          <w:rFonts w:ascii="Arial" w:hAnsi="Arial" w:cs="Arial"/>
          <w:sz w:val="22"/>
          <w:szCs w:val="22"/>
        </w:rPr>
        <w:t xml:space="preserve">of the organisations supporting </w:t>
      </w:r>
      <w:r w:rsidR="004A5BE1" w:rsidRPr="00E368CE">
        <w:rPr>
          <w:rFonts w:ascii="Arial" w:hAnsi="Arial" w:cs="Arial"/>
          <w:sz w:val="22"/>
          <w:szCs w:val="22"/>
        </w:rPr>
        <w:t xml:space="preserve"> people strategy. The identified triad </w:t>
      </w:r>
      <w:r w:rsidR="00B90957" w:rsidRPr="00E368CE">
        <w:rPr>
          <w:rFonts w:ascii="Arial" w:hAnsi="Arial" w:cs="Arial"/>
          <w:sz w:val="22"/>
          <w:szCs w:val="22"/>
        </w:rPr>
        <w:t>of business</w:t>
      </w:r>
      <w:r w:rsidR="004A5BE1" w:rsidRPr="00E368CE">
        <w:rPr>
          <w:rFonts w:ascii="Arial" w:hAnsi="Arial" w:cs="Arial"/>
          <w:sz w:val="22"/>
          <w:szCs w:val="22"/>
        </w:rPr>
        <w:t xml:space="preserve"> model change, pervasive digitalisation</w:t>
      </w:r>
      <w:r w:rsidR="00AE1C7A" w:rsidRPr="00E368CE">
        <w:rPr>
          <w:rFonts w:ascii="Arial" w:hAnsi="Arial" w:cs="Arial"/>
          <w:sz w:val="22"/>
          <w:szCs w:val="22"/>
        </w:rPr>
        <w:t>, and flexible work are irreversible features of the modern economic landscape.</w:t>
      </w:r>
      <w:r w:rsidR="00B90957" w:rsidRPr="00E368CE">
        <w:rPr>
          <w:rFonts w:ascii="Arial" w:hAnsi="Arial" w:cs="Arial"/>
          <w:sz w:val="22"/>
          <w:szCs w:val="22"/>
        </w:rPr>
        <w:t xml:space="preserve"> Therefore, the strategic and operational imperative</w:t>
      </w:r>
      <w:r w:rsidR="003E0A92" w:rsidRPr="00E368CE">
        <w:rPr>
          <w:rFonts w:ascii="Arial" w:hAnsi="Arial" w:cs="Arial"/>
          <w:sz w:val="22"/>
          <w:szCs w:val="22"/>
        </w:rPr>
        <w:t xml:space="preserve"> is to adapt our HR practices </w:t>
      </w:r>
      <w:r w:rsidR="00A510CE" w:rsidRPr="00E368CE">
        <w:rPr>
          <w:rFonts w:ascii="Arial" w:hAnsi="Arial" w:cs="Arial"/>
          <w:sz w:val="22"/>
          <w:szCs w:val="22"/>
        </w:rPr>
        <w:t>and, most crucially</w:t>
      </w:r>
      <w:r w:rsidR="00D2662D" w:rsidRPr="00E368CE">
        <w:rPr>
          <w:rFonts w:ascii="Arial" w:hAnsi="Arial" w:cs="Arial"/>
          <w:sz w:val="22"/>
          <w:szCs w:val="22"/>
        </w:rPr>
        <w:t>, our frontline managerial ca</w:t>
      </w:r>
      <w:r w:rsidR="009F6377" w:rsidRPr="00E368CE">
        <w:rPr>
          <w:rFonts w:ascii="Arial" w:hAnsi="Arial" w:cs="Arial"/>
          <w:sz w:val="22"/>
          <w:szCs w:val="22"/>
        </w:rPr>
        <w:t xml:space="preserve">pabilities with decisive urgency to properly support, engage, and empower the workforce through this disruptive transition. The following recommendations are designed to initiate </w:t>
      </w:r>
      <w:r w:rsidR="00920F24" w:rsidRPr="00E368CE">
        <w:rPr>
          <w:rFonts w:ascii="Arial" w:hAnsi="Arial" w:cs="Arial"/>
          <w:sz w:val="22"/>
          <w:szCs w:val="22"/>
        </w:rPr>
        <w:t>this essential strategic realignment immediately, moving from analysing to action.</w:t>
      </w:r>
    </w:p>
    <w:p w14:paraId="0D2D73E0" w14:textId="1AE65989" w:rsidR="00920F24" w:rsidRPr="00E368CE" w:rsidRDefault="00920F24" w:rsidP="0045084F">
      <w:pPr>
        <w:rPr>
          <w:rFonts w:ascii="Arial" w:hAnsi="Arial" w:cs="Arial"/>
          <w:sz w:val="22"/>
          <w:szCs w:val="22"/>
        </w:rPr>
      </w:pPr>
    </w:p>
    <w:p w14:paraId="7A1CB6D3" w14:textId="19E17AAB" w:rsidR="00920F24" w:rsidRPr="00E368CE" w:rsidRDefault="00920F24" w:rsidP="0045084F">
      <w:pPr>
        <w:rPr>
          <w:rFonts w:ascii="Arial" w:hAnsi="Arial" w:cs="Arial"/>
          <w:sz w:val="22"/>
          <w:szCs w:val="22"/>
        </w:rPr>
      </w:pPr>
      <w:r w:rsidRPr="00E368CE">
        <w:rPr>
          <w:rFonts w:ascii="Arial" w:hAnsi="Arial" w:cs="Arial"/>
          <w:sz w:val="22"/>
          <w:szCs w:val="22"/>
        </w:rPr>
        <w:t>Recommendations</w:t>
      </w:r>
      <w:r w:rsidR="00714635" w:rsidRPr="00E368CE">
        <w:rPr>
          <w:rFonts w:ascii="Arial" w:hAnsi="Arial" w:cs="Arial"/>
          <w:sz w:val="22"/>
          <w:szCs w:val="22"/>
        </w:rPr>
        <w:t>:</w:t>
      </w:r>
    </w:p>
    <w:p w14:paraId="1593B6C3" w14:textId="6DD60AF6" w:rsidR="00D813A6" w:rsidRPr="00E368CE" w:rsidRDefault="00CC79BF" w:rsidP="00CC79BF">
      <w:pPr>
        <w:pStyle w:val="ListParagraph"/>
        <w:numPr>
          <w:ilvl w:val="0"/>
          <w:numId w:val="5"/>
        </w:numPr>
        <w:rPr>
          <w:rFonts w:ascii="Arial" w:hAnsi="Arial" w:cs="Arial"/>
          <w:sz w:val="22"/>
          <w:szCs w:val="22"/>
        </w:rPr>
      </w:pPr>
      <w:r w:rsidRPr="00E368CE">
        <w:rPr>
          <w:rFonts w:ascii="Arial" w:hAnsi="Arial" w:cs="Arial"/>
          <w:sz w:val="22"/>
          <w:szCs w:val="22"/>
        </w:rPr>
        <w:t>Launch a 90 day transfo</w:t>
      </w:r>
      <w:r w:rsidR="004059DD" w:rsidRPr="00E368CE">
        <w:rPr>
          <w:rFonts w:ascii="Arial" w:hAnsi="Arial" w:cs="Arial"/>
          <w:sz w:val="22"/>
          <w:szCs w:val="22"/>
        </w:rPr>
        <w:t xml:space="preserve">rmation support sprint: Initiate immediate bi weekly leadership Q&amp;A sessions and mandate a “managing </w:t>
      </w:r>
      <w:r w:rsidR="00543B3A" w:rsidRPr="00E368CE">
        <w:rPr>
          <w:rFonts w:ascii="Arial" w:hAnsi="Arial" w:cs="Arial"/>
          <w:sz w:val="22"/>
          <w:szCs w:val="22"/>
        </w:rPr>
        <w:t>hybrid</w:t>
      </w:r>
      <w:r w:rsidR="004059DD" w:rsidRPr="00E368CE">
        <w:rPr>
          <w:rFonts w:ascii="Arial" w:hAnsi="Arial" w:cs="Arial"/>
          <w:sz w:val="22"/>
          <w:szCs w:val="22"/>
        </w:rPr>
        <w:t xml:space="preserve"> change” training module for all managers, with completion tracked in performance reviews.</w:t>
      </w:r>
    </w:p>
    <w:p w14:paraId="4E0F456A" w14:textId="77777777" w:rsidR="00E84019" w:rsidRPr="00E368CE" w:rsidRDefault="00E84019" w:rsidP="00E84019">
      <w:pPr>
        <w:pStyle w:val="ListParagraph"/>
        <w:rPr>
          <w:rFonts w:ascii="Arial" w:hAnsi="Arial" w:cs="Arial"/>
          <w:sz w:val="22"/>
          <w:szCs w:val="22"/>
        </w:rPr>
      </w:pPr>
    </w:p>
    <w:p w14:paraId="5D9D7E43" w14:textId="19C4C375" w:rsidR="004059DD" w:rsidRPr="00E368CE" w:rsidRDefault="004059DD" w:rsidP="00CC79BF">
      <w:pPr>
        <w:pStyle w:val="ListParagraph"/>
        <w:numPr>
          <w:ilvl w:val="0"/>
          <w:numId w:val="5"/>
        </w:numPr>
        <w:rPr>
          <w:rFonts w:ascii="Arial" w:hAnsi="Arial" w:cs="Arial"/>
          <w:sz w:val="22"/>
          <w:szCs w:val="22"/>
        </w:rPr>
      </w:pPr>
      <w:r w:rsidRPr="00E368CE">
        <w:rPr>
          <w:rFonts w:ascii="Arial" w:hAnsi="Arial" w:cs="Arial"/>
          <w:sz w:val="22"/>
          <w:szCs w:val="22"/>
        </w:rPr>
        <w:t>Publish a Co created</w:t>
      </w:r>
      <w:r w:rsidR="00C0037C" w:rsidRPr="00E368CE">
        <w:rPr>
          <w:rFonts w:ascii="Arial" w:hAnsi="Arial" w:cs="Arial"/>
          <w:sz w:val="22"/>
          <w:szCs w:val="22"/>
        </w:rPr>
        <w:t xml:space="preserve"> hybrid &amp; Digital Ethics Charter: Establish an employee manager working group to finalise and communicate clear hybrid work pri</w:t>
      </w:r>
      <w:r w:rsidR="00EB0FB6" w:rsidRPr="00E368CE">
        <w:rPr>
          <w:rFonts w:ascii="Arial" w:hAnsi="Arial" w:cs="Arial"/>
          <w:sz w:val="22"/>
          <w:szCs w:val="22"/>
        </w:rPr>
        <w:t>nciples and ethical</w:t>
      </w:r>
      <w:r w:rsidR="00C150C1" w:rsidRPr="00E368CE">
        <w:rPr>
          <w:rFonts w:ascii="Arial" w:hAnsi="Arial" w:cs="Arial"/>
          <w:sz w:val="22"/>
          <w:szCs w:val="22"/>
        </w:rPr>
        <w:t xml:space="preserve"> tech guidelines within the next quarter</w:t>
      </w:r>
      <w:r w:rsidR="00A70223" w:rsidRPr="00E368CE">
        <w:rPr>
          <w:rFonts w:ascii="Arial" w:hAnsi="Arial" w:cs="Arial"/>
          <w:sz w:val="22"/>
          <w:szCs w:val="22"/>
        </w:rPr>
        <w:t>.</w:t>
      </w:r>
    </w:p>
    <w:p w14:paraId="7400CF3B" w14:textId="77777777" w:rsidR="00E84019" w:rsidRPr="00E368CE" w:rsidRDefault="00E84019" w:rsidP="00E84019">
      <w:pPr>
        <w:pStyle w:val="ListParagraph"/>
        <w:rPr>
          <w:rFonts w:ascii="Arial" w:hAnsi="Arial" w:cs="Arial"/>
          <w:sz w:val="22"/>
          <w:szCs w:val="22"/>
        </w:rPr>
      </w:pPr>
    </w:p>
    <w:p w14:paraId="71ED871E" w14:textId="0E71C202" w:rsidR="00A70223" w:rsidRPr="00E368CE" w:rsidRDefault="00A70223" w:rsidP="00CC79BF">
      <w:pPr>
        <w:pStyle w:val="ListParagraph"/>
        <w:numPr>
          <w:ilvl w:val="0"/>
          <w:numId w:val="5"/>
        </w:numPr>
        <w:rPr>
          <w:rFonts w:ascii="Arial" w:hAnsi="Arial" w:cs="Arial"/>
          <w:sz w:val="22"/>
          <w:szCs w:val="22"/>
        </w:rPr>
      </w:pPr>
      <w:r w:rsidRPr="00E368CE">
        <w:rPr>
          <w:rFonts w:ascii="Arial" w:hAnsi="Arial" w:cs="Arial"/>
          <w:sz w:val="22"/>
          <w:szCs w:val="22"/>
        </w:rPr>
        <w:t>Integrate People Metrics into Manager KPIs: Revise managerial scorecards to include specific, weighted metrics on team engagement and development, linking people leadership directly to performance evaluation</w:t>
      </w:r>
    </w:p>
    <w:p w14:paraId="0FFB93B0" w14:textId="77777777" w:rsidR="006B7ED6" w:rsidRPr="00E368CE" w:rsidRDefault="006B7ED6" w:rsidP="00E84019">
      <w:pPr>
        <w:pStyle w:val="ListParagraph"/>
        <w:rPr>
          <w:rFonts w:ascii="Arial" w:hAnsi="Arial" w:cs="Arial"/>
          <w:sz w:val="22"/>
          <w:szCs w:val="22"/>
        </w:rPr>
      </w:pPr>
    </w:p>
    <w:p w14:paraId="6F50292A" w14:textId="11941156" w:rsidR="007D5BBC" w:rsidRPr="00E368CE" w:rsidRDefault="007D5BBC" w:rsidP="00CC79BF">
      <w:pPr>
        <w:pStyle w:val="ListParagraph"/>
        <w:numPr>
          <w:ilvl w:val="0"/>
          <w:numId w:val="5"/>
        </w:numPr>
        <w:rPr>
          <w:rFonts w:ascii="Arial" w:hAnsi="Arial" w:cs="Arial"/>
          <w:sz w:val="22"/>
          <w:szCs w:val="22"/>
        </w:rPr>
      </w:pPr>
      <w:r w:rsidRPr="00E368CE">
        <w:rPr>
          <w:rFonts w:ascii="Arial" w:hAnsi="Arial" w:cs="Arial"/>
          <w:sz w:val="22"/>
          <w:szCs w:val="22"/>
        </w:rPr>
        <w:t>Pilot fast Track Mediation Pathway: Introduce</w:t>
      </w:r>
      <w:r w:rsidR="006B7ED6" w:rsidRPr="00E368CE">
        <w:rPr>
          <w:rFonts w:ascii="Arial" w:hAnsi="Arial" w:cs="Arial"/>
          <w:sz w:val="22"/>
          <w:szCs w:val="22"/>
        </w:rPr>
        <w:t xml:space="preserve"> an optional, facilitated mediation step for transformation related concerns to promote early problem solving over formal grievance procedures.</w:t>
      </w:r>
    </w:p>
    <w:p w14:paraId="5C214B9E" w14:textId="59A8BE50" w:rsidR="00A64A6F" w:rsidRPr="00E368CE" w:rsidRDefault="00AE0E3D" w:rsidP="009931BA">
      <w:pPr>
        <w:pStyle w:val="Heading1"/>
        <w:rPr>
          <w:rFonts w:ascii="Arial" w:hAnsi="Arial" w:cs="Arial"/>
        </w:rPr>
      </w:pPr>
      <w:r w:rsidRPr="00E368CE">
        <w:rPr>
          <w:rFonts w:ascii="Arial" w:hAnsi="Arial" w:cs="Arial"/>
        </w:rPr>
        <w:t>Reference</w:t>
      </w:r>
      <w:r w:rsidR="009931BA" w:rsidRPr="00E368CE">
        <w:rPr>
          <w:rFonts w:ascii="Arial" w:hAnsi="Arial" w:cs="Arial"/>
        </w:rPr>
        <w:t xml:space="preserve"> List</w:t>
      </w:r>
    </w:p>
    <w:p w14:paraId="63A429F6" w14:textId="0C9E752E" w:rsidR="00427C81" w:rsidRPr="00E368CE" w:rsidRDefault="00427C81" w:rsidP="00427C81">
      <w:pPr>
        <w:rPr>
          <w:rFonts w:ascii="Arial" w:hAnsi="Arial" w:cs="Arial"/>
        </w:rPr>
      </w:pPr>
      <w:r w:rsidRPr="00E368CE">
        <w:rPr>
          <w:rFonts w:ascii="Arial" w:hAnsi="Arial" w:cs="Arial"/>
        </w:rPr>
        <w:t>Bloom, N., Liang, J., Roberts, J., &amp; Ying, Z. J. (2015). Does working from home work? Evidence from a Chinese experiment. </w:t>
      </w:r>
      <w:r w:rsidRPr="00E368CE">
        <w:rPr>
          <w:rFonts w:ascii="Arial" w:hAnsi="Arial" w:cs="Arial"/>
          <w:i/>
          <w:iCs/>
        </w:rPr>
        <w:t>The Quarterly Journal of Economics, 130</w:t>
      </w:r>
      <w:r w:rsidRPr="00E368CE">
        <w:rPr>
          <w:rFonts w:ascii="Arial" w:hAnsi="Arial" w:cs="Arial"/>
        </w:rPr>
        <w:t>(1), 165-218. </w:t>
      </w:r>
      <w:hyperlink r:id="rId9" w:tgtFrame="_blank" w:history="1">
        <w:r w:rsidRPr="00E368CE">
          <w:rPr>
            <w:rStyle w:val="Hyperlink"/>
            <w:rFonts w:ascii="Arial" w:hAnsi="Arial" w:cs="Arial"/>
          </w:rPr>
          <w:t>https://doi.org/10.1093/qje/qju032</w:t>
        </w:r>
      </w:hyperlink>
    </w:p>
    <w:p w14:paraId="044A883F" w14:textId="42CC37B6" w:rsidR="00F3555E" w:rsidRPr="00E368CE" w:rsidRDefault="00F3555E" w:rsidP="00427C81">
      <w:pPr>
        <w:rPr>
          <w:rFonts w:ascii="Arial" w:hAnsi="Arial" w:cs="Arial"/>
        </w:rPr>
      </w:pPr>
      <w:r w:rsidRPr="00E368CE">
        <w:rPr>
          <w:rFonts w:ascii="Arial" w:hAnsi="Arial" w:cs="Arial"/>
        </w:rPr>
        <w:t>Cappelli, P., &amp; Keller, J. R. (2014). Talent management: Conceptual approaches and practical challenges. </w:t>
      </w:r>
      <w:r w:rsidRPr="00E368CE">
        <w:rPr>
          <w:rFonts w:ascii="Arial" w:hAnsi="Arial" w:cs="Arial"/>
          <w:i/>
          <w:iCs/>
        </w:rPr>
        <w:t xml:space="preserve">Annual Review of Organizational Psychology and </w:t>
      </w:r>
      <w:r w:rsidRPr="00E368CE">
        <w:rPr>
          <w:rFonts w:ascii="Arial" w:hAnsi="Arial" w:cs="Arial"/>
          <w:i/>
          <w:iCs/>
        </w:rPr>
        <w:lastRenderedPageBreak/>
        <w:t xml:space="preserve">Organizational </w:t>
      </w:r>
      <w:r w:rsidR="00560121" w:rsidRPr="00E368CE">
        <w:rPr>
          <w:rFonts w:ascii="Arial" w:hAnsi="Arial" w:cs="Arial"/>
          <w:i/>
          <w:iCs/>
        </w:rPr>
        <w:t>Behaviour</w:t>
      </w:r>
      <w:r w:rsidRPr="00E368CE">
        <w:rPr>
          <w:rFonts w:ascii="Arial" w:hAnsi="Arial" w:cs="Arial"/>
          <w:i/>
          <w:iCs/>
        </w:rPr>
        <w:t>, 1</w:t>
      </w:r>
      <w:r w:rsidRPr="00E368CE">
        <w:rPr>
          <w:rFonts w:ascii="Arial" w:hAnsi="Arial" w:cs="Arial"/>
        </w:rPr>
        <w:t>(1), 305-331. </w:t>
      </w:r>
      <w:hyperlink r:id="rId10" w:tgtFrame="_blank" w:history="1">
        <w:r w:rsidRPr="00E368CE">
          <w:rPr>
            <w:rStyle w:val="Hyperlink"/>
            <w:rFonts w:ascii="Arial" w:hAnsi="Arial" w:cs="Arial"/>
          </w:rPr>
          <w:t>https://doi.org/10.1146/annurev-orgpsych-031413-091314</w:t>
        </w:r>
      </w:hyperlink>
    </w:p>
    <w:p w14:paraId="3B72EFA5" w14:textId="4DC3805F" w:rsidR="00F3555E" w:rsidRPr="00E368CE" w:rsidRDefault="00E434B6" w:rsidP="00427C81">
      <w:pPr>
        <w:rPr>
          <w:rFonts w:ascii="Arial" w:hAnsi="Arial" w:cs="Arial"/>
        </w:rPr>
      </w:pPr>
      <w:r w:rsidRPr="00E368CE">
        <w:rPr>
          <w:rFonts w:ascii="Arial" w:hAnsi="Arial" w:cs="Arial"/>
        </w:rPr>
        <w:t>Gajendran, R. S., &amp; Harrison, D. A. (2007). The good, the bad, and the unknown about telecommuting: meta-analysis of psychological mediators and individual consequences. </w:t>
      </w:r>
      <w:r w:rsidRPr="00E368CE">
        <w:rPr>
          <w:rFonts w:ascii="Arial" w:hAnsi="Arial" w:cs="Arial"/>
          <w:i/>
          <w:iCs/>
        </w:rPr>
        <w:t>Journal of Applied Psychology, 92</w:t>
      </w:r>
      <w:r w:rsidRPr="00E368CE">
        <w:rPr>
          <w:rFonts w:ascii="Arial" w:hAnsi="Arial" w:cs="Arial"/>
        </w:rPr>
        <w:t>(6), 1524–1541. </w:t>
      </w:r>
      <w:hyperlink r:id="rId11" w:tgtFrame="_blank" w:history="1">
        <w:r w:rsidRPr="00E368CE">
          <w:rPr>
            <w:rStyle w:val="Hyperlink"/>
            <w:rFonts w:ascii="Arial" w:hAnsi="Arial" w:cs="Arial"/>
          </w:rPr>
          <w:t>https://doi.org/10.1037/0021-9010.92.6.1524</w:t>
        </w:r>
      </w:hyperlink>
    </w:p>
    <w:p w14:paraId="1F066FF1" w14:textId="457E97D9" w:rsidR="00E434B6" w:rsidRPr="00E368CE" w:rsidRDefault="00FA745B" w:rsidP="00427C81">
      <w:pPr>
        <w:rPr>
          <w:rFonts w:ascii="Arial" w:hAnsi="Arial" w:cs="Arial"/>
        </w:rPr>
      </w:pPr>
      <w:r w:rsidRPr="00E368CE">
        <w:rPr>
          <w:rFonts w:ascii="Arial" w:hAnsi="Arial" w:cs="Arial"/>
        </w:rPr>
        <w:t>Grant, C. A., Wallace, L. M., &amp; Spurgeon, P. C. (2019). An exploration of the psychological factors affecting remote e-worker’s job effectiveness, well-being and work-life balance. </w:t>
      </w:r>
      <w:r w:rsidRPr="00E368CE">
        <w:rPr>
          <w:rFonts w:ascii="Arial" w:hAnsi="Arial" w:cs="Arial"/>
          <w:i/>
          <w:iCs/>
        </w:rPr>
        <w:t>Employee Relations, 41</w:t>
      </w:r>
      <w:r w:rsidRPr="00E368CE">
        <w:rPr>
          <w:rFonts w:ascii="Arial" w:hAnsi="Arial" w:cs="Arial"/>
        </w:rPr>
        <w:t>(3), 446-466. </w:t>
      </w:r>
      <w:hyperlink r:id="rId12" w:tgtFrame="_blank" w:history="1">
        <w:r w:rsidRPr="00E368CE">
          <w:rPr>
            <w:rStyle w:val="Hyperlink"/>
            <w:rFonts w:ascii="Arial" w:hAnsi="Arial" w:cs="Arial"/>
          </w:rPr>
          <w:t>https://doi.org/10.1108/ER-09-2017-0229</w:t>
        </w:r>
      </w:hyperlink>
    </w:p>
    <w:p w14:paraId="3E04AC97" w14:textId="67CEF436" w:rsidR="00FA745B" w:rsidRPr="00E368CE" w:rsidRDefault="00FA745B" w:rsidP="00427C81">
      <w:pPr>
        <w:rPr>
          <w:rFonts w:ascii="Arial" w:hAnsi="Arial" w:cs="Arial"/>
        </w:rPr>
      </w:pPr>
      <w:r w:rsidRPr="00E368CE">
        <w:rPr>
          <w:rFonts w:ascii="Arial" w:hAnsi="Arial" w:cs="Arial"/>
        </w:rPr>
        <w:t>Gratton, L. (2021). How to do hybrid right. </w:t>
      </w:r>
      <w:r w:rsidRPr="00E368CE">
        <w:rPr>
          <w:rFonts w:ascii="Arial" w:hAnsi="Arial" w:cs="Arial"/>
          <w:i/>
          <w:iCs/>
        </w:rPr>
        <w:t>Harvard Business Review</w:t>
      </w:r>
      <w:r w:rsidRPr="00E368CE">
        <w:rPr>
          <w:rFonts w:ascii="Arial" w:hAnsi="Arial" w:cs="Arial"/>
        </w:rPr>
        <w:t>. </w:t>
      </w:r>
      <w:hyperlink r:id="rId13" w:tgtFrame="_blank" w:history="1">
        <w:r w:rsidRPr="00E368CE">
          <w:rPr>
            <w:rStyle w:val="Hyperlink"/>
            <w:rFonts w:ascii="Arial" w:hAnsi="Arial" w:cs="Arial"/>
          </w:rPr>
          <w:t>https://hbr.org/2021/05/how-to-do-hybrid-right</w:t>
        </w:r>
      </w:hyperlink>
    </w:p>
    <w:p w14:paraId="11B8C168" w14:textId="4B9CB60C" w:rsidR="00304393" w:rsidRPr="00E368CE" w:rsidRDefault="00304393" w:rsidP="00427C81">
      <w:pPr>
        <w:rPr>
          <w:rFonts w:ascii="Arial" w:hAnsi="Arial" w:cs="Arial"/>
        </w:rPr>
      </w:pPr>
      <w:r w:rsidRPr="00E368CE">
        <w:rPr>
          <w:rFonts w:ascii="Arial" w:hAnsi="Arial" w:cs="Arial"/>
        </w:rPr>
        <w:t>Hayes, J. (2022). </w:t>
      </w:r>
      <w:r w:rsidRPr="00E368CE">
        <w:rPr>
          <w:rFonts w:ascii="Arial" w:hAnsi="Arial" w:cs="Arial"/>
          <w:i/>
          <w:iCs/>
        </w:rPr>
        <w:t>The theory and practice of change management</w:t>
      </w:r>
      <w:r w:rsidRPr="00E368CE">
        <w:rPr>
          <w:rFonts w:ascii="Arial" w:hAnsi="Arial" w:cs="Arial"/>
        </w:rPr>
        <w:t> (6th ed.). Palgrave Macmillan.</w:t>
      </w:r>
    </w:p>
    <w:p w14:paraId="15999FAC" w14:textId="4AA0992A" w:rsidR="00304393" w:rsidRPr="00E368CE" w:rsidRDefault="00EB5F42" w:rsidP="00427C81">
      <w:pPr>
        <w:rPr>
          <w:rFonts w:ascii="Arial" w:hAnsi="Arial" w:cs="Arial"/>
        </w:rPr>
      </w:pPr>
      <w:r w:rsidRPr="00E368CE">
        <w:rPr>
          <w:rFonts w:ascii="Arial" w:hAnsi="Arial" w:cs="Arial"/>
        </w:rPr>
        <w:t>Knights, D., &amp; Willmott, H. (2020). </w:t>
      </w:r>
      <w:r w:rsidRPr="00E368CE">
        <w:rPr>
          <w:rFonts w:ascii="Arial" w:hAnsi="Arial" w:cs="Arial"/>
          <w:i/>
          <w:iCs/>
        </w:rPr>
        <w:t>Introducing organisational behaviour and management</w:t>
      </w:r>
      <w:r w:rsidRPr="00E368CE">
        <w:rPr>
          <w:rFonts w:ascii="Arial" w:hAnsi="Arial" w:cs="Arial"/>
        </w:rPr>
        <w:t> (3rd ed.). Cengage Learning.</w:t>
      </w:r>
    </w:p>
    <w:p w14:paraId="0EF8F070" w14:textId="588C35C1" w:rsidR="00EB5F42" w:rsidRPr="00E368CE" w:rsidRDefault="00EB5F42" w:rsidP="00427C81">
      <w:pPr>
        <w:rPr>
          <w:rFonts w:ascii="Arial" w:hAnsi="Arial" w:cs="Arial"/>
        </w:rPr>
      </w:pPr>
      <w:r w:rsidRPr="00E368CE">
        <w:rPr>
          <w:rFonts w:ascii="Arial" w:hAnsi="Arial" w:cs="Arial"/>
        </w:rPr>
        <w:t>Kotter, J. P. (2012). </w:t>
      </w:r>
      <w:r w:rsidRPr="00E368CE">
        <w:rPr>
          <w:rFonts w:ascii="Arial" w:hAnsi="Arial" w:cs="Arial"/>
          <w:i/>
          <w:iCs/>
        </w:rPr>
        <w:t>Leading change</w:t>
      </w:r>
      <w:r w:rsidRPr="00E368CE">
        <w:rPr>
          <w:rFonts w:ascii="Arial" w:hAnsi="Arial" w:cs="Arial"/>
        </w:rPr>
        <w:t>. Harvard Business Review Press.</w:t>
      </w:r>
    </w:p>
    <w:p w14:paraId="11D53DDF" w14:textId="5E162635" w:rsidR="00EB5F42" w:rsidRPr="00E368CE" w:rsidRDefault="005263EC" w:rsidP="00427C81">
      <w:pPr>
        <w:rPr>
          <w:rFonts w:ascii="Arial" w:hAnsi="Arial" w:cs="Arial"/>
        </w:rPr>
      </w:pPr>
      <w:r w:rsidRPr="00E368CE">
        <w:rPr>
          <w:rFonts w:ascii="Arial" w:hAnsi="Arial" w:cs="Arial"/>
        </w:rPr>
        <w:t>Mazmanian, M., Orlikowski, W. J., &amp; Yates, J. (2013). The autonomy paradox: The implications of mobile email devices for knowledge professionals. </w:t>
      </w:r>
      <w:r w:rsidRPr="00E368CE">
        <w:rPr>
          <w:rFonts w:ascii="Arial" w:hAnsi="Arial" w:cs="Arial"/>
          <w:i/>
          <w:iCs/>
        </w:rPr>
        <w:t>Organization Science, 24</w:t>
      </w:r>
      <w:r w:rsidRPr="00E368CE">
        <w:rPr>
          <w:rFonts w:ascii="Arial" w:hAnsi="Arial" w:cs="Arial"/>
        </w:rPr>
        <w:t>(5), 1337-1357. </w:t>
      </w:r>
      <w:hyperlink r:id="rId14" w:tgtFrame="_blank" w:history="1">
        <w:r w:rsidRPr="00E368CE">
          <w:rPr>
            <w:rStyle w:val="Hyperlink"/>
            <w:rFonts w:ascii="Arial" w:hAnsi="Arial" w:cs="Arial"/>
          </w:rPr>
          <w:t>https://doi.org/10.1287/orsc.1120.0806</w:t>
        </w:r>
      </w:hyperlink>
    </w:p>
    <w:p w14:paraId="3184122A" w14:textId="078A2362" w:rsidR="005263EC" w:rsidRPr="00E368CE" w:rsidRDefault="005263EC" w:rsidP="00427C81">
      <w:pPr>
        <w:rPr>
          <w:rFonts w:ascii="Arial" w:hAnsi="Arial" w:cs="Arial"/>
        </w:rPr>
      </w:pPr>
      <w:r w:rsidRPr="00E368CE">
        <w:rPr>
          <w:rFonts w:ascii="Arial" w:hAnsi="Arial" w:cs="Arial"/>
        </w:rPr>
        <w:t>Purcell, J., &amp; Hutchinson, S. (2007). Front-line managers as agents in the HRM-performance causal chain: theory, analysis and evidence. </w:t>
      </w:r>
      <w:r w:rsidRPr="00E368CE">
        <w:rPr>
          <w:rFonts w:ascii="Arial" w:hAnsi="Arial" w:cs="Arial"/>
          <w:i/>
          <w:iCs/>
        </w:rPr>
        <w:t>Human Resource Management Journal, 17</w:t>
      </w:r>
      <w:r w:rsidRPr="00E368CE">
        <w:rPr>
          <w:rFonts w:ascii="Arial" w:hAnsi="Arial" w:cs="Arial"/>
        </w:rPr>
        <w:t>(1), 3-20. </w:t>
      </w:r>
      <w:hyperlink r:id="rId15" w:tgtFrame="_blank" w:history="1">
        <w:r w:rsidRPr="00E368CE">
          <w:rPr>
            <w:rStyle w:val="Hyperlink"/>
            <w:rFonts w:ascii="Arial" w:hAnsi="Arial" w:cs="Arial"/>
          </w:rPr>
          <w:t>https://doi.org/10.1111/j.1748-8583.2007.00022.x</w:t>
        </w:r>
      </w:hyperlink>
    </w:p>
    <w:p w14:paraId="7A62D92E" w14:textId="7BDC35A8" w:rsidR="005263EC" w:rsidRPr="00A177F3" w:rsidRDefault="00366B89" w:rsidP="00427C81">
      <w:pPr>
        <w:rPr>
          <w:rFonts w:ascii="Arial" w:hAnsi="Arial" w:cs="Arial"/>
        </w:rPr>
      </w:pPr>
      <w:r w:rsidRPr="00E368CE">
        <w:rPr>
          <w:rFonts w:ascii="Arial" w:hAnsi="Arial" w:cs="Arial"/>
        </w:rPr>
        <w:t>Ulrich, D., &amp; Dulebohn, J. H. (2015). Are we there yet? What’s next for HR? </w:t>
      </w:r>
      <w:r w:rsidRPr="00E368CE">
        <w:rPr>
          <w:rFonts w:ascii="Arial" w:hAnsi="Arial" w:cs="Arial"/>
          <w:i/>
          <w:iCs/>
        </w:rPr>
        <w:t>Human Resource Management Review, 25</w:t>
      </w:r>
      <w:r w:rsidRPr="00E368CE">
        <w:rPr>
          <w:rFonts w:ascii="Arial" w:hAnsi="Arial" w:cs="Arial"/>
        </w:rPr>
        <w:t>(2), 188-204. </w:t>
      </w:r>
      <w:hyperlink r:id="rId16" w:tgtFrame="_blank" w:history="1">
        <w:r w:rsidRPr="00E368CE">
          <w:rPr>
            <w:rStyle w:val="Hyperlink"/>
            <w:rFonts w:ascii="Arial" w:hAnsi="Arial" w:cs="Arial"/>
          </w:rPr>
          <w:t>https://doi.org/10.1016/j.hrmr.2015.01.004</w:t>
        </w:r>
      </w:hyperlink>
    </w:p>
    <w:sectPr w:rsidR="005263EC" w:rsidRPr="00A177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23171"/>
    <w:multiLevelType w:val="hybridMultilevel"/>
    <w:tmpl w:val="5094B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155AA"/>
    <w:multiLevelType w:val="hybridMultilevel"/>
    <w:tmpl w:val="843C96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970A44"/>
    <w:multiLevelType w:val="hybridMultilevel"/>
    <w:tmpl w:val="167CD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1D6D07"/>
    <w:multiLevelType w:val="hybridMultilevel"/>
    <w:tmpl w:val="DBD64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C723E5"/>
    <w:multiLevelType w:val="hybridMultilevel"/>
    <w:tmpl w:val="D5CA2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4A488B"/>
    <w:multiLevelType w:val="hybridMultilevel"/>
    <w:tmpl w:val="8D42A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80F88"/>
    <w:multiLevelType w:val="hybridMultilevel"/>
    <w:tmpl w:val="D5F01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7815831">
    <w:abstractNumId w:val="1"/>
  </w:num>
  <w:num w:numId="2" w16cid:durableId="410664223">
    <w:abstractNumId w:val="0"/>
  </w:num>
  <w:num w:numId="3" w16cid:durableId="1411848815">
    <w:abstractNumId w:val="3"/>
  </w:num>
  <w:num w:numId="4" w16cid:durableId="545531201">
    <w:abstractNumId w:val="4"/>
  </w:num>
  <w:num w:numId="5" w16cid:durableId="1218206928">
    <w:abstractNumId w:val="6"/>
  </w:num>
  <w:num w:numId="6" w16cid:durableId="1415130721">
    <w:abstractNumId w:val="2"/>
  </w:num>
  <w:num w:numId="7" w16cid:durableId="3265152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2C3"/>
    <w:rsid w:val="00001E0E"/>
    <w:rsid w:val="00011B51"/>
    <w:rsid w:val="000259E4"/>
    <w:rsid w:val="000449A3"/>
    <w:rsid w:val="0005003E"/>
    <w:rsid w:val="00063E08"/>
    <w:rsid w:val="00073C6A"/>
    <w:rsid w:val="0008031D"/>
    <w:rsid w:val="00080BA9"/>
    <w:rsid w:val="0008219B"/>
    <w:rsid w:val="00086557"/>
    <w:rsid w:val="000A014A"/>
    <w:rsid w:val="000A08EA"/>
    <w:rsid w:val="000A7D86"/>
    <w:rsid w:val="000B2D05"/>
    <w:rsid w:val="00117392"/>
    <w:rsid w:val="0012533A"/>
    <w:rsid w:val="001256E2"/>
    <w:rsid w:val="00125D17"/>
    <w:rsid w:val="00126856"/>
    <w:rsid w:val="00132CF7"/>
    <w:rsid w:val="00150743"/>
    <w:rsid w:val="00176FB3"/>
    <w:rsid w:val="0018203C"/>
    <w:rsid w:val="001B1D94"/>
    <w:rsid w:val="001B6460"/>
    <w:rsid w:val="001C1063"/>
    <w:rsid w:val="001C15B9"/>
    <w:rsid w:val="001D333E"/>
    <w:rsid w:val="001D4E04"/>
    <w:rsid w:val="001E3074"/>
    <w:rsid w:val="001F6F54"/>
    <w:rsid w:val="00202DEF"/>
    <w:rsid w:val="00207C02"/>
    <w:rsid w:val="00212175"/>
    <w:rsid w:val="002225D9"/>
    <w:rsid w:val="0023083E"/>
    <w:rsid w:val="00246D83"/>
    <w:rsid w:val="00252EB7"/>
    <w:rsid w:val="00266D48"/>
    <w:rsid w:val="00272392"/>
    <w:rsid w:val="00277277"/>
    <w:rsid w:val="0028069A"/>
    <w:rsid w:val="002B1FA6"/>
    <w:rsid w:val="002B4A12"/>
    <w:rsid w:val="002C4A4E"/>
    <w:rsid w:val="002C4E95"/>
    <w:rsid w:val="002D2900"/>
    <w:rsid w:val="002F4FAD"/>
    <w:rsid w:val="002F6E92"/>
    <w:rsid w:val="00304393"/>
    <w:rsid w:val="0030545E"/>
    <w:rsid w:val="003107DE"/>
    <w:rsid w:val="00316A8F"/>
    <w:rsid w:val="00366B89"/>
    <w:rsid w:val="00387F87"/>
    <w:rsid w:val="003E0A92"/>
    <w:rsid w:val="00404B2F"/>
    <w:rsid w:val="004059DD"/>
    <w:rsid w:val="00427C81"/>
    <w:rsid w:val="00436230"/>
    <w:rsid w:val="0045084F"/>
    <w:rsid w:val="00483464"/>
    <w:rsid w:val="004863B1"/>
    <w:rsid w:val="00490AA2"/>
    <w:rsid w:val="00491E90"/>
    <w:rsid w:val="004A2408"/>
    <w:rsid w:val="004A5BE1"/>
    <w:rsid w:val="004B30E8"/>
    <w:rsid w:val="004B48AF"/>
    <w:rsid w:val="004C100E"/>
    <w:rsid w:val="004D1E68"/>
    <w:rsid w:val="004E0607"/>
    <w:rsid w:val="00521D74"/>
    <w:rsid w:val="005263EC"/>
    <w:rsid w:val="005278A8"/>
    <w:rsid w:val="00540FF4"/>
    <w:rsid w:val="00543B3A"/>
    <w:rsid w:val="00560121"/>
    <w:rsid w:val="00594678"/>
    <w:rsid w:val="005B2E89"/>
    <w:rsid w:val="005F711C"/>
    <w:rsid w:val="006212C2"/>
    <w:rsid w:val="0062177F"/>
    <w:rsid w:val="00621EDF"/>
    <w:rsid w:val="00623929"/>
    <w:rsid w:val="00630CBB"/>
    <w:rsid w:val="0068088E"/>
    <w:rsid w:val="00694F21"/>
    <w:rsid w:val="006B7ED6"/>
    <w:rsid w:val="006C2922"/>
    <w:rsid w:val="006C2B0D"/>
    <w:rsid w:val="006C4317"/>
    <w:rsid w:val="006C616C"/>
    <w:rsid w:val="006D152F"/>
    <w:rsid w:val="006D2C60"/>
    <w:rsid w:val="006D6C18"/>
    <w:rsid w:val="006E6AA1"/>
    <w:rsid w:val="00706FCF"/>
    <w:rsid w:val="00714635"/>
    <w:rsid w:val="00731A10"/>
    <w:rsid w:val="00785F5D"/>
    <w:rsid w:val="007903C4"/>
    <w:rsid w:val="007947AF"/>
    <w:rsid w:val="007B03CC"/>
    <w:rsid w:val="007B3214"/>
    <w:rsid w:val="007C35DD"/>
    <w:rsid w:val="007D3C04"/>
    <w:rsid w:val="007D5AF6"/>
    <w:rsid w:val="007D5BBC"/>
    <w:rsid w:val="007E18BD"/>
    <w:rsid w:val="007F23F4"/>
    <w:rsid w:val="00813EB3"/>
    <w:rsid w:val="0081774E"/>
    <w:rsid w:val="00817B13"/>
    <w:rsid w:val="0082791A"/>
    <w:rsid w:val="00863D27"/>
    <w:rsid w:val="00864277"/>
    <w:rsid w:val="00873E07"/>
    <w:rsid w:val="008C1006"/>
    <w:rsid w:val="008C680F"/>
    <w:rsid w:val="008D10CE"/>
    <w:rsid w:val="008E78E7"/>
    <w:rsid w:val="008F464C"/>
    <w:rsid w:val="00920F24"/>
    <w:rsid w:val="0092460F"/>
    <w:rsid w:val="00924FDF"/>
    <w:rsid w:val="00936C6C"/>
    <w:rsid w:val="009412AF"/>
    <w:rsid w:val="00970BA3"/>
    <w:rsid w:val="00971624"/>
    <w:rsid w:val="0097393D"/>
    <w:rsid w:val="00980A4E"/>
    <w:rsid w:val="009867AA"/>
    <w:rsid w:val="009931BA"/>
    <w:rsid w:val="00993D95"/>
    <w:rsid w:val="009B60B9"/>
    <w:rsid w:val="009F1551"/>
    <w:rsid w:val="009F6377"/>
    <w:rsid w:val="00A16049"/>
    <w:rsid w:val="00A177F3"/>
    <w:rsid w:val="00A22C27"/>
    <w:rsid w:val="00A363B4"/>
    <w:rsid w:val="00A430B5"/>
    <w:rsid w:val="00A510CE"/>
    <w:rsid w:val="00A64A6F"/>
    <w:rsid w:val="00A70223"/>
    <w:rsid w:val="00AA737B"/>
    <w:rsid w:val="00AB2691"/>
    <w:rsid w:val="00AE0E3D"/>
    <w:rsid w:val="00AE1C7A"/>
    <w:rsid w:val="00AE2DB7"/>
    <w:rsid w:val="00B033CB"/>
    <w:rsid w:val="00B15741"/>
    <w:rsid w:val="00B331E6"/>
    <w:rsid w:val="00B4301B"/>
    <w:rsid w:val="00B460B1"/>
    <w:rsid w:val="00B90957"/>
    <w:rsid w:val="00BA3EAF"/>
    <w:rsid w:val="00BA746A"/>
    <w:rsid w:val="00BB32D7"/>
    <w:rsid w:val="00BB5C3B"/>
    <w:rsid w:val="00BC16B2"/>
    <w:rsid w:val="00BC5D63"/>
    <w:rsid w:val="00BE19FF"/>
    <w:rsid w:val="00BF6303"/>
    <w:rsid w:val="00C0037C"/>
    <w:rsid w:val="00C14193"/>
    <w:rsid w:val="00C150C1"/>
    <w:rsid w:val="00C376FD"/>
    <w:rsid w:val="00C50C64"/>
    <w:rsid w:val="00C72BF6"/>
    <w:rsid w:val="00C757EF"/>
    <w:rsid w:val="00C76E88"/>
    <w:rsid w:val="00C77050"/>
    <w:rsid w:val="00C96633"/>
    <w:rsid w:val="00CA1B24"/>
    <w:rsid w:val="00CB45F6"/>
    <w:rsid w:val="00CC79BF"/>
    <w:rsid w:val="00CD02C3"/>
    <w:rsid w:val="00CF6D5F"/>
    <w:rsid w:val="00D24E5C"/>
    <w:rsid w:val="00D2662D"/>
    <w:rsid w:val="00D33F2A"/>
    <w:rsid w:val="00D379B4"/>
    <w:rsid w:val="00D53602"/>
    <w:rsid w:val="00D66DD9"/>
    <w:rsid w:val="00D7741B"/>
    <w:rsid w:val="00D813A6"/>
    <w:rsid w:val="00DA49FE"/>
    <w:rsid w:val="00DC6D74"/>
    <w:rsid w:val="00DF4705"/>
    <w:rsid w:val="00E15076"/>
    <w:rsid w:val="00E27B6D"/>
    <w:rsid w:val="00E368CE"/>
    <w:rsid w:val="00E434B6"/>
    <w:rsid w:val="00E518E2"/>
    <w:rsid w:val="00E56594"/>
    <w:rsid w:val="00E779DA"/>
    <w:rsid w:val="00E80FE9"/>
    <w:rsid w:val="00E84019"/>
    <w:rsid w:val="00E90537"/>
    <w:rsid w:val="00EB0FB6"/>
    <w:rsid w:val="00EB5F42"/>
    <w:rsid w:val="00EC1126"/>
    <w:rsid w:val="00EF6649"/>
    <w:rsid w:val="00F12DF0"/>
    <w:rsid w:val="00F3555E"/>
    <w:rsid w:val="00F359F5"/>
    <w:rsid w:val="00F43C06"/>
    <w:rsid w:val="00F62794"/>
    <w:rsid w:val="00F70FB0"/>
    <w:rsid w:val="00F83262"/>
    <w:rsid w:val="00F8337C"/>
    <w:rsid w:val="00FA4BB9"/>
    <w:rsid w:val="00FA745B"/>
    <w:rsid w:val="00FB12AD"/>
    <w:rsid w:val="00FC04A2"/>
    <w:rsid w:val="00FC5824"/>
    <w:rsid w:val="00FC75CA"/>
    <w:rsid w:val="00FD7907"/>
    <w:rsid w:val="00FF5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7CE26"/>
  <w15:chartTrackingRefBased/>
  <w15:docId w15:val="{80687809-C481-477C-93FC-E5A5AF13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02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D02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02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02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02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02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02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02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02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2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D02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02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02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02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02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02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02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02C3"/>
    <w:rPr>
      <w:rFonts w:eastAsiaTheme="majorEastAsia" w:cstheme="majorBidi"/>
      <w:color w:val="272727" w:themeColor="text1" w:themeTint="D8"/>
    </w:rPr>
  </w:style>
  <w:style w:type="paragraph" w:styleId="Title">
    <w:name w:val="Title"/>
    <w:basedOn w:val="Normal"/>
    <w:next w:val="Normal"/>
    <w:link w:val="TitleChar"/>
    <w:uiPriority w:val="10"/>
    <w:qFormat/>
    <w:rsid w:val="00CD02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02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02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02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02C3"/>
    <w:pPr>
      <w:spacing w:before="160"/>
      <w:jc w:val="center"/>
    </w:pPr>
    <w:rPr>
      <w:i/>
      <w:iCs/>
      <w:color w:val="404040" w:themeColor="text1" w:themeTint="BF"/>
    </w:rPr>
  </w:style>
  <w:style w:type="character" w:customStyle="1" w:styleId="QuoteChar">
    <w:name w:val="Quote Char"/>
    <w:basedOn w:val="DefaultParagraphFont"/>
    <w:link w:val="Quote"/>
    <w:uiPriority w:val="29"/>
    <w:rsid w:val="00CD02C3"/>
    <w:rPr>
      <w:i/>
      <w:iCs/>
      <w:color w:val="404040" w:themeColor="text1" w:themeTint="BF"/>
    </w:rPr>
  </w:style>
  <w:style w:type="paragraph" w:styleId="ListParagraph">
    <w:name w:val="List Paragraph"/>
    <w:basedOn w:val="Normal"/>
    <w:uiPriority w:val="34"/>
    <w:qFormat/>
    <w:rsid w:val="00CD02C3"/>
    <w:pPr>
      <w:ind w:left="720"/>
      <w:contextualSpacing/>
    </w:pPr>
  </w:style>
  <w:style w:type="character" w:styleId="IntenseEmphasis">
    <w:name w:val="Intense Emphasis"/>
    <w:basedOn w:val="DefaultParagraphFont"/>
    <w:uiPriority w:val="21"/>
    <w:qFormat/>
    <w:rsid w:val="00CD02C3"/>
    <w:rPr>
      <w:i/>
      <w:iCs/>
      <w:color w:val="0F4761" w:themeColor="accent1" w:themeShade="BF"/>
    </w:rPr>
  </w:style>
  <w:style w:type="paragraph" w:styleId="IntenseQuote">
    <w:name w:val="Intense Quote"/>
    <w:basedOn w:val="Normal"/>
    <w:next w:val="Normal"/>
    <w:link w:val="IntenseQuoteChar"/>
    <w:uiPriority w:val="30"/>
    <w:qFormat/>
    <w:rsid w:val="00CD02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02C3"/>
    <w:rPr>
      <w:i/>
      <w:iCs/>
      <w:color w:val="0F4761" w:themeColor="accent1" w:themeShade="BF"/>
    </w:rPr>
  </w:style>
  <w:style w:type="character" w:styleId="IntenseReference">
    <w:name w:val="Intense Reference"/>
    <w:basedOn w:val="DefaultParagraphFont"/>
    <w:uiPriority w:val="32"/>
    <w:qFormat/>
    <w:rsid w:val="00CD02C3"/>
    <w:rPr>
      <w:b/>
      <w:bCs/>
      <w:smallCaps/>
      <w:color w:val="0F4761" w:themeColor="accent1" w:themeShade="BF"/>
      <w:spacing w:val="5"/>
    </w:rPr>
  </w:style>
  <w:style w:type="character" w:styleId="Hyperlink">
    <w:name w:val="Hyperlink"/>
    <w:basedOn w:val="DefaultParagraphFont"/>
    <w:uiPriority w:val="99"/>
    <w:unhideWhenUsed/>
    <w:rsid w:val="00427C81"/>
    <w:rPr>
      <w:color w:val="467886" w:themeColor="hyperlink"/>
      <w:u w:val="single"/>
    </w:rPr>
  </w:style>
  <w:style w:type="character" w:styleId="UnresolvedMention">
    <w:name w:val="Unresolved Mention"/>
    <w:basedOn w:val="DefaultParagraphFont"/>
    <w:uiPriority w:val="99"/>
    <w:semiHidden/>
    <w:unhideWhenUsed/>
    <w:rsid w:val="00427C81"/>
    <w:rPr>
      <w:color w:val="605E5C"/>
      <w:shd w:val="clear" w:color="auto" w:fill="E1DFDD"/>
    </w:rPr>
  </w:style>
  <w:style w:type="character" w:styleId="FollowedHyperlink">
    <w:name w:val="FollowedHyperlink"/>
    <w:basedOn w:val="DefaultParagraphFont"/>
    <w:uiPriority w:val="99"/>
    <w:semiHidden/>
    <w:unhideWhenUsed/>
    <w:rsid w:val="00427C8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14585">
      <w:bodyDiv w:val="1"/>
      <w:marLeft w:val="0"/>
      <w:marRight w:val="0"/>
      <w:marTop w:val="0"/>
      <w:marBottom w:val="0"/>
      <w:divBdr>
        <w:top w:val="none" w:sz="0" w:space="0" w:color="auto"/>
        <w:left w:val="none" w:sz="0" w:space="0" w:color="auto"/>
        <w:bottom w:val="none" w:sz="0" w:space="0" w:color="auto"/>
        <w:right w:val="none" w:sz="0" w:space="0" w:color="auto"/>
      </w:divBdr>
    </w:div>
    <w:div w:id="1991473702">
      <w:bodyDiv w:val="1"/>
      <w:marLeft w:val="0"/>
      <w:marRight w:val="0"/>
      <w:marTop w:val="0"/>
      <w:marBottom w:val="0"/>
      <w:divBdr>
        <w:top w:val="none" w:sz="0" w:space="0" w:color="auto"/>
        <w:left w:val="none" w:sz="0" w:space="0" w:color="auto"/>
        <w:bottom w:val="none" w:sz="0" w:space="0" w:color="auto"/>
        <w:right w:val="none" w:sz="0" w:space="0" w:color="auto"/>
      </w:divBdr>
    </w:div>
    <w:div w:id="207804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br.org/2021/05/how-to-do-hybrid-righ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08/ER-09-2017-022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hrmr.2015.01.00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37/0021-9010.92.6.1524" TargetMode="External"/><Relationship Id="rId5" Type="http://schemas.openxmlformats.org/officeDocument/2006/relationships/numbering" Target="numbering.xml"/><Relationship Id="rId15" Type="http://schemas.openxmlformats.org/officeDocument/2006/relationships/hyperlink" Target="https://doi.org/10.1111/j.1748-8583.2007.00022.x" TargetMode="External"/><Relationship Id="rId10" Type="http://schemas.openxmlformats.org/officeDocument/2006/relationships/hyperlink" Target="https://doi.org/10.1146/annurev-orgpsych-031413-091314" TargetMode="External"/><Relationship Id="rId4" Type="http://schemas.openxmlformats.org/officeDocument/2006/relationships/customXml" Target="../customXml/item4.xml"/><Relationship Id="rId9" Type="http://schemas.openxmlformats.org/officeDocument/2006/relationships/hyperlink" Target="https://doi.org/10.1093/qje/qju032" TargetMode="External"/><Relationship Id="rId14" Type="http://schemas.openxmlformats.org/officeDocument/2006/relationships/hyperlink" Target="https://doi.org/10.1287/orsc.1120.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52c27694d7337bb159edfc31d6dde800">
  <xsd:schema xmlns:xsd="http://www.w3.org/2001/XMLSchema" xmlns:xs="http://www.w3.org/2001/XMLSchema" xmlns:p="http://schemas.microsoft.com/office/2006/metadata/properties" xmlns:ns3="bf244c3e-e0b4-4871-bb4e-fd032a14544d" targetNamespace="http://schemas.microsoft.com/office/2006/metadata/properties" ma:root="true" ma:fieldsID="f58fd6cfb39ae1f74ddfbc8421a13454"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Kni20</b:Tag>
    <b:SourceType>Book</b:SourceType>
    <b:Guid>{2649F154-786F-42B6-B2CB-B02CB17CD387}</b:Guid>
    <b:Author>
      <b:Author>
        <b:NameList>
          <b:Person>
            <b:Last>Knights</b:Last>
            <b:First>D.</b:First>
            <b:Middle>&amp; Willmot, H.</b:Middle>
          </b:Person>
        </b:NameList>
      </b:Author>
    </b:Author>
    <b:Title>Introducing organisational behavioural and managemnet</b:Title>
    <b:Year>2020</b:Year>
    <b:RefOrder>1</b:RefOrder>
  </b:Source>
  <b:Source>
    <b:Tag>Ulr15</b:Tag>
    <b:SourceType>JournalArticle</b:SourceType>
    <b:Guid>{8B85D5F5-02E3-47A5-AA90-18F4BFDBA150}</b:Guid>
    <b:Author>
      <b:Author>
        <b:NameList>
          <b:Person>
            <b:Last>Ulrich</b:Last>
            <b:First>D.,</b:First>
            <b:Middle>&amp; Dulebohn, J. H.</b:Middle>
          </b:Person>
        </b:NameList>
      </b:Author>
    </b:Author>
    <b:Title>Are we there yet? What’s next for HR? Human Resource Management Review</b:Title>
    <b:Year>2015</b:Year>
    <b:Pages>188-204</b:Pages>
    <b:RefOrder>2</b:RefOrder>
  </b:Source>
  <b:Source>
    <b:Tag>Hay22</b:Tag>
    <b:SourceType>Book</b:SourceType>
    <b:Guid>{FC69C3BF-88D0-4D71-930A-DD9C75DE986D}</b:Guid>
    <b:Author>
      <b:Author>
        <b:NameList>
          <b:Person>
            <b:Last>Hayes</b:Last>
            <b:First>J.</b:First>
          </b:Person>
        </b:NameList>
      </b:Author>
    </b:Author>
    <b:Title>The theory and practice of change management (6th ed.)</b:Title>
    <b:Year>2022</b:Year>
    <b:Publisher>Palgrave Macmillan.</b:Publisher>
    <b:RefOrder>3</b:RefOrder>
  </b:Source>
</b:Sources>
</file>

<file path=customXml/itemProps1.xml><?xml version="1.0" encoding="utf-8"?>
<ds:datastoreItem xmlns:ds="http://schemas.openxmlformats.org/officeDocument/2006/customXml" ds:itemID="{FEE64949-17D9-4119-9FF1-A9240A41EEDC}">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94F74AF4-A915-4D8D-9000-9493CA9B46C6}">
  <ds:schemaRefs>
    <ds:schemaRef ds:uri="http://schemas.microsoft.com/sharepoint/v3/contenttype/forms"/>
  </ds:schemaRefs>
</ds:datastoreItem>
</file>

<file path=customXml/itemProps3.xml><?xml version="1.0" encoding="utf-8"?>
<ds:datastoreItem xmlns:ds="http://schemas.openxmlformats.org/officeDocument/2006/customXml" ds:itemID="{6EE6DC90-8F68-448A-BCDD-AAE2F15C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F4B217-BD46-42CD-9B7E-BD73B6282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2152</Words>
  <Characters>14638</Characters>
  <Application>Microsoft Office Word</Application>
  <DocSecurity>0</DocSecurity>
  <Lines>243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Kaden Silveira (2416870)</dc:creator>
  <cp:keywords/>
  <dc:description/>
  <cp:lastModifiedBy>Kaden Silveira (2416870)</cp:lastModifiedBy>
  <cp:revision>207</cp:revision>
  <dcterms:created xsi:type="dcterms:W3CDTF">2025-12-15T08:23:00Z</dcterms:created>
  <dcterms:modified xsi:type="dcterms:W3CDTF">2025-12-16T01:12:00Z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