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5F843F" w14:textId="77777777" w:rsidR="00142756" w:rsidRDefault="00142756" w:rsidP="00142756">
      <w:pPr>
        <w:pStyle w:val="NormalWeb"/>
        <w:spacing w:before="0" w:beforeAutospacing="0" w:after="0" w:afterAutospacing="0"/>
        <w:ind w:left="-180" w:right="-334"/>
      </w:pPr>
      <w:r>
        <w:rPr>
          <w:noProof/>
          <w:lang w:eastAsia="en-GB"/>
        </w:rPr>
        <w:drawing>
          <wp:inline distT="0" distB="0" distL="0" distR="0" wp14:anchorId="29EB0697" wp14:editId="3868A014">
            <wp:extent cx="1819275" cy="729615"/>
            <wp:effectExtent l="0" t="0" r="9525" b="6985"/>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19275" cy="729615"/>
                    </a:xfrm>
                    <a:prstGeom prst="rect">
                      <a:avLst/>
                    </a:prstGeom>
                    <a:noFill/>
                    <a:ln>
                      <a:noFill/>
                    </a:ln>
                  </pic:spPr>
                </pic:pic>
              </a:graphicData>
            </a:graphic>
          </wp:inline>
        </w:drawing>
      </w:r>
    </w:p>
    <w:p w14:paraId="4D614CD0" w14:textId="77777777" w:rsidR="00142756" w:rsidRDefault="00142756" w:rsidP="00142756">
      <w:pPr>
        <w:pStyle w:val="NormalWeb"/>
        <w:spacing w:before="0" w:beforeAutospacing="0" w:after="0" w:afterAutospacing="0"/>
        <w:ind w:left="-180" w:right="-334"/>
      </w:pPr>
    </w:p>
    <w:p w14:paraId="28CC9EEE" w14:textId="77777777" w:rsidR="00142756" w:rsidRDefault="00142756" w:rsidP="00142756">
      <w:pPr>
        <w:pStyle w:val="NormalWeb"/>
        <w:spacing w:before="0" w:beforeAutospacing="0" w:after="0" w:afterAutospacing="0"/>
        <w:ind w:left="-180" w:right="-334"/>
      </w:pPr>
    </w:p>
    <w:p w14:paraId="4CF9E25B" w14:textId="77777777" w:rsidR="00142756" w:rsidRDefault="00142756" w:rsidP="00142756">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96DAB5B" w14:textId="77777777" w:rsidR="00142756" w:rsidRPr="00230F35" w:rsidRDefault="00142756" w:rsidP="0014275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F5383EB" w14:textId="77777777" w:rsidR="00142756" w:rsidRPr="00230F35" w:rsidRDefault="00142756" w:rsidP="00142756">
      <w:pPr>
        <w:rPr>
          <w:rFonts w:ascii="Arial" w:hAnsi="Arial" w:cs="Arial"/>
          <w:sz w:val="28"/>
          <w:szCs w:val="28"/>
          <w:lang w:val="cy-GB"/>
        </w:rPr>
      </w:pPr>
    </w:p>
    <w:p w14:paraId="71F8C19C" w14:textId="77777777" w:rsidR="00142756" w:rsidRDefault="00142756" w:rsidP="00142756">
      <w:pPr>
        <w:pStyle w:val="Heading3"/>
        <w:jc w:val="center"/>
        <w:rPr>
          <w:lang w:val="cy-GB"/>
        </w:rPr>
      </w:pPr>
      <w:r>
        <w:rPr>
          <w:lang w:val="cy-GB"/>
        </w:rPr>
        <w:t>THIS SHEET MUST BE THE FIRST PAGE OF THE ASSIGNMENT YOU ARE SUBMITTING  (DO NOT SEND AS A SEPARATE FILE)</w:t>
      </w:r>
    </w:p>
    <w:p w14:paraId="6F286598" w14:textId="77777777" w:rsidR="00142756" w:rsidRDefault="00142756" w:rsidP="00142756">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42756" w:rsidRPr="00230F35" w14:paraId="3A929D1F" w14:textId="77777777" w:rsidTr="0041468A">
        <w:trPr>
          <w:trHeight w:val="614"/>
        </w:trPr>
        <w:tc>
          <w:tcPr>
            <w:tcW w:w="8856" w:type="dxa"/>
            <w:gridSpan w:val="5"/>
          </w:tcPr>
          <w:p w14:paraId="7BCE7605" w14:textId="77777777" w:rsidR="00142756" w:rsidRPr="00230F35" w:rsidRDefault="00142756" w:rsidP="0041468A">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42756" w:rsidRPr="00230F35" w14:paraId="5E7D8B8E" w14:textId="77777777" w:rsidTr="0041468A">
        <w:trPr>
          <w:trHeight w:val="718"/>
        </w:trPr>
        <w:tc>
          <w:tcPr>
            <w:tcW w:w="8856" w:type="dxa"/>
            <w:gridSpan w:val="5"/>
          </w:tcPr>
          <w:p w14:paraId="25A2791E" w14:textId="77777777" w:rsidR="00142756" w:rsidRDefault="00142756" w:rsidP="0041468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Paul Kiernan</w:t>
            </w:r>
          </w:p>
          <w:p w14:paraId="650D38FB" w14:textId="77777777" w:rsidR="00142756" w:rsidRPr="00230F35" w:rsidRDefault="00142756" w:rsidP="0041468A">
            <w:pPr>
              <w:pStyle w:val="NormalWeb"/>
              <w:spacing w:before="0" w:beforeAutospacing="0" w:after="0" w:afterAutospacing="0"/>
              <w:ind w:right="34"/>
              <w:rPr>
                <w:rFonts w:ascii="Arial" w:hAnsi="Arial" w:cs="Arial"/>
                <w:sz w:val="22"/>
                <w:szCs w:val="22"/>
              </w:rPr>
            </w:pPr>
          </w:p>
          <w:p w14:paraId="474FE128" w14:textId="77777777" w:rsidR="00142756" w:rsidRPr="00230F35" w:rsidRDefault="00142756" w:rsidP="0041468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1F2CC9">
              <w:rPr>
                <w:rFonts w:ascii="Arial" w:hAnsi="Arial" w:cs="Arial"/>
                <w:sz w:val="22"/>
                <w:szCs w:val="22"/>
              </w:rPr>
              <w:t>1704194@student.uwtsd.ac.uk</w:t>
            </w:r>
          </w:p>
        </w:tc>
      </w:tr>
      <w:tr w:rsidR="00142756" w:rsidRPr="00230F35" w14:paraId="5D102FFF" w14:textId="77777777" w:rsidTr="0041468A">
        <w:trPr>
          <w:trHeight w:val="849"/>
        </w:trPr>
        <w:tc>
          <w:tcPr>
            <w:tcW w:w="4788" w:type="dxa"/>
          </w:tcPr>
          <w:p w14:paraId="115FA021" w14:textId="77777777" w:rsidR="00142756" w:rsidRPr="00230F35" w:rsidRDefault="00142756" w:rsidP="0041468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t xml:space="preserve"> </w:t>
            </w:r>
            <w:r w:rsidRPr="007C4DA7">
              <w:rPr>
                <w:rFonts w:ascii="Arial" w:hAnsi="Arial" w:cs="Arial"/>
                <w:sz w:val="22"/>
                <w:szCs w:val="22"/>
              </w:rPr>
              <w:t>HPCA7009</w:t>
            </w:r>
          </w:p>
          <w:p w14:paraId="1C8EC7CA" w14:textId="77777777" w:rsidR="00142756" w:rsidRPr="00230F35" w:rsidRDefault="00142756" w:rsidP="0041468A">
            <w:pPr>
              <w:pStyle w:val="NormalWeb"/>
              <w:spacing w:before="0" w:beforeAutospacing="0" w:after="0" w:afterAutospacing="0"/>
              <w:ind w:right="34"/>
              <w:rPr>
                <w:rFonts w:ascii="Arial" w:hAnsi="Arial" w:cs="Arial"/>
                <w:sz w:val="22"/>
                <w:szCs w:val="22"/>
              </w:rPr>
            </w:pPr>
          </w:p>
          <w:p w14:paraId="2C9353E5" w14:textId="77777777" w:rsidR="00142756" w:rsidRDefault="00142756" w:rsidP="0041468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7C4DA7">
              <w:rPr>
                <w:rFonts w:ascii="Arial" w:hAnsi="Arial" w:cs="Arial"/>
                <w:sz w:val="22"/>
                <w:szCs w:val="22"/>
              </w:rPr>
              <w:t>Skyscapes, Cosmology and Archaeology</w:t>
            </w:r>
          </w:p>
          <w:p w14:paraId="2B0644EB" w14:textId="77777777" w:rsidR="00142756" w:rsidRPr="00230F35" w:rsidRDefault="00142756" w:rsidP="0041468A">
            <w:pPr>
              <w:pStyle w:val="NormalWeb"/>
              <w:spacing w:before="0" w:beforeAutospacing="0" w:after="0" w:afterAutospacing="0"/>
              <w:ind w:right="34"/>
              <w:rPr>
                <w:rFonts w:ascii="Arial" w:hAnsi="Arial" w:cs="Arial"/>
                <w:sz w:val="22"/>
                <w:szCs w:val="22"/>
              </w:rPr>
            </w:pPr>
          </w:p>
        </w:tc>
        <w:tc>
          <w:tcPr>
            <w:tcW w:w="2266" w:type="dxa"/>
            <w:gridSpan w:val="3"/>
          </w:tcPr>
          <w:p w14:paraId="2A8EC536" w14:textId="77777777" w:rsidR="00142756" w:rsidRDefault="00142756" w:rsidP="0041468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2307A4A" w14:textId="77777777" w:rsidR="00142756" w:rsidRDefault="00142756" w:rsidP="0041468A">
            <w:pPr>
              <w:pStyle w:val="NormalWeb"/>
              <w:spacing w:before="0" w:beforeAutospacing="0" w:after="0" w:afterAutospacing="0"/>
              <w:ind w:right="34"/>
              <w:rPr>
                <w:rFonts w:ascii="Arial" w:hAnsi="Arial" w:cs="Arial"/>
                <w:sz w:val="22"/>
                <w:szCs w:val="22"/>
              </w:rPr>
            </w:pPr>
          </w:p>
          <w:p w14:paraId="58D04245" w14:textId="77777777" w:rsidR="00142756" w:rsidRPr="00230F35" w:rsidRDefault="00142756" w:rsidP="0041468A">
            <w:pPr>
              <w:pStyle w:val="NormalWeb"/>
              <w:spacing w:before="0" w:beforeAutospacing="0" w:after="0" w:afterAutospacing="0"/>
              <w:ind w:right="34"/>
              <w:rPr>
                <w:rFonts w:ascii="Arial" w:hAnsi="Arial" w:cs="Arial"/>
                <w:sz w:val="22"/>
                <w:szCs w:val="22"/>
              </w:rPr>
            </w:pPr>
            <w:r>
              <w:rPr>
                <w:rFonts w:ascii="Arial" w:hAnsi="Arial" w:cs="Arial"/>
                <w:sz w:val="22"/>
                <w:szCs w:val="22"/>
              </w:rPr>
              <w:t>1704194</w:t>
            </w:r>
          </w:p>
        </w:tc>
        <w:tc>
          <w:tcPr>
            <w:tcW w:w="1802" w:type="dxa"/>
          </w:tcPr>
          <w:p w14:paraId="488B45A8" w14:textId="77777777" w:rsidR="00142756" w:rsidRPr="00230F35" w:rsidRDefault="00142756" w:rsidP="0041468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1FC09C9" w14:textId="77777777" w:rsidR="00142756" w:rsidRPr="00230F35" w:rsidRDefault="00142756" w:rsidP="0041468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142756" w:rsidRPr="00230F35" w14:paraId="08746FFD" w14:textId="77777777" w:rsidTr="0041468A">
        <w:trPr>
          <w:trHeight w:val="1139"/>
        </w:trPr>
        <w:tc>
          <w:tcPr>
            <w:tcW w:w="8856" w:type="dxa"/>
            <w:gridSpan w:val="5"/>
          </w:tcPr>
          <w:p w14:paraId="510E2A85" w14:textId="2D034C00" w:rsidR="00142756" w:rsidRPr="00230F35" w:rsidRDefault="00142756" w:rsidP="0041468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A fieldwork exercise at Milton Keynes</w:t>
            </w:r>
            <w:r w:rsidR="00BD7ED0">
              <w:rPr>
                <w:rFonts w:ascii="Arial" w:hAnsi="Arial" w:cs="Arial"/>
                <w:sz w:val="22"/>
                <w:szCs w:val="22"/>
              </w:rPr>
              <w:t xml:space="preserve"> </w:t>
            </w:r>
          </w:p>
          <w:p w14:paraId="278204D6" w14:textId="15AE3710" w:rsidR="00142756" w:rsidRPr="00D32B4C" w:rsidRDefault="00142756" w:rsidP="0041468A">
            <w:pPr>
              <w:spacing w:line="240" w:lineRule="auto"/>
              <w:rPr>
                <w:rFonts w:ascii="Times New Roman" w:eastAsia="Times New Roman" w:hAnsi="Times New Roman"/>
              </w:rPr>
            </w:pPr>
            <w:r>
              <w:rPr>
                <w:rFonts w:ascii="Times New Roman" w:eastAsia="Times New Roman" w:hAnsi="Times New Roman"/>
              </w:rPr>
              <w:t xml:space="preserve">(word count </w:t>
            </w:r>
            <w:r w:rsidR="00010CED">
              <w:rPr>
                <w:rFonts w:ascii="Times New Roman" w:eastAsia="Times New Roman" w:hAnsi="Times New Roman"/>
              </w:rPr>
              <w:t>3543</w:t>
            </w:r>
            <w:bookmarkStart w:id="0" w:name="_GoBack"/>
            <w:bookmarkEnd w:id="0"/>
            <w:r>
              <w:rPr>
                <w:rFonts w:ascii="Times New Roman" w:eastAsia="Times New Roman" w:hAnsi="Times New Roman"/>
              </w:rPr>
              <w:t>)</w:t>
            </w:r>
          </w:p>
          <w:p w14:paraId="42005B63" w14:textId="77777777" w:rsidR="00142756" w:rsidRDefault="00142756" w:rsidP="0041468A">
            <w:pPr>
              <w:pStyle w:val="NormalWeb"/>
              <w:spacing w:before="0" w:beforeAutospacing="0" w:after="0" w:afterAutospacing="0"/>
              <w:ind w:right="34"/>
              <w:rPr>
                <w:rFonts w:ascii="Arial" w:hAnsi="Arial" w:cs="Arial"/>
                <w:sz w:val="22"/>
                <w:szCs w:val="22"/>
              </w:rPr>
            </w:pPr>
          </w:p>
          <w:p w14:paraId="22BEB00C" w14:textId="4AC5507C" w:rsidR="00142756" w:rsidRPr="00230F35" w:rsidRDefault="00142756" w:rsidP="00CC10A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CC10A3">
              <w:rPr>
                <w:rFonts w:ascii="Arial" w:hAnsi="Arial" w:cs="Arial"/>
                <w:sz w:val="22"/>
                <w:szCs w:val="22"/>
              </w:rPr>
              <w:t>29</w:t>
            </w:r>
            <w:r w:rsidRPr="007B232C">
              <w:rPr>
                <w:rFonts w:ascii="Arial" w:hAnsi="Arial" w:cs="Arial"/>
                <w:sz w:val="22"/>
                <w:szCs w:val="22"/>
                <w:vertAlign w:val="superscript"/>
              </w:rPr>
              <w:t>th</w:t>
            </w:r>
            <w:r>
              <w:rPr>
                <w:rFonts w:ascii="Arial" w:hAnsi="Arial" w:cs="Arial"/>
                <w:sz w:val="22"/>
                <w:szCs w:val="22"/>
              </w:rPr>
              <w:t xml:space="preserve"> </w:t>
            </w:r>
            <w:r w:rsidR="00CC10A3">
              <w:rPr>
                <w:rFonts w:ascii="Arial" w:hAnsi="Arial" w:cs="Arial"/>
                <w:sz w:val="22"/>
                <w:szCs w:val="22"/>
              </w:rPr>
              <w:t>July</w:t>
            </w:r>
            <w:r>
              <w:rPr>
                <w:rFonts w:ascii="Arial" w:hAnsi="Arial" w:cs="Arial"/>
                <w:sz w:val="22"/>
                <w:szCs w:val="22"/>
              </w:rPr>
              <w:t xml:space="preserve"> 2019</w:t>
            </w:r>
          </w:p>
        </w:tc>
      </w:tr>
      <w:tr w:rsidR="00142756" w:rsidRPr="00230F35" w14:paraId="6B082DAD" w14:textId="77777777" w:rsidTr="0041468A">
        <w:trPr>
          <w:trHeight w:val="978"/>
        </w:trPr>
        <w:tc>
          <w:tcPr>
            <w:tcW w:w="8856" w:type="dxa"/>
            <w:gridSpan w:val="5"/>
            <w:tcBorders>
              <w:bottom w:val="single" w:sz="4" w:space="0" w:color="000000"/>
            </w:tcBorders>
          </w:tcPr>
          <w:p w14:paraId="75F8F627" w14:textId="77777777" w:rsidR="00142756" w:rsidRPr="00230F35" w:rsidRDefault="00142756" w:rsidP="0041468A">
            <w:pPr>
              <w:rPr>
                <w:rFonts w:ascii="Arial" w:hAnsi="Arial" w:cs="Arial"/>
                <w:sz w:val="22"/>
                <w:szCs w:val="22"/>
              </w:rPr>
            </w:pPr>
            <w:r>
              <w:rPr>
                <w:rFonts w:ascii="Arial" w:hAnsi="Arial" w:cs="Arial"/>
                <w:sz w:val="22"/>
                <w:szCs w:val="22"/>
              </w:rPr>
              <w:t>This assignment is for the</w:t>
            </w:r>
            <w:r w:rsidRPr="00230F35">
              <w:rPr>
                <w:rFonts w:ascii="Arial" w:hAnsi="Arial" w:cs="Arial"/>
                <w:sz w:val="22"/>
                <w:szCs w:val="22"/>
              </w:rPr>
              <w:t xml:space="preserve"> </w:t>
            </w:r>
            <w:r>
              <w:rPr>
                <w:rFonts w:ascii="Arial" w:hAnsi="Arial" w:cs="Arial"/>
                <w:sz w:val="22"/>
                <w:szCs w:val="22"/>
              </w:rPr>
              <w:t>4</w:t>
            </w:r>
            <w:r>
              <w:rPr>
                <w:rFonts w:ascii="Arial" w:hAnsi="Arial" w:cs="Arial"/>
                <w:sz w:val="22"/>
                <w:szCs w:val="22"/>
                <w:vertAlign w:val="superscript"/>
              </w:rPr>
              <w:t>th</w:t>
            </w:r>
            <w:r>
              <w:rPr>
                <w:rFonts w:ascii="Arial" w:hAnsi="Arial" w:cs="Arial"/>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142756" w:rsidRPr="00230F35" w14:paraId="4B0CE561" w14:textId="77777777" w:rsidTr="0041468A">
        <w:trPr>
          <w:trHeight w:val="978"/>
        </w:trPr>
        <w:tc>
          <w:tcPr>
            <w:tcW w:w="8856" w:type="dxa"/>
            <w:gridSpan w:val="5"/>
            <w:shd w:val="clear" w:color="auto" w:fill="D9D9D9"/>
          </w:tcPr>
          <w:p w14:paraId="33CD3B43" w14:textId="77777777" w:rsidR="00142756" w:rsidRPr="00230F35" w:rsidRDefault="00142756" w:rsidP="0041468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3674517" w14:textId="77777777" w:rsidR="00142756" w:rsidRDefault="00142756" w:rsidP="0041468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0BD275B3" w14:textId="77777777" w:rsidR="00142756" w:rsidRDefault="00142756" w:rsidP="0041468A">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Pr>
                <w:rFonts w:ascii="Calibri" w:hAnsi="Calibri" w:cs="Calibri"/>
                <w:b/>
                <w:sz w:val="44"/>
                <w:szCs w:val="44"/>
              </w:rPr>
              <w:sym w:font="Wingdings" w:char="F0FE"/>
            </w:r>
          </w:p>
          <w:p w14:paraId="23FA0E8C" w14:textId="77777777" w:rsidR="00142756" w:rsidRPr="00230F35" w:rsidRDefault="00142756" w:rsidP="0041468A">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142756" w:rsidRPr="00230F35" w14:paraId="537F4B54" w14:textId="77777777" w:rsidTr="0041468A">
        <w:trPr>
          <w:trHeight w:val="3972"/>
        </w:trPr>
        <w:tc>
          <w:tcPr>
            <w:tcW w:w="8856" w:type="dxa"/>
            <w:gridSpan w:val="5"/>
          </w:tcPr>
          <w:p w14:paraId="48C88FE2" w14:textId="77777777" w:rsidR="00142756" w:rsidRDefault="00142756" w:rsidP="0041468A">
            <w:pPr>
              <w:rPr>
                <w:rFonts w:ascii="Arial" w:hAnsi="Arial"/>
                <w:b/>
              </w:rPr>
            </w:pPr>
          </w:p>
          <w:p w14:paraId="51449C2E" w14:textId="77777777" w:rsidR="00142756" w:rsidRPr="00116CE6" w:rsidRDefault="00142756" w:rsidP="0041468A">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42756" w:rsidRPr="00116CE6" w14:paraId="6F0518C2" w14:textId="77777777" w:rsidTr="0041468A">
              <w:tc>
                <w:tcPr>
                  <w:tcW w:w="6970" w:type="dxa"/>
                </w:tcPr>
                <w:p w14:paraId="50286AB3" w14:textId="77777777" w:rsidR="00142756" w:rsidRPr="00116CE6" w:rsidRDefault="00142756" w:rsidP="0041468A">
                  <w:pPr>
                    <w:rPr>
                      <w:rFonts w:ascii="Arial" w:hAnsi="Arial"/>
                      <w:sz w:val="20"/>
                      <w:szCs w:val="20"/>
                    </w:rPr>
                  </w:pPr>
                </w:p>
                <w:p w14:paraId="399234A3" w14:textId="77777777" w:rsidR="00142756" w:rsidRPr="00116CE6" w:rsidRDefault="00142756" w:rsidP="0041468A">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8FA225D" w14:textId="77777777" w:rsidR="00142756" w:rsidRPr="00116CE6" w:rsidRDefault="00142756" w:rsidP="0041468A">
                  <w:pPr>
                    <w:rPr>
                      <w:rFonts w:ascii="Arial" w:hAnsi="Arial"/>
                      <w:sz w:val="20"/>
                      <w:szCs w:val="20"/>
                    </w:rPr>
                  </w:pPr>
                </w:p>
              </w:tc>
            </w:tr>
            <w:tr w:rsidR="00142756" w:rsidRPr="00116CE6" w14:paraId="460831B6" w14:textId="77777777" w:rsidTr="0041468A">
              <w:tc>
                <w:tcPr>
                  <w:tcW w:w="6970" w:type="dxa"/>
                </w:tcPr>
                <w:p w14:paraId="3193B58D" w14:textId="77777777" w:rsidR="00142756" w:rsidRPr="00116CE6" w:rsidRDefault="00142756" w:rsidP="0041468A">
                  <w:pPr>
                    <w:rPr>
                      <w:rFonts w:ascii="Arial" w:hAnsi="Arial"/>
                      <w:sz w:val="20"/>
                      <w:szCs w:val="20"/>
                    </w:rPr>
                  </w:pPr>
                </w:p>
                <w:p w14:paraId="0AA8AB6E" w14:textId="77777777" w:rsidR="00142756" w:rsidRPr="00116CE6" w:rsidRDefault="00142756" w:rsidP="0041468A">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3C56033" w14:textId="77777777" w:rsidR="00142756" w:rsidRPr="00116CE6" w:rsidRDefault="00142756" w:rsidP="0041468A">
                  <w:pPr>
                    <w:rPr>
                      <w:rFonts w:ascii="Arial" w:hAnsi="Arial"/>
                      <w:sz w:val="20"/>
                      <w:szCs w:val="20"/>
                    </w:rPr>
                  </w:pPr>
                </w:p>
              </w:tc>
            </w:tr>
            <w:tr w:rsidR="00142756" w:rsidRPr="00116CE6" w14:paraId="076BC386" w14:textId="77777777" w:rsidTr="0041468A">
              <w:tc>
                <w:tcPr>
                  <w:tcW w:w="6970" w:type="dxa"/>
                </w:tcPr>
                <w:p w14:paraId="4367DAE6" w14:textId="77777777" w:rsidR="00142756" w:rsidRPr="00116CE6" w:rsidRDefault="00142756" w:rsidP="0041468A">
                  <w:pPr>
                    <w:rPr>
                      <w:rFonts w:ascii="Arial" w:hAnsi="Arial"/>
                      <w:sz w:val="20"/>
                      <w:szCs w:val="20"/>
                    </w:rPr>
                  </w:pPr>
                </w:p>
                <w:p w14:paraId="024583D9" w14:textId="77777777" w:rsidR="00142756" w:rsidRPr="00116CE6" w:rsidRDefault="00142756" w:rsidP="0041468A">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FDFCA96" w14:textId="77777777" w:rsidR="00142756" w:rsidRPr="00116CE6" w:rsidRDefault="00142756" w:rsidP="0041468A">
                  <w:pPr>
                    <w:rPr>
                      <w:rFonts w:ascii="Arial" w:hAnsi="Arial"/>
                      <w:sz w:val="20"/>
                      <w:szCs w:val="20"/>
                    </w:rPr>
                  </w:pPr>
                </w:p>
              </w:tc>
            </w:tr>
            <w:tr w:rsidR="00142756" w:rsidRPr="00116CE6" w14:paraId="11F07384" w14:textId="77777777" w:rsidTr="0041468A">
              <w:tc>
                <w:tcPr>
                  <w:tcW w:w="6970" w:type="dxa"/>
                </w:tcPr>
                <w:p w14:paraId="4C38ACCB" w14:textId="77777777" w:rsidR="00142756" w:rsidRDefault="00142756" w:rsidP="0041468A">
                  <w:pPr>
                    <w:rPr>
                      <w:rFonts w:ascii="Arial" w:hAnsi="Arial"/>
                      <w:sz w:val="20"/>
                      <w:szCs w:val="20"/>
                    </w:rPr>
                  </w:pPr>
                </w:p>
                <w:p w14:paraId="3549BBAB" w14:textId="77777777" w:rsidR="00142756" w:rsidRPr="00022345" w:rsidRDefault="00142756" w:rsidP="0041468A">
                  <w:pPr>
                    <w:rPr>
                      <w:rFonts w:ascii="Arial" w:hAnsi="Arial"/>
                      <w:b/>
                      <w:sz w:val="20"/>
                      <w:szCs w:val="20"/>
                    </w:rPr>
                  </w:pPr>
                  <w:r w:rsidRPr="00022345">
                    <w:rPr>
                      <w:rFonts w:ascii="Arial" w:hAnsi="Arial"/>
                      <w:b/>
                      <w:sz w:val="20"/>
                      <w:szCs w:val="20"/>
                    </w:rPr>
                    <w:t>Final Mark</w:t>
                  </w:r>
                </w:p>
                <w:p w14:paraId="68B15361" w14:textId="77777777" w:rsidR="00142756" w:rsidRPr="00116CE6" w:rsidRDefault="00142756" w:rsidP="0041468A">
                  <w:pPr>
                    <w:rPr>
                      <w:rFonts w:ascii="Arial" w:hAnsi="Arial"/>
                      <w:sz w:val="20"/>
                      <w:szCs w:val="20"/>
                    </w:rPr>
                  </w:pPr>
                </w:p>
              </w:tc>
              <w:tc>
                <w:tcPr>
                  <w:tcW w:w="1660" w:type="dxa"/>
                </w:tcPr>
                <w:p w14:paraId="75D89C48" w14:textId="77777777" w:rsidR="00142756" w:rsidRPr="00116CE6" w:rsidRDefault="00142756" w:rsidP="0041468A">
                  <w:pPr>
                    <w:rPr>
                      <w:rFonts w:ascii="Arial" w:hAnsi="Arial"/>
                      <w:sz w:val="20"/>
                      <w:szCs w:val="20"/>
                    </w:rPr>
                  </w:pPr>
                </w:p>
              </w:tc>
            </w:tr>
          </w:tbl>
          <w:p w14:paraId="508C3E15" w14:textId="77777777" w:rsidR="00142756" w:rsidRDefault="00142756" w:rsidP="0041468A">
            <w:pPr>
              <w:pStyle w:val="NormalWeb"/>
              <w:spacing w:before="0" w:beforeAutospacing="0" w:after="0" w:afterAutospacing="0"/>
              <w:ind w:left="142" w:right="34"/>
              <w:rPr>
                <w:rFonts w:ascii="Arial" w:hAnsi="Arial" w:cs="Arial"/>
                <w:b/>
                <w:sz w:val="22"/>
                <w:szCs w:val="22"/>
              </w:rPr>
            </w:pPr>
          </w:p>
          <w:p w14:paraId="2F368F23" w14:textId="77777777" w:rsidR="00142756" w:rsidRPr="00502993" w:rsidRDefault="00142756" w:rsidP="0041468A">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B1DED95" w14:textId="77777777" w:rsidR="00142756" w:rsidRDefault="00142756" w:rsidP="0041468A">
            <w:pPr>
              <w:pStyle w:val="NormalWeb"/>
              <w:spacing w:before="0" w:beforeAutospacing="0" w:after="0" w:afterAutospacing="0"/>
              <w:rPr>
                <w:rFonts w:ascii="Arial" w:hAnsi="Arial" w:cs="Arial"/>
                <w:b/>
                <w:sz w:val="22"/>
                <w:szCs w:val="22"/>
              </w:rPr>
            </w:pPr>
          </w:p>
          <w:p w14:paraId="26304BFD" w14:textId="77777777" w:rsidR="00142756" w:rsidRDefault="00142756" w:rsidP="0041468A">
            <w:pPr>
              <w:pStyle w:val="NormalWeb"/>
              <w:spacing w:before="0" w:beforeAutospacing="0" w:after="0" w:afterAutospacing="0"/>
              <w:rPr>
                <w:rFonts w:ascii="Arial" w:hAnsi="Arial" w:cs="Arial"/>
                <w:b/>
                <w:sz w:val="22"/>
                <w:szCs w:val="22"/>
              </w:rPr>
            </w:pPr>
          </w:p>
          <w:p w14:paraId="25E0011A" w14:textId="77777777" w:rsidR="00142756" w:rsidRDefault="00142756" w:rsidP="0041468A">
            <w:pPr>
              <w:pStyle w:val="NormalWeb"/>
              <w:spacing w:before="0" w:beforeAutospacing="0" w:after="0" w:afterAutospacing="0"/>
              <w:rPr>
                <w:rFonts w:ascii="Arial" w:hAnsi="Arial" w:cs="Arial"/>
                <w:b/>
                <w:sz w:val="22"/>
                <w:szCs w:val="22"/>
              </w:rPr>
            </w:pPr>
          </w:p>
          <w:p w14:paraId="1D971445" w14:textId="77777777" w:rsidR="00142756" w:rsidRPr="00230F35" w:rsidRDefault="00142756" w:rsidP="0041468A">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7F15C07" w14:textId="77777777" w:rsidR="00142756" w:rsidRDefault="00142756" w:rsidP="0041468A">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16464E4" w14:textId="77777777" w:rsidR="00142756" w:rsidRPr="00001C3B" w:rsidRDefault="00142756" w:rsidP="0041468A">
            <w:pPr>
              <w:pStyle w:val="NormalWeb"/>
              <w:rPr>
                <w:rFonts w:ascii="Arial" w:hAnsi="Arial" w:cs="Arial"/>
                <w:sz w:val="22"/>
                <w:szCs w:val="22"/>
              </w:rPr>
            </w:pPr>
          </w:p>
        </w:tc>
      </w:tr>
      <w:tr w:rsidR="00142756" w:rsidRPr="00230F35" w14:paraId="42D0CAD9" w14:textId="77777777" w:rsidTr="0041468A">
        <w:trPr>
          <w:trHeight w:val="492"/>
        </w:trPr>
        <w:tc>
          <w:tcPr>
            <w:tcW w:w="6768" w:type="dxa"/>
            <w:gridSpan w:val="3"/>
          </w:tcPr>
          <w:p w14:paraId="5579C0D0" w14:textId="77777777" w:rsidR="00142756" w:rsidRPr="00230F35" w:rsidRDefault="00142756" w:rsidP="0041468A">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AE6C999" w14:textId="77777777" w:rsidR="00142756" w:rsidRPr="00230F35" w:rsidRDefault="00142756" w:rsidP="0041468A">
            <w:pPr>
              <w:pStyle w:val="NormalWeb"/>
              <w:spacing w:after="0"/>
              <w:ind w:left="142" w:right="34"/>
              <w:rPr>
                <w:rFonts w:ascii="Arial" w:hAnsi="Arial" w:cs="Arial"/>
                <w:sz w:val="22"/>
                <w:szCs w:val="22"/>
              </w:rPr>
            </w:pPr>
            <w:r w:rsidRPr="00230F35">
              <w:rPr>
                <w:rFonts w:ascii="Arial" w:hAnsi="Arial" w:cs="Arial"/>
                <w:sz w:val="22"/>
                <w:szCs w:val="22"/>
              </w:rPr>
              <w:t>Date:</w:t>
            </w:r>
          </w:p>
        </w:tc>
      </w:tr>
      <w:tr w:rsidR="00142756" w:rsidRPr="002F467C" w14:paraId="4E28FC44" w14:textId="77777777" w:rsidTr="0041468A">
        <w:tc>
          <w:tcPr>
            <w:tcW w:w="8856" w:type="dxa"/>
            <w:gridSpan w:val="5"/>
          </w:tcPr>
          <w:p w14:paraId="5F02BF9F" w14:textId="77777777" w:rsidR="00142756" w:rsidRPr="00230F35" w:rsidRDefault="00142756" w:rsidP="0041468A">
            <w:pPr>
              <w:pStyle w:val="NormalWeb"/>
              <w:spacing w:before="0" w:beforeAutospacing="0" w:after="0" w:afterAutospacing="0"/>
              <w:ind w:right="-334"/>
              <w:rPr>
                <w:rFonts w:ascii="Arial" w:hAnsi="Arial" w:cs="Arial"/>
                <w:bCs/>
                <w:i/>
                <w:sz w:val="22"/>
                <w:szCs w:val="22"/>
              </w:rPr>
            </w:pPr>
          </w:p>
          <w:p w14:paraId="077E19F8" w14:textId="77777777" w:rsidR="00142756" w:rsidRPr="00230F35" w:rsidRDefault="00142756" w:rsidP="0041468A">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BB70574" w14:textId="77777777" w:rsidR="00142756" w:rsidRPr="00230F35" w:rsidRDefault="00142756" w:rsidP="0041468A">
            <w:pPr>
              <w:pStyle w:val="NormalWeb"/>
              <w:spacing w:before="0" w:beforeAutospacing="0" w:after="0" w:afterAutospacing="0"/>
              <w:ind w:right="-334"/>
              <w:rPr>
                <w:rFonts w:ascii="Arial" w:hAnsi="Arial" w:cs="Arial"/>
                <w:b/>
                <w:bCs/>
                <w:sz w:val="22"/>
                <w:szCs w:val="22"/>
              </w:rPr>
            </w:pPr>
          </w:p>
          <w:p w14:paraId="0758FC20" w14:textId="77777777" w:rsidR="00142756" w:rsidRPr="00230F35" w:rsidRDefault="00142756" w:rsidP="0041468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BCD07F3" w14:textId="77777777" w:rsidR="00142756" w:rsidRPr="00230F35" w:rsidRDefault="00142756" w:rsidP="0041468A">
            <w:pPr>
              <w:pStyle w:val="NormalWeb"/>
              <w:spacing w:before="0" w:beforeAutospacing="0" w:after="0" w:afterAutospacing="0"/>
              <w:ind w:right="-334"/>
              <w:rPr>
                <w:rFonts w:ascii="Arial" w:hAnsi="Arial" w:cs="Arial"/>
                <w:bCs/>
                <w:sz w:val="22"/>
                <w:szCs w:val="22"/>
              </w:rPr>
            </w:pPr>
          </w:p>
          <w:p w14:paraId="03B6FB8E" w14:textId="77777777" w:rsidR="00142756" w:rsidRPr="00230F35" w:rsidRDefault="00142756" w:rsidP="0041468A">
            <w:pPr>
              <w:pStyle w:val="NormalWeb"/>
              <w:spacing w:before="0" w:beforeAutospacing="0" w:after="0" w:afterAutospacing="0"/>
              <w:ind w:right="-334"/>
              <w:rPr>
                <w:rFonts w:ascii="Arial" w:hAnsi="Arial" w:cs="Arial"/>
                <w:bCs/>
                <w:sz w:val="22"/>
                <w:szCs w:val="22"/>
              </w:rPr>
            </w:pPr>
          </w:p>
          <w:p w14:paraId="1DDD16E2" w14:textId="77777777" w:rsidR="00142756" w:rsidRPr="00230F35" w:rsidRDefault="00142756" w:rsidP="0041468A">
            <w:pPr>
              <w:pStyle w:val="NormalWeb"/>
              <w:spacing w:before="0" w:beforeAutospacing="0" w:after="0" w:afterAutospacing="0"/>
              <w:ind w:right="-334"/>
              <w:rPr>
                <w:rFonts w:ascii="Arial" w:hAnsi="Arial" w:cs="Arial"/>
                <w:bCs/>
                <w:sz w:val="22"/>
                <w:szCs w:val="22"/>
              </w:rPr>
            </w:pPr>
          </w:p>
          <w:p w14:paraId="45C39A97" w14:textId="77777777" w:rsidR="00142756" w:rsidRPr="00230F35" w:rsidRDefault="00142756" w:rsidP="0041468A">
            <w:pPr>
              <w:pStyle w:val="NormalWeb"/>
              <w:spacing w:before="0" w:beforeAutospacing="0" w:after="0" w:afterAutospacing="0"/>
              <w:ind w:right="-334"/>
              <w:rPr>
                <w:rFonts w:ascii="Arial" w:hAnsi="Arial" w:cs="Arial"/>
                <w:bCs/>
                <w:sz w:val="22"/>
                <w:szCs w:val="22"/>
              </w:rPr>
            </w:pPr>
          </w:p>
          <w:p w14:paraId="7C0E7F6C" w14:textId="77777777" w:rsidR="00142756" w:rsidRDefault="00142756" w:rsidP="0041468A">
            <w:pPr>
              <w:pStyle w:val="NormalWeb"/>
              <w:spacing w:before="0" w:beforeAutospacing="0" w:after="0" w:afterAutospacing="0"/>
              <w:ind w:right="-334"/>
              <w:rPr>
                <w:rFonts w:ascii="Arial" w:hAnsi="Arial" w:cs="Arial"/>
                <w:bCs/>
                <w:sz w:val="22"/>
                <w:szCs w:val="22"/>
              </w:rPr>
            </w:pPr>
          </w:p>
          <w:p w14:paraId="533B5A01" w14:textId="77777777" w:rsidR="00142756" w:rsidRPr="00230F35" w:rsidRDefault="00142756" w:rsidP="0041468A">
            <w:pPr>
              <w:pStyle w:val="NormalWeb"/>
              <w:spacing w:before="0" w:beforeAutospacing="0" w:after="0" w:afterAutospacing="0"/>
              <w:ind w:right="-334"/>
              <w:rPr>
                <w:rFonts w:ascii="Arial" w:hAnsi="Arial" w:cs="Arial"/>
                <w:bCs/>
                <w:sz w:val="22"/>
                <w:szCs w:val="22"/>
              </w:rPr>
            </w:pPr>
          </w:p>
          <w:p w14:paraId="26F8B74D" w14:textId="77777777" w:rsidR="00142756" w:rsidRPr="00230F35" w:rsidRDefault="00142756" w:rsidP="0041468A">
            <w:pPr>
              <w:pStyle w:val="NormalWeb"/>
              <w:spacing w:before="0" w:beforeAutospacing="0" w:after="0" w:afterAutospacing="0"/>
              <w:ind w:right="-334"/>
              <w:rPr>
                <w:rFonts w:ascii="Arial" w:hAnsi="Arial" w:cs="Arial"/>
                <w:bCs/>
                <w:sz w:val="22"/>
                <w:szCs w:val="22"/>
              </w:rPr>
            </w:pPr>
          </w:p>
          <w:p w14:paraId="2E9CBDC5" w14:textId="77777777" w:rsidR="00142756" w:rsidRPr="00230F35" w:rsidRDefault="00142756" w:rsidP="0041468A">
            <w:pPr>
              <w:pStyle w:val="NormalWeb"/>
              <w:spacing w:before="0" w:beforeAutospacing="0" w:after="0" w:afterAutospacing="0"/>
              <w:ind w:right="-334"/>
              <w:rPr>
                <w:rFonts w:ascii="Arial" w:hAnsi="Arial" w:cs="Arial"/>
                <w:bCs/>
                <w:sz w:val="22"/>
                <w:szCs w:val="22"/>
              </w:rPr>
            </w:pPr>
          </w:p>
        </w:tc>
      </w:tr>
      <w:tr w:rsidR="00142756" w:rsidRPr="002F467C" w14:paraId="22F8E4C9" w14:textId="77777777" w:rsidTr="0041468A">
        <w:trPr>
          <w:trHeight w:val="720"/>
        </w:trPr>
        <w:tc>
          <w:tcPr>
            <w:tcW w:w="5211" w:type="dxa"/>
            <w:gridSpan w:val="2"/>
          </w:tcPr>
          <w:p w14:paraId="1562A468" w14:textId="77777777" w:rsidR="00142756" w:rsidRPr="00230F35" w:rsidRDefault="00142756" w:rsidP="0041468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449EC3F" w14:textId="77777777" w:rsidR="00142756" w:rsidRPr="00230F35" w:rsidRDefault="00142756" w:rsidP="0041468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42756" w:rsidRPr="002F467C" w14:paraId="7683E8DF" w14:textId="77777777" w:rsidTr="0041468A">
        <w:trPr>
          <w:trHeight w:val="720"/>
        </w:trPr>
        <w:tc>
          <w:tcPr>
            <w:tcW w:w="8856" w:type="dxa"/>
            <w:gridSpan w:val="5"/>
          </w:tcPr>
          <w:p w14:paraId="416DB9D4" w14:textId="77777777" w:rsidR="00142756" w:rsidRPr="00B34964" w:rsidRDefault="00142756" w:rsidP="0041468A">
            <w:pPr>
              <w:rPr>
                <w:rFonts w:ascii="Arial" w:hAnsi="Arial" w:cs="Arial"/>
                <w:b/>
                <w:sz w:val="22"/>
                <w:szCs w:val="22"/>
              </w:rPr>
            </w:pPr>
            <w:r w:rsidRPr="00B34964">
              <w:rPr>
                <w:rFonts w:ascii="Arial" w:hAnsi="Arial" w:cs="Arial"/>
                <w:b/>
                <w:sz w:val="22"/>
                <w:szCs w:val="22"/>
              </w:rPr>
              <w:t>External Examiner’s comments (if relevant)</w:t>
            </w:r>
          </w:p>
          <w:p w14:paraId="297EC672" w14:textId="77777777" w:rsidR="00142756" w:rsidRPr="00230F35" w:rsidRDefault="00142756" w:rsidP="0041468A">
            <w:pPr>
              <w:pStyle w:val="NormalWeb"/>
              <w:spacing w:before="0" w:beforeAutospacing="0" w:after="0" w:afterAutospacing="0"/>
              <w:ind w:right="-334"/>
              <w:rPr>
                <w:rFonts w:ascii="Arial" w:hAnsi="Arial" w:cs="Arial"/>
                <w:bCs/>
                <w:sz w:val="22"/>
                <w:szCs w:val="22"/>
              </w:rPr>
            </w:pPr>
          </w:p>
          <w:p w14:paraId="7F8FC160" w14:textId="77777777" w:rsidR="00142756" w:rsidRPr="00230F35" w:rsidRDefault="00142756" w:rsidP="0041468A">
            <w:pPr>
              <w:pStyle w:val="NormalWeb"/>
              <w:spacing w:before="0" w:beforeAutospacing="0" w:after="0" w:afterAutospacing="0"/>
              <w:ind w:right="-334"/>
              <w:rPr>
                <w:rFonts w:ascii="Arial" w:hAnsi="Arial" w:cs="Arial"/>
                <w:bCs/>
                <w:sz w:val="22"/>
                <w:szCs w:val="22"/>
              </w:rPr>
            </w:pPr>
          </w:p>
          <w:p w14:paraId="48FA8865" w14:textId="77777777" w:rsidR="00142756" w:rsidRPr="00230F35" w:rsidRDefault="00142756" w:rsidP="0041468A">
            <w:pPr>
              <w:pStyle w:val="NormalWeb"/>
              <w:spacing w:before="0" w:beforeAutospacing="0" w:after="0" w:afterAutospacing="0"/>
              <w:ind w:right="-334"/>
              <w:rPr>
                <w:rFonts w:ascii="Arial" w:hAnsi="Arial" w:cs="Arial"/>
                <w:bCs/>
                <w:sz w:val="22"/>
                <w:szCs w:val="22"/>
              </w:rPr>
            </w:pPr>
          </w:p>
          <w:p w14:paraId="4E4F62BB" w14:textId="77777777" w:rsidR="00142756" w:rsidRPr="00230F35" w:rsidRDefault="00142756" w:rsidP="0041468A">
            <w:pPr>
              <w:pStyle w:val="NormalWeb"/>
              <w:spacing w:before="0" w:beforeAutospacing="0" w:after="0" w:afterAutospacing="0"/>
              <w:ind w:right="-334"/>
              <w:rPr>
                <w:rFonts w:ascii="Arial" w:hAnsi="Arial" w:cs="Arial"/>
                <w:bCs/>
                <w:sz w:val="22"/>
                <w:szCs w:val="22"/>
              </w:rPr>
            </w:pPr>
          </w:p>
          <w:p w14:paraId="568B8A2E" w14:textId="77777777" w:rsidR="00142756" w:rsidRPr="00230F35" w:rsidRDefault="00142756" w:rsidP="0041468A">
            <w:pPr>
              <w:pStyle w:val="NormalWeb"/>
              <w:spacing w:before="0" w:beforeAutospacing="0" w:after="0" w:afterAutospacing="0"/>
              <w:ind w:right="-334"/>
              <w:rPr>
                <w:rFonts w:ascii="Arial" w:hAnsi="Arial" w:cs="Arial"/>
                <w:bCs/>
                <w:sz w:val="22"/>
                <w:szCs w:val="22"/>
              </w:rPr>
            </w:pPr>
          </w:p>
          <w:p w14:paraId="4240F648" w14:textId="77777777" w:rsidR="00142756" w:rsidRPr="00230F35" w:rsidRDefault="00142756" w:rsidP="0041468A">
            <w:pPr>
              <w:pStyle w:val="NormalWeb"/>
              <w:spacing w:before="0" w:beforeAutospacing="0" w:after="0" w:afterAutospacing="0"/>
              <w:ind w:right="-334"/>
              <w:rPr>
                <w:rFonts w:ascii="Arial" w:hAnsi="Arial" w:cs="Arial"/>
                <w:bCs/>
                <w:sz w:val="22"/>
                <w:szCs w:val="22"/>
              </w:rPr>
            </w:pPr>
          </w:p>
          <w:p w14:paraId="5134ED64" w14:textId="77777777" w:rsidR="00142756" w:rsidRPr="00230F35" w:rsidRDefault="00142756" w:rsidP="0041468A">
            <w:pPr>
              <w:pStyle w:val="NormalWeb"/>
              <w:spacing w:before="0" w:beforeAutospacing="0" w:after="0" w:afterAutospacing="0"/>
              <w:ind w:right="-334"/>
              <w:rPr>
                <w:rFonts w:ascii="Arial" w:hAnsi="Arial" w:cs="Arial"/>
                <w:bCs/>
                <w:sz w:val="22"/>
                <w:szCs w:val="22"/>
              </w:rPr>
            </w:pPr>
          </w:p>
        </w:tc>
      </w:tr>
      <w:tr w:rsidR="00142756" w:rsidRPr="002F467C" w14:paraId="4906EE26" w14:textId="77777777" w:rsidTr="0041468A">
        <w:trPr>
          <w:trHeight w:val="720"/>
        </w:trPr>
        <w:tc>
          <w:tcPr>
            <w:tcW w:w="5211" w:type="dxa"/>
            <w:gridSpan w:val="2"/>
          </w:tcPr>
          <w:p w14:paraId="3D89A128" w14:textId="77777777" w:rsidR="00142756" w:rsidRPr="00230F35" w:rsidRDefault="00142756" w:rsidP="0041468A">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63F855F8" w14:textId="77777777" w:rsidR="00142756" w:rsidRPr="00230F35" w:rsidRDefault="00142756" w:rsidP="0041468A">
            <w:pPr>
              <w:rPr>
                <w:rFonts w:ascii="Arial" w:hAnsi="Arial" w:cs="Arial"/>
                <w:sz w:val="22"/>
                <w:szCs w:val="22"/>
              </w:rPr>
            </w:pPr>
            <w:r w:rsidRPr="00230F35">
              <w:rPr>
                <w:rFonts w:ascii="Arial" w:hAnsi="Arial" w:cs="Arial"/>
                <w:sz w:val="22"/>
                <w:szCs w:val="22"/>
              </w:rPr>
              <w:t>Date:</w:t>
            </w:r>
          </w:p>
        </w:tc>
      </w:tr>
    </w:tbl>
    <w:p w14:paraId="1E9031C0" w14:textId="77777777" w:rsidR="006150E1" w:rsidRPr="005A70E7" w:rsidRDefault="006150E1" w:rsidP="005A70E7">
      <w:pPr>
        <w:pStyle w:val="Heading1"/>
      </w:pPr>
      <w:r w:rsidRPr="005A70E7">
        <w:lastRenderedPageBreak/>
        <w:t>Introduction</w:t>
      </w:r>
    </w:p>
    <w:p w14:paraId="122DE8CC" w14:textId="16DF6A1A" w:rsidR="00C55859" w:rsidRPr="005A70E7" w:rsidRDefault="009B14B9" w:rsidP="005A70E7">
      <w:r w:rsidRPr="005A70E7">
        <w:t xml:space="preserve">This is a fieldwork report </w:t>
      </w:r>
      <w:r w:rsidR="000B50B0" w:rsidRPr="005A70E7">
        <w:t>examining</w:t>
      </w:r>
      <w:r w:rsidRPr="005A70E7">
        <w:t xml:space="preserve"> the claim that </w:t>
      </w:r>
      <w:r w:rsidR="001F558E">
        <w:t>Midsummer Boulevard, in</w:t>
      </w:r>
      <w:r w:rsidRPr="005A70E7">
        <w:t xml:space="preserve"> Milton Keynes, in the United Kingdom, is aligned </w:t>
      </w:r>
      <w:r w:rsidR="00EB0276">
        <w:t>or oriented to</w:t>
      </w:r>
      <w:r w:rsidRPr="005A70E7">
        <w:t xml:space="preserve"> </w:t>
      </w:r>
      <w:r w:rsidR="006A53A9">
        <w:t>sun</w:t>
      </w:r>
      <w:r w:rsidRPr="005A70E7">
        <w:t xml:space="preserve">rise on the Summer solstice. This report will </w:t>
      </w:r>
      <w:r w:rsidR="004F006D">
        <w:t>first establish reports and folk-history that Mil</w:t>
      </w:r>
      <w:r w:rsidR="00C95DC8">
        <w:t>ton Keynes is aligned</w:t>
      </w:r>
      <w:r w:rsidR="000D7A5F">
        <w:t>,</w:t>
      </w:r>
      <w:r w:rsidR="002663D9">
        <w:t xml:space="preserve"> or oriented</w:t>
      </w:r>
      <w:r w:rsidR="000D7A5F">
        <w:t>,</w:t>
      </w:r>
      <w:r w:rsidR="00C95DC8">
        <w:t xml:space="preserve"> t</w:t>
      </w:r>
      <w:r w:rsidR="004F006D">
        <w:t xml:space="preserve">o </w:t>
      </w:r>
      <w:r w:rsidR="000D7A5F">
        <w:t>the Summer solstic</w:t>
      </w:r>
      <w:r w:rsidR="004F006D">
        <w:t>e</w:t>
      </w:r>
      <w:r w:rsidR="000D7A5F">
        <w:t xml:space="preserve"> sunrise, and </w:t>
      </w:r>
      <w:r w:rsidR="003E357E">
        <w:t xml:space="preserve">will </w:t>
      </w:r>
      <w:r w:rsidR="0052152B">
        <w:t>investigate</w:t>
      </w:r>
      <w:r w:rsidR="00552196">
        <w:t>, through fieldwork measurement,</w:t>
      </w:r>
      <w:r w:rsidR="004F006D">
        <w:t xml:space="preserve"> </w:t>
      </w:r>
      <w:r w:rsidR="0040153A">
        <w:t>to what extent this is true, particularly if Midsummer Boulevard is a straight road and oriented accordingly</w:t>
      </w:r>
      <w:r w:rsidR="0031484A">
        <w:t xml:space="preserve">. </w:t>
      </w:r>
      <w:r w:rsidR="0026591C">
        <w:t>It will consider t</w:t>
      </w:r>
      <w:r w:rsidR="008A6E52">
        <w:t xml:space="preserve">he architects’ and planners’ </w:t>
      </w:r>
      <w:r w:rsidR="008902FE">
        <w:t>cultural views of town planning and intent</w:t>
      </w:r>
      <w:r w:rsidR="008A6E52">
        <w:t xml:space="preserve"> to determine whether Milton Keynes</w:t>
      </w:r>
      <w:r w:rsidR="00E672C2">
        <w:t>, and Midsummer Boulevard in particular,</w:t>
      </w:r>
      <w:r w:rsidR="008A6E52">
        <w:t xml:space="preserve"> was </w:t>
      </w:r>
      <w:r w:rsidR="00FD216C">
        <w:t>designed</w:t>
      </w:r>
      <w:r w:rsidR="008A6E52">
        <w:t xml:space="preserve"> to align</w:t>
      </w:r>
      <w:r w:rsidR="008902FE">
        <w:t xml:space="preserve"> to Summer solstice sunrise</w:t>
      </w:r>
      <w:r w:rsidR="004625C5">
        <w:t xml:space="preserve">, and if so, </w:t>
      </w:r>
      <w:r w:rsidR="00880C05">
        <w:t>consider</w:t>
      </w:r>
      <w:r w:rsidR="004625C5">
        <w:t xml:space="preserve"> why</w:t>
      </w:r>
      <w:r w:rsidR="008A6E52">
        <w:t>.</w:t>
      </w:r>
      <w:r w:rsidR="00910B45">
        <w:t xml:space="preserve"> </w:t>
      </w:r>
      <w:r w:rsidR="00BD6C6A">
        <w:t xml:space="preserve">If alignment was planned, but no orientation exists, it will briefly consider why this may have occurred. </w:t>
      </w:r>
    </w:p>
    <w:p w14:paraId="282BBAF2" w14:textId="224F81B9" w:rsidR="006150E1" w:rsidRDefault="00820C31" w:rsidP="005A70E7">
      <w:pPr>
        <w:pStyle w:val="Heading1"/>
      </w:pPr>
      <w:r>
        <w:t xml:space="preserve">Site </w:t>
      </w:r>
      <w:r w:rsidR="00601218">
        <w:t>Overview</w:t>
      </w:r>
      <w:r>
        <w:t xml:space="preserve">: </w:t>
      </w:r>
      <w:r w:rsidR="006B3E39">
        <w:t>Milton Keynes</w:t>
      </w:r>
    </w:p>
    <w:p w14:paraId="7A0C1878" w14:textId="6582F46E" w:rsidR="00FB2A28" w:rsidRDefault="006146C1" w:rsidP="005A70E7">
      <w:r>
        <w:t>Milton Keynes</w:t>
      </w:r>
      <w:r w:rsidR="00AB5707">
        <w:t xml:space="preserve"> (52.</w:t>
      </w:r>
      <w:r w:rsidR="00994CEA">
        <w:t>04º latitude, -0.76º longitude) is a city, or ‘new town’,</w:t>
      </w:r>
      <w:r>
        <w:t xml:space="preserve"> founded</w:t>
      </w:r>
      <w:r w:rsidR="006B3E39">
        <w:t xml:space="preserve"> in </w:t>
      </w:r>
      <w:r>
        <w:t>1967 in England</w:t>
      </w:r>
      <w:r w:rsidR="00EE5145">
        <w:t xml:space="preserve">, </w:t>
      </w:r>
      <w:r w:rsidR="00DA1E46">
        <w:t xml:space="preserve">with development </w:t>
      </w:r>
      <w:r w:rsidR="00ED522C">
        <w:t>work carried out</w:t>
      </w:r>
      <w:r w:rsidR="00DA1E46">
        <w:t xml:space="preserve"> over twenty years after its founding, </w:t>
      </w:r>
      <w:r w:rsidR="00ED522C">
        <w:t>notably</w:t>
      </w:r>
      <w:r w:rsidR="00DA1E46">
        <w:t xml:space="preserve"> through the seventies</w:t>
      </w:r>
      <w:r w:rsidR="001517FC">
        <w:t>.</w:t>
      </w:r>
      <w:r w:rsidR="00AC25D5">
        <w:rPr>
          <w:rStyle w:val="FootnoteReference"/>
        </w:rPr>
        <w:footnoteReference w:id="1"/>
      </w:r>
      <w:r w:rsidR="001517FC">
        <w:t xml:space="preserve"> </w:t>
      </w:r>
      <w:r w:rsidR="00322F43">
        <w:t xml:space="preserve">Milton Keynes </w:t>
      </w:r>
      <w:r w:rsidR="00601218">
        <w:t>was</w:t>
      </w:r>
      <w:r w:rsidR="00322F43">
        <w:t xml:space="preserve"> built according to an orthogonal grid system</w:t>
      </w:r>
      <w:r w:rsidR="00C35AF0">
        <w:t xml:space="preserve">, </w:t>
      </w:r>
      <w:r w:rsidR="001A216E">
        <w:t xml:space="preserve">centred on Midsummer Boulevard, an almost </w:t>
      </w:r>
      <w:r w:rsidR="0014432B">
        <w:t>two-kilometre</w:t>
      </w:r>
      <w:r w:rsidR="001A216E">
        <w:t xml:space="preserve"> dual </w:t>
      </w:r>
      <w:r w:rsidR="00DE1422">
        <w:t>carriageway</w:t>
      </w:r>
      <w:r w:rsidR="00A0171F">
        <w:t xml:space="preserve"> which runs </w:t>
      </w:r>
      <w:r w:rsidR="001A216E">
        <w:t>from Milton Keynes train station,</w:t>
      </w:r>
      <w:r w:rsidR="00356A77">
        <w:t xml:space="preserve"> </w:t>
      </w:r>
      <w:r w:rsidR="006917BA">
        <w:t>with a</w:t>
      </w:r>
      <w:r w:rsidR="00356A77">
        <w:t xml:space="preserve"> reflective glass</w:t>
      </w:r>
      <w:r w:rsidR="006917BA">
        <w:t xml:space="preserve"> fa</w:t>
      </w:r>
      <w:r w:rsidR="00F80953">
        <w:t>ç</w:t>
      </w:r>
      <w:r w:rsidR="006917BA">
        <w:t>ade</w:t>
      </w:r>
      <w:r w:rsidR="0079250A">
        <w:t>,</w:t>
      </w:r>
      <w:r w:rsidR="001A216E">
        <w:t xml:space="preserve"> at the South-West of the boulevard, to Campbel</w:t>
      </w:r>
      <w:r w:rsidR="0018190E">
        <w:t>l Park, at the North-East</w:t>
      </w:r>
      <w:r w:rsidR="0078678C">
        <w:t>. A pathway</w:t>
      </w:r>
      <w:r w:rsidR="003B2111">
        <w:t xml:space="preserve"> (Fig. 1)</w:t>
      </w:r>
      <w:r w:rsidR="0078678C">
        <w:t xml:space="preserve"> extends Midsummer Boulevard, through Campbell Park, to meet ‘The Light Pyramid’</w:t>
      </w:r>
      <w:r w:rsidR="00D70088">
        <w:t xml:space="preserve"> </w:t>
      </w:r>
      <w:r w:rsidR="0078678C">
        <w:t>a</w:t>
      </w:r>
      <w:r w:rsidR="003A4FF6">
        <w:t>n almost</w:t>
      </w:r>
      <w:r w:rsidR="008E3DE3">
        <w:t xml:space="preserve"> twenty-</w:t>
      </w:r>
      <w:r w:rsidR="003A4FF6">
        <w:t>foot</w:t>
      </w:r>
      <w:r w:rsidR="0078678C">
        <w:t xml:space="preserve"> tall monument, positioned on ‘The Belvedere’</w:t>
      </w:r>
      <w:r w:rsidR="003B2111">
        <w:t xml:space="preserve"> (Fig. 2)</w:t>
      </w:r>
      <w:r w:rsidR="0078678C">
        <w:t xml:space="preserve">, </w:t>
      </w:r>
      <w:r w:rsidR="003B2111">
        <w:t>a man-</w:t>
      </w:r>
      <w:r w:rsidR="0078678C">
        <w:t>made sloping hill structure found within the park</w:t>
      </w:r>
      <w:r w:rsidR="003B2111">
        <w:t xml:space="preserve">. </w:t>
      </w:r>
      <w:r w:rsidR="003F01BE">
        <w:t>Subsequent to the</w:t>
      </w:r>
      <w:r w:rsidR="00905634">
        <w:t xml:space="preserve"> original view of the </w:t>
      </w:r>
      <w:r w:rsidR="006566AF">
        <w:t>town</w:t>
      </w:r>
      <w:r w:rsidR="00905634">
        <w:t xml:space="preserve"> planners, Midsummer Boulevard was </w:t>
      </w:r>
      <w:r w:rsidR="001A3E64">
        <w:t>bisected</w:t>
      </w:r>
      <w:r w:rsidR="00F80953">
        <w:t>, in 2000,</w:t>
      </w:r>
      <w:r w:rsidR="001A3E64">
        <w:t xml:space="preserve"> by Midsummer Place, a </w:t>
      </w:r>
      <w:r w:rsidR="00F80953">
        <w:t>shopping arcade</w:t>
      </w:r>
      <w:r w:rsidR="00662697">
        <w:t xml:space="preserve">, </w:t>
      </w:r>
      <w:r w:rsidR="00234F37">
        <w:t>with</w:t>
      </w:r>
      <w:r w:rsidR="004238E4">
        <w:t xml:space="preserve"> </w:t>
      </w:r>
      <w:r w:rsidR="00662697">
        <w:t xml:space="preserve">glass panelling </w:t>
      </w:r>
      <w:r w:rsidR="0097095E">
        <w:t>allowing</w:t>
      </w:r>
      <w:r w:rsidR="00662697">
        <w:t xml:space="preserve"> light to pass</w:t>
      </w:r>
      <w:r w:rsidR="0018190E">
        <w:t xml:space="preserve"> </w:t>
      </w:r>
      <w:r w:rsidR="00817D5D">
        <w:t xml:space="preserve">completely </w:t>
      </w:r>
      <w:r w:rsidR="0018190E">
        <w:t>through</w:t>
      </w:r>
      <w:r w:rsidR="00662697">
        <w:t>.</w:t>
      </w:r>
      <w:r w:rsidR="00CE1807">
        <w:t xml:space="preserve"> </w:t>
      </w:r>
      <w:r w:rsidR="00DC7925">
        <w:t>Silbury Boulevard and Avebury Boulevard flank Midsummer Boulevard on either side.</w:t>
      </w:r>
      <w:r w:rsidR="00DB3E41">
        <w:t xml:space="preserve"> The remaining roads were given coordinate-based nam</w:t>
      </w:r>
      <w:r w:rsidR="00E75B69">
        <w:t>es, with horizontal roads named H1 to H9, and vertical roads named V1 to V11, though many were later given new names.</w:t>
      </w:r>
    </w:p>
    <w:p w14:paraId="0900CA67" w14:textId="77777777" w:rsidR="00AB5707" w:rsidRDefault="00AB5707" w:rsidP="00AB5707">
      <w:pPr>
        <w:jc w:val="center"/>
      </w:pPr>
    </w:p>
    <w:p w14:paraId="1876CB3F" w14:textId="77777777" w:rsidR="003B2111" w:rsidRDefault="003B2111" w:rsidP="00AB5707">
      <w:pPr>
        <w:jc w:val="center"/>
      </w:pPr>
      <w:r>
        <w:rPr>
          <w:noProof/>
          <w:lang w:eastAsia="en-GB"/>
        </w:rPr>
        <w:lastRenderedPageBreak/>
        <w:drawing>
          <wp:inline distT="0" distB="0" distL="0" distR="0" wp14:anchorId="65718683" wp14:editId="1E130AFE">
            <wp:extent cx="2933067" cy="3962920"/>
            <wp:effectExtent l="0" t="6667" r="6667" b="6668"/>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801.jpg"/>
                    <pic:cNvPicPr/>
                  </pic:nvPicPr>
                  <pic:blipFill rotWithShape="1">
                    <a:blip r:embed="rId8" cstate="print">
                      <a:extLst>
                        <a:ext uri="{28A0092B-C50C-407E-A947-70E740481C1C}">
                          <a14:useLocalDpi xmlns:a14="http://schemas.microsoft.com/office/drawing/2010/main" val="0"/>
                        </a:ext>
                      </a:extLst>
                    </a:blip>
                    <a:srcRect l="37577" r="6913"/>
                    <a:stretch/>
                  </pic:blipFill>
                  <pic:spPr bwMode="auto">
                    <a:xfrm rot="5400000">
                      <a:off x="0" y="0"/>
                      <a:ext cx="3007851" cy="4063962"/>
                    </a:xfrm>
                    <a:prstGeom prst="rect">
                      <a:avLst/>
                    </a:prstGeom>
                    <a:ln>
                      <a:noFill/>
                    </a:ln>
                    <a:extLst>
                      <a:ext uri="{53640926-AAD7-44D8-BBD7-CCE9431645EC}">
                        <a14:shadowObscured xmlns:a14="http://schemas.microsoft.com/office/drawing/2010/main"/>
                      </a:ext>
                    </a:extLst>
                  </pic:spPr>
                </pic:pic>
              </a:graphicData>
            </a:graphic>
          </wp:inline>
        </w:drawing>
      </w:r>
    </w:p>
    <w:p w14:paraId="03A5D844" w14:textId="2BAC8B9B" w:rsidR="00D70088" w:rsidRDefault="003B2111" w:rsidP="00AB5707">
      <w:pPr>
        <w:pStyle w:val="Caption"/>
        <w:jc w:val="center"/>
      </w:pPr>
      <w:bookmarkStart w:id="1" w:name="_Toc13401131"/>
      <w:bookmarkStart w:id="2" w:name="_Toc13999376"/>
      <w:r>
        <w:t xml:space="preserve">Figure </w:t>
      </w:r>
      <w:r w:rsidR="003246AD">
        <w:fldChar w:fldCharType="begin"/>
      </w:r>
      <w:r w:rsidR="003246AD">
        <w:instrText xml:space="preserve"> SEQ Figure \* ARABIC </w:instrText>
      </w:r>
      <w:r w:rsidR="003246AD">
        <w:fldChar w:fldCharType="separate"/>
      </w:r>
      <w:r w:rsidR="001651B8">
        <w:rPr>
          <w:noProof/>
        </w:rPr>
        <w:t>1</w:t>
      </w:r>
      <w:r w:rsidR="003246AD">
        <w:rPr>
          <w:noProof/>
        </w:rPr>
        <w:fldChar w:fldCharType="end"/>
      </w:r>
      <w:r>
        <w:t xml:space="preserve">. </w:t>
      </w:r>
      <w:r w:rsidRPr="00FF19B3">
        <w:t>Pathway extending from Midsummer Boulevard through Campbell Park, ending at The Light Pyramid</w:t>
      </w:r>
      <w:r w:rsidR="005A70E7">
        <w:t xml:space="preserve"> in the distance</w:t>
      </w:r>
      <w:r w:rsidRPr="00FF19B3">
        <w:t>. Taken from the North-East end of Midsummer Boulevard.</w:t>
      </w:r>
      <w:bookmarkEnd w:id="1"/>
      <w:bookmarkEnd w:id="2"/>
    </w:p>
    <w:p w14:paraId="7E6176E1" w14:textId="77777777" w:rsidR="00AB5707" w:rsidRPr="00AB5707" w:rsidRDefault="00AB5707" w:rsidP="00AB5707"/>
    <w:p w14:paraId="0B6C78FC" w14:textId="77777777" w:rsidR="003B2111" w:rsidRDefault="003B2111" w:rsidP="00AB5707">
      <w:pPr>
        <w:jc w:val="center"/>
      </w:pPr>
      <w:r>
        <w:rPr>
          <w:noProof/>
          <w:lang w:eastAsia="en-GB"/>
        </w:rPr>
        <w:drawing>
          <wp:inline distT="0" distB="0" distL="0" distR="0" wp14:anchorId="7754568F" wp14:editId="579364E9">
            <wp:extent cx="4542236" cy="2645923"/>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0722.jpg"/>
                    <pic:cNvPicPr/>
                  </pic:nvPicPr>
                  <pic:blipFill rotWithShape="1">
                    <a:blip r:embed="rId9" cstate="print">
                      <a:extLst>
                        <a:ext uri="{28A0092B-C50C-407E-A947-70E740481C1C}">
                          <a14:useLocalDpi xmlns:a14="http://schemas.microsoft.com/office/drawing/2010/main" val="0"/>
                        </a:ext>
                      </a:extLst>
                    </a:blip>
                    <a:srcRect l="13589" t="24456" r="7085" b="13931"/>
                    <a:stretch/>
                  </pic:blipFill>
                  <pic:spPr bwMode="auto">
                    <a:xfrm>
                      <a:off x="0" y="0"/>
                      <a:ext cx="4543598" cy="2646717"/>
                    </a:xfrm>
                    <a:prstGeom prst="rect">
                      <a:avLst/>
                    </a:prstGeom>
                    <a:ln>
                      <a:noFill/>
                    </a:ln>
                    <a:extLst>
                      <a:ext uri="{53640926-AAD7-44D8-BBD7-CCE9431645EC}">
                        <a14:shadowObscured xmlns:a14="http://schemas.microsoft.com/office/drawing/2010/main"/>
                      </a:ext>
                    </a:extLst>
                  </pic:spPr>
                </pic:pic>
              </a:graphicData>
            </a:graphic>
          </wp:inline>
        </w:drawing>
      </w:r>
    </w:p>
    <w:p w14:paraId="5E1AA049" w14:textId="022E34B5" w:rsidR="003B2111" w:rsidRDefault="003B2111" w:rsidP="00AB5707">
      <w:pPr>
        <w:pStyle w:val="Caption"/>
        <w:jc w:val="center"/>
      </w:pPr>
      <w:bookmarkStart w:id="3" w:name="_Toc13401132"/>
      <w:bookmarkStart w:id="4" w:name="_Toc13999377"/>
      <w:r>
        <w:t xml:space="preserve">Figure </w:t>
      </w:r>
      <w:r w:rsidR="003246AD">
        <w:fldChar w:fldCharType="begin"/>
      </w:r>
      <w:r w:rsidR="003246AD">
        <w:instrText xml:space="preserve"> SEQ Figure \* ARABIC </w:instrText>
      </w:r>
      <w:r w:rsidR="003246AD">
        <w:fldChar w:fldCharType="separate"/>
      </w:r>
      <w:r w:rsidR="001651B8">
        <w:rPr>
          <w:noProof/>
        </w:rPr>
        <w:t>2</w:t>
      </w:r>
      <w:r w:rsidR="003246AD">
        <w:rPr>
          <w:noProof/>
        </w:rPr>
        <w:fldChar w:fldCharType="end"/>
      </w:r>
      <w:r>
        <w:t>. The Light Pyramid (600cm</w:t>
      </w:r>
      <w:r w:rsidR="00EC6498">
        <w:t xml:space="preserve"> high</w:t>
      </w:r>
      <w:r>
        <w:t xml:space="preserve"> x 300cm</w:t>
      </w:r>
      <w:r w:rsidR="00EC6498">
        <w:t xml:space="preserve"> diameter base, </w:t>
      </w:r>
      <w:r>
        <w:t xml:space="preserve">designed by </w:t>
      </w:r>
      <w:r w:rsidRPr="0092418E">
        <w:t>Liliane Lijn</w:t>
      </w:r>
      <w:r>
        <w:t>) seen positioned on the man-made 'Belvedere'</w:t>
      </w:r>
      <w:r w:rsidR="00771E34">
        <w:t xml:space="preserve"> hill</w:t>
      </w:r>
      <w:r>
        <w:t xml:space="preserve"> in Campbell Park</w:t>
      </w:r>
      <w:bookmarkEnd w:id="3"/>
      <w:r w:rsidR="002719E0">
        <w:t>.</w:t>
      </w:r>
      <w:bookmarkEnd w:id="4"/>
    </w:p>
    <w:p w14:paraId="2C5CE290" w14:textId="77777777" w:rsidR="00EC6498" w:rsidRDefault="00EC6498" w:rsidP="00AB5707">
      <w:pPr>
        <w:jc w:val="center"/>
      </w:pPr>
    </w:p>
    <w:p w14:paraId="28A84B00" w14:textId="77777777" w:rsidR="00CE7F65" w:rsidRDefault="00CE7F65" w:rsidP="00CE7F65">
      <w:pPr>
        <w:pStyle w:val="Heading1"/>
      </w:pPr>
      <w:r>
        <w:t>Stories of alignment</w:t>
      </w:r>
    </w:p>
    <w:p w14:paraId="6951DAE4" w14:textId="17EA31E0" w:rsidR="00DE1DAA" w:rsidRDefault="00CE7F65" w:rsidP="00CE7F65">
      <w:r>
        <w:t xml:space="preserve">Milton Keynes has been </w:t>
      </w:r>
      <w:r w:rsidR="00F74A94">
        <w:t xml:space="preserve">reported to align, </w:t>
      </w:r>
      <w:r>
        <w:t>or orient</w:t>
      </w:r>
      <w:r w:rsidR="00F74A94">
        <w:t>,</w:t>
      </w:r>
      <w:r w:rsidR="00F83F6A">
        <w:t xml:space="preserve"> to sunrise on the Summer s</w:t>
      </w:r>
      <w:r>
        <w:t xml:space="preserve">olstice, </w:t>
      </w:r>
      <w:r w:rsidR="005935F8">
        <w:t xml:space="preserve">particularly in </w:t>
      </w:r>
      <w:r>
        <w:t>popular media</w:t>
      </w:r>
      <w:r w:rsidR="003B196E">
        <w:t xml:space="preserve"> and news reports</w:t>
      </w:r>
      <w:r>
        <w:t xml:space="preserve">. Tom Holland, in his </w:t>
      </w:r>
      <w:r w:rsidR="00DD5A43">
        <w:t>‘</w:t>
      </w:r>
      <w:r>
        <w:t>Making History</w:t>
      </w:r>
      <w:r w:rsidR="00DD5A43">
        <w:t>’</w:t>
      </w:r>
      <w:r>
        <w:t xml:space="preserve"> podcast, describes Midsummer Boulevard as ‘perfectly aligned to the rising of the sun on the Summer solstice’, citing the author John Higgs as a source, which </w:t>
      </w:r>
      <w:r w:rsidR="00E51AE9">
        <w:t>suggests</w:t>
      </w:r>
      <w:r>
        <w:t xml:space="preserve"> that </w:t>
      </w:r>
      <w:r>
        <w:lastRenderedPageBreak/>
        <w:t xml:space="preserve">Midsummer Boulevard is </w:t>
      </w:r>
      <w:r w:rsidR="00B0369B">
        <w:t>aligned (</w:t>
      </w:r>
      <w:r w:rsidR="00195A88">
        <w:t xml:space="preserve">i.e. </w:t>
      </w:r>
      <w:r>
        <w:t>oriented</w:t>
      </w:r>
      <w:r w:rsidR="00B0369B">
        <w:t xml:space="preserve"> with deliberation)</w:t>
      </w:r>
      <w:r>
        <w:t xml:space="preserve"> toward Summer solstice sunrise within a tight degree of accuracy.</w:t>
      </w:r>
      <w:r>
        <w:rPr>
          <w:rStyle w:val="FootnoteReference"/>
        </w:rPr>
        <w:footnoteReference w:id="2"/>
      </w:r>
      <w:r>
        <w:t xml:space="preserve">  Higgs, in his book ‘Watling Street’, </w:t>
      </w:r>
      <w:r w:rsidR="003E55B0">
        <w:t xml:space="preserve">notes the alignment and </w:t>
      </w:r>
      <w:r w:rsidR="00F74A94">
        <w:t xml:space="preserve">describes </w:t>
      </w:r>
      <w:r>
        <w:t>Derek Walker, chief architect and planner of Milton Keynes,</w:t>
      </w:r>
      <w:r w:rsidR="00AB6E17">
        <w:t xml:space="preserve"> waiting</w:t>
      </w:r>
      <w:r w:rsidR="00DD5A43">
        <w:t xml:space="preserve"> in the field which would become Midsummer Boulevard,</w:t>
      </w:r>
      <w:r>
        <w:t xml:space="preserve"> ‘</w:t>
      </w:r>
      <w:r w:rsidRPr="006A53A9">
        <w:t xml:space="preserve">to check the position of the midsummer </w:t>
      </w:r>
      <w:r>
        <w:t>sun</w:t>
      </w:r>
      <w:r w:rsidRPr="006A53A9">
        <w:t>rise</w:t>
      </w:r>
      <w:r>
        <w:t>’, sugg</w:t>
      </w:r>
      <w:r w:rsidR="003E55B0">
        <w:t>esting that the orientation</w:t>
      </w:r>
      <w:r w:rsidR="00403821">
        <w:t xml:space="preserve"> </w:t>
      </w:r>
      <w:r w:rsidR="003E55B0">
        <w:t>was measured by eye</w:t>
      </w:r>
      <w:r>
        <w:t xml:space="preserve"> </w:t>
      </w:r>
      <w:r w:rsidR="00C50050">
        <w:t>experientially,</w:t>
      </w:r>
      <w:r>
        <w:t xml:space="preserve"> rather than measured purely mathematically.</w:t>
      </w:r>
      <w:r>
        <w:rPr>
          <w:rStyle w:val="FootnoteReference"/>
        </w:rPr>
        <w:footnoteReference w:id="3"/>
      </w:r>
      <w:r>
        <w:t xml:space="preserve"> Patrick Barkham</w:t>
      </w:r>
      <w:r w:rsidR="002D397B">
        <w:t>, however,</w:t>
      </w:r>
      <w:r>
        <w:t xml:space="preserve"> </w:t>
      </w:r>
      <w:r w:rsidR="00D17D21">
        <w:t>reports</w:t>
      </w:r>
      <w:r>
        <w:t xml:space="preserve"> how the architects and planners of Milton Keynes, ‘</w:t>
      </w:r>
      <w:r w:rsidRPr="006A53A9">
        <w:t>consulted Greenwich Observatory to obtain the exact angle required at their</w:t>
      </w:r>
      <w:r>
        <w:t xml:space="preserve"> latitude’ to align Midsummer Boulevard with the rising sun on </w:t>
      </w:r>
      <w:r w:rsidR="00AB6E17">
        <w:t>the Summer solstice</w:t>
      </w:r>
      <w:r>
        <w:t xml:space="preserve">, </w:t>
      </w:r>
      <w:r w:rsidR="000F20CA">
        <w:t>suggesting</w:t>
      </w:r>
      <w:r>
        <w:t xml:space="preserve"> the alignment was based on mathematical data rather than observation – though it’s possible </w:t>
      </w:r>
      <w:r w:rsidR="00AC336E">
        <w:t>they did both</w:t>
      </w:r>
      <w:r>
        <w:t>.</w:t>
      </w:r>
      <w:r>
        <w:rPr>
          <w:rStyle w:val="FootnoteReference"/>
        </w:rPr>
        <w:footnoteReference w:id="4"/>
      </w:r>
      <w:r>
        <w:t xml:space="preserve"> Stuart Mosscrop, one of the main architects working at Milton Keynes, recounted how he </w:t>
      </w:r>
      <w:r w:rsidR="00280C51">
        <w:t>pushed to realign</w:t>
      </w:r>
      <w:r w:rsidR="00CC715E">
        <w:t xml:space="preserve"> the grid from the original plans</w:t>
      </w:r>
      <w:r>
        <w:t xml:space="preserve">, </w:t>
      </w:r>
      <w:r w:rsidR="003F2C9C">
        <w:t>admitting</w:t>
      </w:r>
      <w:r w:rsidR="004874FA">
        <w:t xml:space="preserve"> in an interview with Edwin Heathcote</w:t>
      </w:r>
      <w:r w:rsidR="003F2C9C">
        <w:t>,</w:t>
      </w:r>
      <w:r w:rsidR="004874FA">
        <w:t xml:space="preserve"> that</w:t>
      </w:r>
      <w:r>
        <w:t xml:space="preserve"> ‘t</w:t>
      </w:r>
      <w:r w:rsidRPr="00A23D64">
        <w:t>he initial alignment with the solstice was a coincidence</w:t>
      </w:r>
      <w:r>
        <w:t>…b</w:t>
      </w:r>
      <w:r w:rsidRPr="00A23D64">
        <w:t>ut when we found it, we rearranged the grid slightly to line up</w:t>
      </w:r>
      <w:r>
        <w:t xml:space="preserve">’, </w:t>
      </w:r>
      <w:r w:rsidR="00961D58">
        <w:t>demonstrating</w:t>
      </w:r>
      <w:r>
        <w:t xml:space="preserve"> that Midsummer Boulevard’s orientation was a deliberate alignment</w:t>
      </w:r>
      <w:r w:rsidR="002C6726">
        <w:t xml:space="preserve"> to the Summer solstice sunrise</w:t>
      </w:r>
      <w:r w:rsidR="009C7C2C">
        <w:t xml:space="preserve"> by its planners</w:t>
      </w:r>
      <w:r>
        <w:t>.</w:t>
      </w:r>
      <w:r>
        <w:rPr>
          <w:rStyle w:val="FootnoteReference"/>
        </w:rPr>
        <w:footnoteReference w:id="5"/>
      </w:r>
      <w:r>
        <w:t xml:space="preserve"> </w:t>
      </w:r>
      <w:r w:rsidR="00665E60">
        <w:t>Mosscrop also noted that, at the initial stages of development, they were ‘designing roads…not a building, not a thought of a building at this point’ suggesting that the</w:t>
      </w:r>
      <w:r w:rsidR="000B36E3">
        <w:t xml:space="preserve"> alignment of the grid to Summer solstice sunrise preceded the planning of the rest of the city</w:t>
      </w:r>
      <w:r w:rsidR="009746AE">
        <w:t>, which then was designed around it</w:t>
      </w:r>
      <w:r w:rsidR="00CB0866">
        <w:t>, allowing for the argument that Milton Keynes itself was aligned to the solstice sunrise</w:t>
      </w:r>
      <w:r w:rsidR="00665E60">
        <w:t>.</w:t>
      </w:r>
      <w:r w:rsidR="00665E60">
        <w:rPr>
          <w:rStyle w:val="FootnoteReference"/>
        </w:rPr>
        <w:footnoteReference w:id="6"/>
      </w:r>
      <w:r w:rsidR="00DE1DAA">
        <w:t xml:space="preserve"> However, </w:t>
      </w:r>
      <w:r>
        <w:t>David Lock, another architect, who came onto the Milton Keynes project nearly a decade after Mosscrop joined</w:t>
      </w:r>
      <w:r w:rsidR="00654502">
        <w:t>,</w:t>
      </w:r>
      <w:r>
        <w:t xml:space="preserve"> notes that ‘Midsummer sunrise is…not actually on the alignment of Midsummer Boulevard…But it was a good urban myth…you can tell people that on Midsummer’s Day, the sun rises at the end of it, </w:t>
      </w:r>
      <w:r>
        <w:lastRenderedPageBreak/>
        <w:t xml:space="preserve">which it nearly does’, suggesting, contrary to </w:t>
      </w:r>
      <w:r w:rsidR="00DE1DAA">
        <w:t>Mosscrop and the other architects</w:t>
      </w:r>
      <w:r>
        <w:t>, that actually Midsummer Boulevard does not align to sunrise on the Summer solstice and that claims tha</w:t>
      </w:r>
      <w:r w:rsidR="00397D24">
        <w:t xml:space="preserve">t it does are, as a result </w:t>
      </w:r>
      <w:r>
        <w:t>deceit.</w:t>
      </w:r>
      <w:r>
        <w:rPr>
          <w:rStyle w:val="FootnoteReference"/>
        </w:rPr>
        <w:footnoteReference w:id="7"/>
      </w:r>
      <w:r>
        <w:t xml:space="preserve"> </w:t>
      </w:r>
    </w:p>
    <w:p w14:paraId="768FED49" w14:textId="4D52068C" w:rsidR="00CE7F65" w:rsidRPr="00AE2B53" w:rsidRDefault="00CE7F65" w:rsidP="00CE7F65">
      <w:r>
        <w:t xml:space="preserve">Milton Keynes, therefore, and Midsummer Boulevard in particular, is commonly and regularly described as oriented to sunrise on the Summer solstice, though was not originally part of Milton Keynes’s plan. The orientation is </w:t>
      </w:r>
      <w:r w:rsidR="00C3431F">
        <w:t xml:space="preserve">a </w:t>
      </w:r>
      <w:r>
        <w:t>deliberate</w:t>
      </w:r>
      <w:r w:rsidR="00C3431F">
        <w:t xml:space="preserve"> alignment,</w:t>
      </w:r>
      <w:r>
        <w:t xml:space="preserve"> as demonstrated from the interviews with architects involved with the alignment at the time, and the original plans were amended to accommodate this alignment. One of the architects, who joined nearly a decade after the others, </w:t>
      </w:r>
      <w:r w:rsidR="00654502">
        <w:t xml:space="preserve">however, </w:t>
      </w:r>
      <w:r>
        <w:t>suggests that this alignment is an urban myth</w:t>
      </w:r>
      <w:r w:rsidR="00B01DE8">
        <w:t xml:space="preserve">, that it does not align with </w:t>
      </w:r>
      <w:r w:rsidR="009325A8">
        <w:t>the solstice</w:t>
      </w:r>
      <w:r w:rsidR="00654502">
        <w:t xml:space="preserve">, </w:t>
      </w:r>
      <w:r w:rsidR="00756F76">
        <w:t>though</w:t>
      </w:r>
      <w:r w:rsidR="00654502">
        <w:t xml:space="preserve"> </w:t>
      </w:r>
      <w:r w:rsidR="00756F76">
        <w:t xml:space="preserve">the architect </w:t>
      </w:r>
      <w:r w:rsidR="00654502">
        <w:t>was not on the project during the development phase of Midsummer Boulevard or its grids</w:t>
      </w:r>
      <w:r w:rsidR="00425C87">
        <w:t>.</w:t>
      </w:r>
    </w:p>
    <w:p w14:paraId="0D743DA3" w14:textId="23780EC5" w:rsidR="0092512A" w:rsidRDefault="0092512A" w:rsidP="0092512A">
      <w:pPr>
        <w:pStyle w:val="Heading1"/>
      </w:pPr>
      <w:r>
        <w:t>Cultural Connections</w:t>
      </w:r>
    </w:p>
    <w:p w14:paraId="7A46DA25" w14:textId="1988F324" w:rsidR="00D07F86" w:rsidRDefault="00524382" w:rsidP="00AA574B">
      <w:r>
        <w:t>Milton Keynes was originally built on a green-field site, allowing for a great deal of flexibility in the planning and development of the town.</w:t>
      </w:r>
      <w:r>
        <w:rPr>
          <w:rStyle w:val="FootnoteReference"/>
        </w:rPr>
        <w:footnoteReference w:id="8"/>
      </w:r>
      <w:r>
        <w:t xml:space="preserve"> </w:t>
      </w:r>
      <w:r w:rsidR="003E667E">
        <w:t xml:space="preserve">The architects and planners identified </w:t>
      </w:r>
      <w:r w:rsidR="002C2FD7">
        <w:t xml:space="preserve">cost as the reason behind the grid system, but </w:t>
      </w:r>
      <w:r w:rsidR="003E667E">
        <w:t xml:space="preserve">cultural significance behind the reason for alignment of Milton Keynes toward </w:t>
      </w:r>
      <w:r>
        <w:t xml:space="preserve">Summer </w:t>
      </w:r>
      <w:r w:rsidR="00D22256">
        <w:t>solstice</w:t>
      </w:r>
      <w:r>
        <w:t xml:space="preserve"> sunrise</w:t>
      </w:r>
      <w:r w:rsidR="00D22256">
        <w:t xml:space="preserve">, as well as the naming of the three major boulevards. </w:t>
      </w:r>
    </w:p>
    <w:p w14:paraId="1CBD8A5E" w14:textId="0251243B" w:rsidR="00AA574B" w:rsidRDefault="00C97801" w:rsidP="00AA574B">
      <w:r>
        <w:t>A grid system was used to provid</w:t>
      </w:r>
      <w:r w:rsidR="00D86B82">
        <w:t xml:space="preserve">e greater economic utility, as </w:t>
      </w:r>
      <w:r w:rsidR="00CA0318">
        <w:t>the D</w:t>
      </w:r>
      <w:r w:rsidR="00B45626">
        <w:t xml:space="preserve">utch architect </w:t>
      </w:r>
      <w:r w:rsidR="00D86B82">
        <w:t xml:space="preserve">Steen Eiler Rasmussen </w:t>
      </w:r>
      <w:r w:rsidR="00B45626">
        <w:t>noted</w:t>
      </w:r>
      <w:r w:rsidR="00CC2880">
        <w:t>, to do otherwise ‘</w:t>
      </w:r>
      <w:r w:rsidR="00540BB2">
        <w:t xml:space="preserve">would have meant a great </w:t>
      </w:r>
      <w:r w:rsidR="00CC2880">
        <w:t>waste of the most valuable land’</w:t>
      </w:r>
      <w:r w:rsidR="00540BB2">
        <w:t xml:space="preserve">, </w:t>
      </w:r>
      <w:r w:rsidR="00C57BAC">
        <w:t>indicating his belief</w:t>
      </w:r>
      <w:r w:rsidR="00540BB2">
        <w:t xml:space="preserve"> that the grid system catered for a functional</w:t>
      </w:r>
      <w:r w:rsidR="00C57BAC">
        <w:t xml:space="preserve"> and economic needs</w:t>
      </w:r>
      <w:r w:rsidR="00540BB2">
        <w:t xml:space="preserve"> rather than a cultural one.</w:t>
      </w:r>
      <w:r w:rsidR="00540BB2">
        <w:rPr>
          <w:rStyle w:val="FootnoteReference"/>
        </w:rPr>
        <w:footnoteReference w:id="9"/>
      </w:r>
      <w:r w:rsidR="00540BB2">
        <w:t xml:space="preserve"> </w:t>
      </w:r>
      <w:r w:rsidR="004A59F5">
        <w:t>Derek Walker, chief architect of Milton Keyne</w:t>
      </w:r>
      <w:r w:rsidR="008F003C">
        <w:t xml:space="preserve">s </w:t>
      </w:r>
      <w:r w:rsidR="004A59F5">
        <w:t>agreed</w:t>
      </w:r>
      <w:r w:rsidR="008F003C">
        <w:t>, referring to the grid system as ‘a good buy’ and that they ‘had the advantage, firstly, of cost’, suggesting that the green-field space of Milton Keynes was seen as an open space for cost-saving development.</w:t>
      </w:r>
      <w:r w:rsidR="008F003C">
        <w:rPr>
          <w:rStyle w:val="FootnoteReference"/>
        </w:rPr>
        <w:footnoteReference w:id="10"/>
      </w:r>
      <w:r w:rsidR="008F003C">
        <w:t xml:space="preserve"> </w:t>
      </w:r>
      <w:r w:rsidR="000C7CE6">
        <w:t xml:space="preserve">Christopher Tilley, when </w:t>
      </w:r>
      <w:r w:rsidR="00C06D0F">
        <w:t>contrasting</w:t>
      </w:r>
      <w:r w:rsidR="000C7CE6">
        <w:t xml:space="preserve"> abstract space with human place, </w:t>
      </w:r>
      <w:r w:rsidR="00C06D0F">
        <w:t>notes that</w:t>
      </w:r>
      <w:r w:rsidR="0071037F">
        <w:t xml:space="preserve"> </w:t>
      </w:r>
      <w:r w:rsidR="0034770C">
        <w:t xml:space="preserve">the </w:t>
      </w:r>
      <w:r w:rsidR="003C2460">
        <w:t>‘new geography’</w:t>
      </w:r>
      <w:r w:rsidR="0034770C">
        <w:t xml:space="preserve"> paradigm</w:t>
      </w:r>
      <w:r w:rsidR="003C2460">
        <w:t xml:space="preserve">, still prevalent at the time of Milton Keynes’s development, considers space </w:t>
      </w:r>
      <w:r w:rsidR="003C2460">
        <w:lastRenderedPageBreak/>
        <w:t>‘as an abstract dimension or container in which human activities took place’, and that space, in this model, was ‘universal, ever</w:t>
      </w:r>
      <w:r w:rsidR="00D82F57">
        <w:t>ywhere and anywhere the same’</w:t>
      </w:r>
      <w:r w:rsidR="003C2460">
        <w:t>, suggesting that, in this worldview</w:t>
      </w:r>
      <w:r w:rsidR="001538A1">
        <w:t>,</w:t>
      </w:r>
      <w:r w:rsidR="003C2460">
        <w:t xml:space="preserve"> space is homogenous with no essential quality driven by human agency</w:t>
      </w:r>
      <w:r w:rsidR="00D04799">
        <w:t xml:space="preserve"> or outlook</w:t>
      </w:r>
      <w:r w:rsidR="003C2460">
        <w:t>.</w:t>
      </w:r>
      <w:r w:rsidR="003C2460">
        <w:rPr>
          <w:rStyle w:val="FootnoteReference"/>
        </w:rPr>
        <w:footnoteReference w:id="11"/>
      </w:r>
      <w:r w:rsidR="001538A1">
        <w:t xml:space="preserve"> </w:t>
      </w:r>
      <w:r w:rsidR="000B6EAC">
        <w:t xml:space="preserve">David Lock </w:t>
      </w:r>
      <w:r w:rsidR="00B63BA6">
        <w:t>who, referencing the grid,</w:t>
      </w:r>
      <w:r w:rsidR="009C0F4C">
        <w:t xml:space="preserve"> with its V and H roads,</w:t>
      </w:r>
      <w:r w:rsidR="00B63BA6">
        <w:t xml:space="preserve"> noted</w:t>
      </w:r>
      <w:r w:rsidR="003331D0">
        <w:t xml:space="preserve"> that</w:t>
      </w:r>
      <w:r w:rsidR="009D7A34">
        <w:t xml:space="preserve"> this ‘</w:t>
      </w:r>
      <w:r w:rsidR="000B6EAC">
        <w:t>sub-division into equal allotments is a ver</w:t>
      </w:r>
      <w:r w:rsidR="009D7A34">
        <w:t>y important democratic principle’</w:t>
      </w:r>
      <w:r w:rsidR="000B6EAC">
        <w:t xml:space="preserve">, suggesting that </w:t>
      </w:r>
      <w:r w:rsidR="0077183D">
        <w:t>the space of each</w:t>
      </w:r>
      <w:r w:rsidR="000B6EAC">
        <w:t xml:space="preserve"> allotment</w:t>
      </w:r>
      <w:r w:rsidR="0077183D">
        <w:t xml:space="preserve"> is the homogenous, one and the same</w:t>
      </w:r>
      <w:r w:rsidR="003331D0">
        <w:t xml:space="preserve">, </w:t>
      </w:r>
      <w:r w:rsidR="00782DF2">
        <w:t>suggesting a</w:t>
      </w:r>
      <w:r w:rsidR="003331D0">
        <w:t xml:space="preserve"> ‘new geography’ approach to Milton Keynes’s space</w:t>
      </w:r>
      <w:r w:rsidR="00782DF2">
        <w:t>, as per Tilley</w:t>
      </w:r>
      <w:r w:rsidR="000B6EAC">
        <w:t>.</w:t>
      </w:r>
      <w:r w:rsidR="000B6EAC">
        <w:rPr>
          <w:rStyle w:val="FootnoteReference"/>
        </w:rPr>
        <w:footnoteReference w:id="12"/>
      </w:r>
      <w:r w:rsidR="000B6EAC">
        <w:t xml:space="preserve"> </w:t>
      </w:r>
      <w:r w:rsidR="00E3259D">
        <w:t>However, Tilley argued</w:t>
      </w:r>
      <w:r w:rsidR="00371B05">
        <w:t xml:space="preserve"> </w:t>
      </w:r>
      <w:r w:rsidR="00B63BA6">
        <w:t>that</w:t>
      </w:r>
      <w:r w:rsidR="00371B05">
        <w:t xml:space="preserve"> ‘such a view of space decentred it from agency and meaning’, </w:t>
      </w:r>
      <w:r w:rsidR="00070598">
        <w:t>and</w:t>
      </w:r>
      <w:r w:rsidR="00556C4A">
        <w:t>, instead, space</w:t>
      </w:r>
      <w:r w:rsidR="00070598">
        <w:t xml:space="preserve"> can be seen as a ‘medium, rather than a container, for action’, and ‘depends on who is experiencing it and how’, suggesting that neutral views of space remove the humanity from those spaces, as well as the context which gives shape to the experiencing of those spaces.</w:t>
      </w:r>
      <w:r w:rsidR="00070598">
        <w:rPr>
          <w:rStyle w:val="FootnoteReference"/>
        </w:rPr>
        <w:footnoteReference w:id="13"/>
      </w:r>
      <w:r w:rsidR="00B63BA6">
        <w:t xml:space="preserve"> Higgs commented</w:t>
      </w:r>
      <w:r w:rsidR="007241AA">
        <w:t xml:space="preserve"> that Milton Keynes is ‘a little disconcerting’ and ‘feels more concerned with the needs of cars than of people’, which may indicate that </w:t>
      </w:r>
      <w:r w:rsidR="004076CB">
        <w:t>a</w:t>
      </w:r>
      <w:r w:rsidR="007241AA">
        <w:t xml:space="preserve"> dehumanising of Milton Keynes</w:t>
      </w:r>
      <w:r w:rsidR="00E3259D">
        <w:t>, designed around roads</w:t>
      </w:r>
      <w:r w:rsidR="007241AA">
        <w:t xml:space="preserve">, </w:t>
      </w:r>
      <w:r w:rsidR="004076CB">
        <w:t>having</w:t>
      </w:r>
      <w:r w:rsidR="007241AA">
        <w:t xml:space="preserve"> the exact effect that Tilley </w:t>
      </w:r>
      <w:r w:rsidR="007C4427">
        <w:t>warned</w:t>
      </w:r>
      <w:r w:rsidR="007241AA">
        <w:t>, namely a sense of dehumanisation.</w:t>
      </w:r>
      <w:r w:rsidR="007241AA">
        <w:rPr>
          <w:rStyle w:val="FootnoteReference"/>
        </w:rPr>
        <w:footnoteReference w:id="14"/>
      </w:r>
      <w:r w:rsidR="007C4427">
        <w:t xml:space="preserve"> As Tilley noted</w:t>
      </w:r>
      <w:r w:rsidR="007241AA">
        <w:t xml:space="preserve"> ‘places </w:t>
      </w:r>
      <w:r w:rsidR="007241AA" w:rsidRPr="007241AA">
        <w:rPr>
          <w:i/>
        </w:rPr>
        <w:t>constitute</w:t>
      </w:r>
      <w:r w:rsidR="007241AA">
        <w:t xml:space="preserve"> spaces as centres of human meaning’, </w:t>
      </w:r>
      <w:r w:rsidR="00B80027">
        <w:t>in other words it is human meaning which makes an abstract space become a place.</w:t>
      </w:r>
      <w:r w:rsidR="00B80027">
        <w:rPr>
          <w:rStyle w:val="FootnoteReference"/>
        </w:rPr>
        <w:footnoteReference w:id="15"/>
      </w:r>
      <w:r w:rsidR="00B80027">
        <w:t xml:space="preserve"> On</w:t>
      </w:r>
      <w:r w:rsidR="00364847">
        <w:t>e way in which Tilley identified</w:t>
      </w:r>
      <w:r w:rsidR="00B80027">
        <w:t xml:space="preserve"> this is through </w:t>
      </w:r>
      <w:r w:rsidR="00A155B7">
        <w:t>naming places</w:t>
      </w:r>
      <w:r w:rsidR="00B80027">
        <w:t>, which he argues ‘act so as to transform the sheerly physical and geographical into something that is historically and socially experienced’ and ‘creates shared existential space out of a blank environment’, which is to say that naming a space is a medium through which to transform it into a place, and provide context for that place which can be experienced or understood meaningfully.</w:t>
      </w:r>
      <w:r w:rsidR="00B80027">
        <w:rPr>
          <w:rStyle w:val="FootnoteReference"/>
        </w:rPr>
        <w:footnoteReference w:id="16"/>
      </w:r>
      <w:r w:rsidR="00B80027">
        <w:t xml:space="preserve"> </w:t>
      </w:r>
      <w:r w:rsidR="00DB3E41">
        <w:t>With Mosscrop’s comment on first designing roads in mind, and Lock’s view of neutral space, it can be argued</w:t>
      </w:r>
      <w:r w:rsidR="00E81309">
        <w:t>,</w:t>
      </w:r>
      <w:r w:rsidR="00DB3E41">
        <w:t xml:space="preserve"> </w:t>
      </w:r>
      <w:r w:rsidR="00B80027">
        <w:t xml:space="preserve">with Higg’s phenomenological experience in mind, to have had the effect of dehumanising the experience of Milton Keynes. </w:t>
      </w:r>
      <w:r w:rsidR="00520717">
        <w:t>The naming and alignment of Midsummer Boulevard, and renaming of the V and H roads,</w:t>
      </w:r>
      <w:r w:rsidR="00B80027">
        <w:t xml:space="preserve"> </w:t>
      </w:r>
      <w:r w:rsidR="00B80027">
        <w:lastRenderedPageBreak/>
        <w:t xml:space="preserve">can be seen as an attempt, </w:t>
      </w:r>
      <w:r w:rsidR="00BB68BB" w:rsidRPr="00BB68BB">
        <w:rPr>
          <w:i/>
        </w:rPr>
        <w:t>posteriori</w:t>
      </w:r>
      <w:r w:rsidR="00520717">
        <w:t xml:space="preserve">, </w:t>
      </w:r>
      <w:r w:rsidR="00B80027">
        <w:t>to bestow a sense of meaning and significance through naming and through alignment – as Tilley argued ‘in a fundamental way names create landscapes’, and the town planners appear to be trying to subsequently create such a landscape after the neutral spaces were established.</w:t>
      </w:r>
      <w:r w:rsidR="00B80027">
        <w:rPr>
          <w:rStyle w:val="FootnoteReference"/>
        </w:rPr>
        <w:footnoteReference w:id="17"/>
      </w:r>
      <w:r w:rsidR="0070178A">
        <w:t xml:space="preserve"> Indeed Lock, who had argued that the grid was an urban-myth, explains that the reason for it, and for the naming of the boulevards, was to ‘refer to our Anglo-Saxon heritage, because this is not an American new town…it’s an English new town’ suggesting that cultural connection to Britain and its past was deliberate, evidencing Tilley’s argument about the</w:t>
      </w:r>
      <w:r w:rsidR="00561168">
        <w:t xml:space="preserve"> transformative</w:t>
      </w:r>
      <w:r w:rsidR="0070178A">
        <w:t xml:space="preserve"> power of </w:t>
      </w:r>
      <w:r w:rsidR="00E81309">
        <w:t>naming</w:t>
      </w:r>
      <w:r w:rsidR="0070178A">
        <w:t>.</w:t>
      </w:r>
      <w:r w:rsidR="002A5567">
        <w:t xml:space="preserve"> Tilley noted that ‘the “scientific” conception of space abstracted from human affairs” was systematically called into question from the 1970s onwards</w:t>
      </w:r>
      <w:r w:rsidR="0056007E">
        <w:t>, a time period coincident with Milton Keynes’s development, and with its V and H roads, but subsequent naming and alignment, it is arguable that Milton Keynes’s demonstrates this transition of thinking, employing both paradigms</w:t>
      </w:r>
      <w:r w:rsidR="00157110">
        <w:t>.</w:t>
      </w:r>
      <w:r w:rsidR="00157110">
        <w:rPr>
          <w:rStyle w:val="FootnoteReference"/>
        </w:rPr>
        <w:footnoteReference w:id="18"/>
      </w:r>
      <w:r w:rsidR="0056007E">
        <w:t xml:space="preserve"> </w:t>
      </w:r>
    </w:p>
    <w:p w14:paraId="32A34B51" w14:textId="61685ADD" w:rsidR="00167704" w:rsidRPr="00AA574B" w:rsidRDefault="00167704" w:rsidP="00AA574B">
      <w:r>
        <w:t xml:space="preserve">Milton Keynes, therefore, emerged during a time when </w:t>
      </w:r>
      <w:r w:rsidR="002856FA">
        <w:t>a transition was occurring between seeing space as neutral and homogenous and seeing it as a medium for human affairs. Milton Keynes</w:t>
      </w:r>
      <w:r w:rsidR="00C9153C">
        <w:t>’s grid</w:t>
      </w:r>
      <w:r w:rsidR="002856FA">
        <w:t xml:space="preserve"> was described by architects</w:t>
      </w:r>
      <w:r w:rsidR="00D43241">
        <w:t xml:space="preserve"> </w:t>
      </w:r>
      <w:r w:rsidR="002856FA">
        <w:t xml:space="preserve">as having created neutral spaces, but attempts were made to later recognise human agency by, as Tilley describes, creating landscapes by way of naming, in order to connect to shared meanings and traditions. As the planners noted, they attempted to connect Milton Keynes to its Englishness and history by way of such naming. That this </w:t>
      </w:r>
      <w:r w:rsidR="00245D4D">
        <w:t>push toward space as human agency may</w:t>
      </w:r>
      <w:r w:rsidR="002856FA">
        <w:t xml:space="preserve"> not have been successful</w:t>
      </w:r>
      <w:r w:rsidR="00245D4D">
        <w:t>, or may have come too late,</w:t>
      </w:r>
      <w:r w:rsidR="002856FA">
        <w:t xml:space="preserve"> can be inferred from Higgs’s experience of Milton Keynes as being more concerned with cars than people. </w:t>
      </w:r>
    </w:p>
    <w:p w14:paraId="0EC628EE" w14:textId="77777777" w:rsidR="00D10DF3" w:rsidRDefault="00980207" w:rsidP="00D10DF3">
      <w:pPr>
        <w:pStyle w:val="Heading1"/>
      </w:pPr>
      <w:r>
        <w:t>Equipment</w:t>
      </w:r>
    </w:p>
    <w:p w14:paraId="6607415C" w14:textId="3BD0844C" w:rsidR="00D10DF3" w:rsidRDefault="00B14BEF" w:rsidP="00D10DF3">
      <w:r>
        <w:t xml:space="preserve">Equipment was needed to conduct my fieldwork. </w:t>
      </w:r>
      <w:r w:rsidR="00D10DF3" w:rsidRPr="00D10DF3">
        <w:t>I used a Suunto Tandem/360PC/360R DG Clino/Compass with an accuracy of 1/3 of a degree to make measurements</w:t>
      </w:r>
      <w:r w:rsidR="00D10DF3">
        <w:t xml:space="preserve"> of both altitude and azimuth</w:t>
      </w:r>
      <w:r w:rsidR="00D10DF3" w:rsidRPr="00D10DF3">
        <w:t xml:space="preserve">. </w:t>
      </w:r>
      <w:r w:rsidR="00D10DF3">
        <w:t xml:space="preserve">For calculation of magnetic declination, I used the calculator </w:t>
      </w:r>
      <w:r w:rsidR="00F25EE0">
        <w:t>from the National Oceanic and Atmospheric Administration</w:t>
      </w:r>
      <w:r w:rsidR="00DF0CA7">
        <w:t xml:space="preserve"> (NOAA)</w:t>
      </w:r>
      <w:r w:rsidR="00F25EE0">
        <w:t xml:space="preserve">, which employs </w:t>
      </w:r>
      <w:r w:rsidR="00D36F39">
        <w:t xml:space="preserve">the International Geomagnetic Reference Field model, with typical </w:t>
      </w:r>
      <w:r w:rsidR="00D36F39">
        <w:lastRenderedPageBreak/>
        <w:t>accuracy of within thirty minutes of arc.</w:t>
      </w:r>
      <w:r w:rsidR="00D36F39">
        <w:rPr>
          <w:rStyle w:val="FootnoteReference"/>
        </w:rPr>
        <w:footnoteReference w:id="19"/>
      </w:r>
      <w:r w:rsidR="00D36F39">
        <w:t xml:space="preserve"> </w:t>
      </w:r>
      <w:r w:rsidR="00DF0CA7">
        <w:t>Using NOAA’s estimation model allowed me to compare</w:t>
      </w:r>
      <w:r w:rsidR="00986ED3">
        <w:t>, using the same</w:t>
      </w:r>
      <w:r w:rsidR="00650F93">
        <w:t xml:space="preserve"> calculation</w:t>
      </w:r>
      <w:r w:rsidR="00986ED3">
        <w:t xml:space="preserve"> model for consistency,</w:t>
      </w:r>
      <w:r w:rsidR="00DF0CA7">
        <w:t xml:space="preserve"> estimated declination at the site both in 2019 when the fieldwork was carried out, as well as in</w:t>
      </w:r>
      <w:r w:rsidR="00460965">
        <w:t xml:space="preserve"> comparison to</w:t>
      </w:r>
      <w:r w:rsidR="00DE37C2">
        <w:t xml:space="preserve"> 1970</w:t>
      </w:r>
      <w:r w:rsidR="00DF0CA7">
        <w:t xml:space="preserve">, when the site was planned and </w:t>
      </w:r>
      <w:r w:rsidR="009468FE">
        <w:t>development bega</w:t>
      </w:r>
      <w:r w:rsidR="005F2A84">
        <w:t>n</w:t>
      </w:r>
      <w:r w:rsidR="00DF0CA7">
        <w:t xml:space="preserve">. </w:t>
      </w:r>
      <w:r w:rsidR="005F26E5">
        <w:t>I captured all</w:t>
      </w:r>
      <w:r w:rsidR="009B4EFA">
        <w:t xml:space="preserve"> photography </w:t>
      </w:r>
      <w:r w:rsidR="00C35821">
        <w:t xml:space="preserve">used in this essay </w:t>
      </w:r>
      <w:r w:rsidR="009B4EFA">
        <w:t xml:space="preserve">using an iPhone 7 with 12MP camera. </w:t>
      </w:r>
    </w:p>
    <w:p w14:paraId="5A7146A0" w14:textId="46AF4A48" w:rsidR="00931E41" w:rsidRPr="00931E41" w:rsidRDefault="00980207" w:rsidP="00931E41">
      <w:pPr>
        <w:pStyle w:val="Heading1"/>
      </w:pPr>
      <w:r>
        <w:t>Fieldwork</w:t>
      </w:r>
    </w:p>
    <w:p w14:paraId="1C5E1DFF" w14:textId="1B1EFC08" w:rsidR="00823D4B" w:rsidRDefault="00823D4B" w:rsidP="005A70E7">
      <w:pPr>
        <w:rPr>
          <w:color w:val="000000" w:themeColor="text1"/>
        </w:rPr>
      </w:pPr>
      <w:r>
        <w:rPr>
          <w:color w:val="000000" w:themeColor="text1"/>
        </w:rPr>
        <w:t>The aim of my fieldwork</w:t>
      </w:r>
      <w:r w:rsidR="00C508A4">
        <w:rPr>
          <w:color w:val="000000" w:themeColor="text1"/>
        </w:rPr>
        <w:t xml:space="preserve"> measurements</w:t>
      </w:r>
      <w:r>
        <w:rPr>
          <w:color w:val="000000" w:themeColor="text1"/>
        </w:rPr>
        <w:t xml:space="preserve"> was to </w:t>
      </w:r>
      <w:r w:rsidR="00C508A4">
        <w:rPr>
          <w:color w:val="000000" w:themeColor="text1"/>
        </w:rPr>
        <w:t>record</w:t>
      </w:r>
      <w:r>
        <w:rPr>
          <w:color w:val="000000" w:themeColor="text1"/>
        </w:rPr>
        <w:t xml:space="preserve"> the azimuth of Midsummer Bo</w:t>
      </w:r>
      <w:r w:rsidR="008D04E0">
        <w:rPr>
          <w:color w:val="000000" w:themeColor="text1"/>
        </w:rPr>
        <w:t>ulevard, establish if this</w:t>
      </w:r>
      <w:r>
        <w:rPr>
          <w:color w:val="000000" w:themeColor="text1"/>
        </w:rPr>
        <w:t xml:space="preserve"> boulevard</w:t>
      </w:r>
      <w:r w:rsidR="008D04E0">
        <w:rPr>
          <w:color w:val="000000" w:themeColor="text1"/>
        </w:rPr>
        <w:t>,</w:t>
      </w:r>
      <w:r>
        <w:rPr>
          <w:color w:val="000000" w:themeColor="text1"/>
        </w:rPr>
        <w:t xml:space="preserve"> from the train station right through to The Light Pyramid in Campbell Park</w:t>
      </w:r>
      <w:r w:rsidR="008D04E0">
        <w:rPr>
          <w:color w:val="000000" w:themeColor="text1"/>
        </w:rPr>
        <w:t>,</w:t>
      </w:r>
      <w:r>
        <w:rPr>
          <w:color w:val="000000" w:themeColor="text1"/>
        </w:rPr>
        <w:t xml:space="preserve"> was one straight line</w:t>
      </w:r>
      <w:r w:rsidR="00E04BFC">
        <w:rPr>
          <w:color w:val="000000" w:themeColor="text1"/>
        </w:rPr>
        <w:t xml:space="preserve"> oriented in the same direction, and</w:t>
      </w:r>
      <w:r>
        <w:rPr>
          <w:color w:val="000000" w:themeColor="text1"/>
        </w:rPr>
        <w:t xml:space="preserve"> to measure obser</w:t>
      </w:r>
      <w:r w:rsidR="00E50492">
        <w:rPr>
          <w:color w:val="000000" w:themeColor="text1"/>
        </w:rPr>
        <w:t xml:space="preserve">ved </w:t>
      </w:r>
      <w:r w:rsidR="00CD52FD">
        <w:rPr>
          <w:color w:val="000000" w:themeColor="text1"/>
        </w:rPr>
        <w:t xml:space="preserve">Summer solstice </w:t>
      </w:r>
      <w:r w:rsidR="006A53A9">
        <w:rPr>
          <w:color w:val="000000" w:themeColor="text1"/>
        </w:rPr>
        <w:t>sun</w:t>
      </w:r>
      <w:r w:rsidR="00E50492">
        <w:rPr>
          <w:color w:val="000000" w:themeColor="text1"/>
        </w:rPr>
        <w:t xml:space="preserve">rise from Campbell Park, the most Easterly part of the </w:t>
      </w:r>
      <w:r w:rsidR="007D6775">
        <w:rPr>
          <w:color w:val="000000" w:themeColor="text1"/>
        </w:rPr>
        <w:t xml:space="preserve">Boulevard, to determine </w:t>
      </w:r>
      <w:r w:rsidR="00EE1060">
        <w:rPr>
          <w:color w:val="000000" w:themeColor="text1"/>
        </w:rPr>
        <w:t xml:space="preserve">to what degree, if any, </w:t>
      </w:r>
      <w:r w:rsidR="007D6775">
        <w:rPr>
          <w:color w:val="000000" w:themeColor="text1"/>
        </w:rPr>
        <w:t>Midsummer Boulevard is oriented to th</w:t>
      </w:r>
      <w:r w:rsidR="00B14930">
        <w:rPr>
          <w:color w:val="000000" w:themeColor="text1"/>
        </w:rPr>
        <w:t>at direction</w:t>
      </w:r>
      <w:r w:rsidR="007D6775">
        <w:rPr>
          <w:color w:val="000000" w:themeColor="text1"/>
        </w:rPr>
        <w:t>.</w:t>
      </w:r>
    </w:p>
    <w:p w14:paraId="1C9A7883" w14:textId="0B36DD80" w:rsidR="00BB18C6" w:rsidRDefault="001323DA" w:rsidP="003A6A4E">
      <w:pPr>
        <w:rPr>
          <w:color w:val="000000" w:themeColor="text1"/>
        </w:rPr>
      </w:pPr>
      <w:r>
        <w:rPr>
          <w:color w:val="000000" w:themeColor="text1"/>
        </w:rPr>
        <w:t>I began i</w:t>
      </w:r>
      <w:r w:rsidRPr="001323DA">
        <w:rPr>
          <w:color w:val="000000" w:themeColor="text1"/>
        </w:rPr>
        <w:t>nit</w:t>
      </w:r>
      <w:r>
        <w:rPr>
          <w:color w:val="000000" w:themeColor="text1"/>
        </w:rPr>
        <w:t xml:space="preserve">ial fieldwork of the site on Thursday </w:t>
      </w:r>
      <w:r w:rsidR="001A68DD">
        <w:rPr>
          <w:color w:val="000000" w:themeColor="text1"/>
        </w:rPr>
        <w:t>20</w:t>
      </w:r>
      <w:r w:rsidR="001A68DD" w:rsidRPr="001A68DD">
        <w:rPr>
          <w:color w:val="000000" w:themeColor="text1"/>
          <w:vertAlign w:val="superscript"/>
        </w:rPr>
        <w:t>th</w:t>
      </w:r>
      <w:r w:rsidR="001A68DD">
        <w:rPr>
          <w:color w:val="000000" w:themeColor="text1"/>
        </w:rPr>
        <w:t xml:space="preserve"> June 2019, beginning in Campbell Park </w:t>
      </w:r>
      <w:r w:rsidR="006A1257">
        <w:rPr>
          <w:color w:val="000000" w:themeColor="text1"/>
        </w:rPr>
        <w:t>on</w:t>
      </w:r>
      <w:r w:rsidR="001A68DD">
        <w:rPr>
          <w:color w:val="000000" w:themeColor="text1"/>
        </w:rPr>
        <w:t xml:space="preserve"> the pathway</w:t>
      </w:r>
      <w:r w:rsidR="00FB7F03">
        <w:rPr>
          <w:color w:val="000000" w:themeColor="text1"/>
        </w:rPr>
        <w:t xml:space="preserve"> (seen in Fig. 1)</w:t>
      </w:r>
      <w:r w:rsidR="001A68DD">
        <w:rPr>
          <w:color w:val="000000" w:themeColor="text1"/>
        </w:rPr>
        <w:t xml:space="preserve"> from Midsummer Boulevard to The Light Pyramid</w:t>
      </w:r>
      <w:r w:rsidR="00FD19A8">
        <w:rPr>
          <w:color w:val="000000" w:themeColor="text1"/>
        </w:rPr>
        <w:t xml:space="preserve"> monument</w:t>
      </w:r>
      <w:r w:rsidR="00FB7F03">
        <w:rPr>
          <w:color w:val="000000" w:themeColor="text1"/>
        </w:rPr>
        <w:t xml:space="preserve">. </w:t>
      </w:r>
      <w:r w:rsidR="002B082B">
        <w:rPr>
          <w:color w:val="000000" w:themeColor="text1"/>
        </w:rPr>
        <w:t xml:space="preserve">I took several azimuth </w:t>
      </w:r>
      <w:r w:rsidR="00BD36BA">
        <w:rPr>
          <w:color w:val="000000" w:themeColor="text1"/>
        </w:rPr>
        <w:t>measurements</w:t>
      </w:r>
      <w:r w:rsidR="002B082B">
        <w:rPr>
          <w:color w:val="000000" w:themeColor="text1"/>
        </w:rPr>
        <w:t xml:space="preserve"> along the path toward the monument, </w:t>
      </w:r>
      <w:r w:rsidR="004142E2">
        <w:rPr>
          <w:color w:val="000000" w:themeColor="text1"/>
        </w:rPr>
        <w:t>including near</w:t>
      </w:r>
      <w:r w:rsidR="002B082B">
        <w:rPr>
          <w:color w:val="000000" w:themeColor="text1"/>
        </w:rPr>
        <w:t xml:space="preserve"> a metal gate dividing the path</w:t>
      </w:r>
      <w:r w:rsidR="00244DD1">
        <w:rPr>
          <w:color w:val="000000" w:themeColor="text1"/>
        </w:rPr>
        <w:t xml:space="preserve"> (visible in Fig. 3)</w:t>
      </w:r>
      <w:r w:rsidR="002B082B">
        <w:rPr>
          <w:color w:val="000000" w:themeColor="text1"/>
        </w:rPr>
        <w:t xml:space="preserve">, and ending at the monument itself. Several readings were </w:t>
      </w:r>
      <w:r w:rsidR="00BD36BA">
        <w:rPr>
          <w:color w:val="000000" w:themeColor="text1"/>
        </w:rPr>
        <w:t>discounted due to obvious localised magnetic interference,</w:t>
      </w:r>
      <w:r w:rsidR="002B082B">
        <w:rPr>
          <w:color w:val="000000" w:themeColor="text1"/>
        </w:rPr>
        <w:t xml:space="preserve"> </w:t>
      </w:r>
      <w:r w:rsidR="00BD36BA">
        <w:rPr>
          <w:color w:val="000000" w:themeColor="text1"/>
        </w:rPr>
        <w:t xml:space="preserve">notably </w:t>
      </w:r>
      <w:r w:rsidR="002B082B">
        <w:rPr>
          <w:color w:val="000000" w:themeColor="text1"/>
        </w:rPr>
        <w:t>those by the gate and those closest to the monument, both of which were metallic structures.</w:t>
      </w:r>
      <w:r w:rsidR="00EE0A96">
        <w:rPr>
          <w:color w:val="000000" w:themeColor="text1"/>
        </w:rPr>
        <w:t xml:space="preserve"> However</w:t>
      </w:r>
      <w:r w:rsidR="005B0C45">
        <w:rPr>
          <w:color w:val="000000" w:themeColor="text1"/>
        </w:rPr>
        <w:t xml:space="preserve">, </w:t>
      </w:r>
      <w:r w:rsidR="00153269">
        <w:rPr>
          <w:color w:val="000000" w:themeColor="text1"/>
        </w:rPr>
        <w:t>partway</w:t>
      </w:r>
      <w:r w:rsidR="005B0C45">
        <w:rPr>
          <w:color w:val="000000" w:themeColor="text1"/>
        </w:rPr>
        <w:t xml:space="preserve"> through my </w:t>
      </w:r>
      <w:r w:rsidR="00FD5A92">
        <w:rPr>
          <w:color w:val="000000" w:themeColor="text1"/>
        </w:rPr>
        <w:t>recording</w:t>
      </w:r>
      <w:r w:rsidR="00DC25FE">
        <w:rPr>
          <w:color w:val="000000" w:themeColor="text1"/>
        </w:rPr>
        <w:t>s</w:t>
      </w:r>
      <w:r w:rsidR="00971D9B">
        <w:rPr>
          <w:color w:val="000000" w:themeColor="text1"/>
        </w:rPr>
        <w:t>,</w:t>
      </w:r>
      <w:r w:rsidR="00DC25FE">
        <w:rPr>
          <w:color w:val="000000" w:themeColor="text1"/>
        </w:rPr>
        <w:t xml:space="preserve"> all my measurements</w:t>
      </w:r>
      <w:r w:rsidR="00696B7F">
        <w:rPr>
          <w:color w:val="000000" w:themeColor="text1"/>
        </w:rPr>
        <w:t xml:space="preserve"> began to differ by up</w:t>
      </w:r>
      <w:r w:rsidR="00C95A50">
        <w:rPr>
          <w:color w:val="000000" w:themeColor="text1"/>
        </w:rPr>
        <w:t xml:space="preserve"> to 5º</w:t>
      </w:r>
      <w:r w:rsidR="007475FF">
        <w:rPr>
          <w:color w:val="000000" w:themeColor="text1"/>
        </w:rPr>
        <w:t xml:space="preserve"> due to the removal of my sunglasses,</w:t>
      </w:r>
      <w:r w:rsidR="00472105">
        <w:rPr>
          <w:color w:val="000000" w:themeColor="text1"/>
        </w:rPr>
        <w:t xml:space="preserve"> and the</w:t>
      </w:r>
      <w:r w:rsidR="00696B7F">
        <w:rPr>
          <w:color w:val="000000" w:themeColor="text1"/>
        </w:rPr>
        <w:t xml:space="preserve"> Suunto Tandem’s method of measurement requiring positioning the instrument </w:t>
      </w:r>
      <w:r w:rsidR="00AA5A50">
        <w:rPr>
          <w:color w:val="000000" w:themeColor="text1"/>
        </w:rPr>
        <w:t>through an eyepiece</w:t>
      </w:r>
      <w:r w:rsidR="00472105">
        <w:rPr>
          <w:color w:val="000000" w:themeColor="text1"/>
        </w:rPr>
        <w:t xml:space="preserve"> - </w:t>
      </w:r>
      <w:r w:rsidR="008A6243">
        <w:rPr>
          <w:color w:val="000000" w:themeColor="text1"/>
        </w:rPr>
        <w:t xml:space="preserve">the metal in </w:t>
      </w:r>
      <w:r w:rsidR="00696B7F">
        <w:rPr>
          <w:color w:val="000000" w:themeColor="text1"/>
        </w:rPr>
        <w:t xml:space="preserve">my </w:t>
      </w:r>
      <w:r w:rsidR="006A53A9">
        <w:rPr>
          <w:color w:val="000000" w:themeColor="text1"/>
        </w:rPr>
        <w:t>sun</w:t>
      </w:r>
      <w:r w:rsidR="00696B7F">
        <w:rPr>
          <w:color w:val="000000" w:themeColor="text1"/>
        </w:rPr>
        <w:t xml:space="preserve">glasses had caused localised magnetic interference. </w:t>
      </w:r>
      <w:r w:rsidR="00061392">
        <w:rPr>
          <w:color w:val="000000" w:themeColor="text1"/>
        </w:rPr>
        <w:t>Starting over and</w:t>
      </w:r>
      <w:r w:rsidR="00472105">
        <w:rPr>
          <w:color w:val="000000" w:themeColor="text1"/>
        </w:rPr>
        <w:t xml:space="preserve"> </w:t>
      </w:r>
      <w:r w:rsidR="00D90C8C">
        <w:rPr>
          <w:color w:val="000000" w:themeColor="text1"/>
        </w:rPr>
        <w:t>d</w:t>
      </w:r>
      <w:r w:rsidR="00472105">
        <w:rPr>
          <w:color w:val="000000" w:themeColor="text1"/>
        </w:rPr>
        <w:t>iscounting known magnetic interference</w:t>
      </w:r>
      <w:r w:rsidR="00696B7F">
        <w:rPr>
          <w:color w:val="000000" w:themeColor="text1"/>
        </w:rPr>
        <w:t xml:space="preserve">, </w:t>
      </w:r>
      <w:r w:rsidR="002B082B">
        <w:rPr>
          <w:color w:val="000000" w:themeColor="text1"/>
        </w:rPr>
        <w:t>the majority of readings were between</w:t>
      </w:r>
      <w:r w:rsidR="002D7481">
        <w:rPr>
          <w:color w:val="000000" w:themeColor="text1"/>
        </w:rPr>
        <w:t xml:space="preserve"> roughly</w:t>
      </w:r>
      <w:r w:rsidR="002B082B">
        <w:rPr>
          <w:color w:val="000000" w:themeColor="text1"/>
        </w:rPr>
        <w:t xml:space="preserve"> 5</w:t>
      </w:r>
      <w:r w:rsidR="002D7481">
        <w:rPr>
          <w:color w:val="000000" w:themeColor="text1"/>
        </w:rPr>
        <w:t>6.5</w:t>
      </w:r>
      <w:r w:rsidR="002B082B">
        <w:rPr>
          <w:color w:val="000000" w:themeColor="text1"/>
        </w:rPr>
        <w:t xml:space="preserve">º </w:t>
      </w:r>
      <w:r w:rsidR="00FA6ECA">
        <w:rPr>
          <w:color w:val="000000" w:themeColor="text1"/>
        </w:rPr>
        <w:t>and 57.33</w:t>
      </w:r>
      <w:r w:rsidR="002B082B">
        <w:rPr>
          <w:color w:val="000000" w:themeColor="text1"/>
        </w:rPr>
        <w:t>º of azimuth</w:t>
      </w:r>
      <w:r w:rsidR="00696B7F">
        <w:rPr>
          <w:color w:val="000000" w:themeColor="text1"/>
        </w:rPr>
        <w:t>, however,</w:t>
      </w:r>
      <w:r w:rsidR="002B082B">
        <w:rPr>
          <w:color w:val="000000" w:themeColor="text1"/>
        </w:rPr>
        <w:t xml:space="preserve"> one reading measured </w:t>
      </w:r>
      <w:r w:rsidR="007E4535">
        <w:rPr>
          <w:color w:val="000000" w:themeColor="text1"/>
        </w:rPr>
        <w:t>almost</w:t>
      </w:r>
      <w:r w:rsidR="002B082B">
        <w:rPr>
          <w:color w:val="000000" w:themeColor="text1"/>
        </w:rPr>
        <w:t xml:space="preserve"> </w:t>
      </w:r>
      <w:r w:rsidR="007E4535">
        <w:rPr>
          <w:color w:val="000000" w:themeColor="text1"/>
        </w:rPr>
        <w:t>7</w:t>
      </w:r>
      <w:r w:rsidR="002B082B">
        <w:rPr>
          <w:color w:val="000000" w:themeColor="text1"/>
        </w:rPr>
        <w:t xml:space="preserve">º difference from </w:t>
      </w:r>
      <w:r w:rsidR="00BD1EB6">
        <w:rPr>
          <w:color w:val="000000" w:themeColor="text1"/>
        </w:rPr>
        <w:t>this</w:t>
      </w:r>
      <w:r w:rsidR="002B082B">
        <w:rPr>
          <w:color w:val="000000" w:themeColor="text1"/>
        </w:rPr>
        <w:t xml:space="preserve"> </w:t>
      </w:r>
      <w:r w:rsidR="00BD1EB6">
        <w:rPr>
          <w:color w:val="000000" w:themeColor="text1"/>
        </w:rPr>
        <w:t>range</w:t>
      </w:r>
      <w:r w:rsidR="002B082B">
        <w:rPr>
          <w:color w:val="000000" w:themeColor="text1"/>
        </w:rPr>
        <w:t xml:space="preserve">. Searching around the area revealed a partially concealed manhole in the grass </w:t>
      </w:r>
      <w:r w:rsidR="007E4535">
        <w:rPr>
          <w:color w:val="000000" w:themeColor="text1"/>
        </w:rPr>
        <w:t xml:space="preserve">just </w:t>
      </w:r>
      <w:r w:rsidR="002B082B">
        <w:rPr>
          <w:color w:val="000000" w:themeColor="text1"/>
        </w:rPr>
        <w:t xml:space="preserve">to the side of the path. This measurement was also </w:t>
      </w:r>
      <w:r w:rsidR="00DE536B">
        <w:rPr>
          <w:color w:val="000000" w:themeColor="text1"/>
        </w:rPr>
        <w:t>discounted</w:t>
      </w:r>
      <w:r w:rsidR="002B082B">
        <w:rPr>
          <w:color w:val="000000" w:themeColor="text1"/>
        </w:rPr>
        <w:t xml:space="preserve">. The average reading, with localised </w:t>
      </w:r>
      <w:r w:rsidR="00650E61">
        <w:rPr>
          <w:color w:val="000000" w:themeColor="text1"/>
        </w:rPr>
        <w:t>magnetic</w:t>
      </w:r>
      <w:r w:rsidR="002B082B">
        <w:rPr>
          <w:color w:val="000000" w:themeColor="text1"/>
        </w:rPr>
        <w:t xml:space="preserve"> </w:t>
      </w:r>
      <w:r w:rsidR="00472105">
        <w:rPr>
          <w:color w:val="000000" w:themeColor="text1"/>
        </w:rPr>
        <w:t>interference</w:t>
      </w:r>
      <w:r w:rsidR="00D237A5">
        <w:rPr>
          <w:color w:val="000000" w:themeColor="text1"/>
        </w:rPr>
        <w:t xml:space="preserve"> accounted and corrected for</w:t>
      </w:r>
      <w:r w:rsidR="00696B7F">
        <w:rPr>
          <w:color w:val="000000" w:themeColor="text1"/>
        </w:rPr>
        <w:t>,</w:t>
      </w:r>
      <w:r w:rsidR="002B082B">
        <w:rPr>
          <w:color w:val="000000" w:themeColor="text1"/>
        </w:rPr>
        <w:t xml:space="preserve"> was</w:t>
      </w:r>
      <w:r w:rsidR="000D1E31">
        <w:rPr>
          <w:color w:val="000000" w:themeColor="text1"/>
        </w:rPr>
        <w:t xml:space="preserve"> circa</w:t>
      </w:r>
      <w:r w:rsidR="002B082B">
        <w:rPr>
          <w:color w:val="000000" w:themeColor="text1"/>
        </w:rPr>
        <w:t xml:space="preserve"> </w:t>
      </w:r>
      <w:r w:rsidR="000D1E31">
        <w:rPr>
          <w:color w:val="000000" w:themeColor="text1"/>
        </w:rPr>
        <w:t>56.75</w:t>
      </w:r>
      <w:r w:rsidR="002B082B">
        <w:rPr>
          <w:color w:val="000000" w:themeColor="text1"/>
        </w:rPr>
        <w:t xml:space="preserve">º azimuth. </w:t>
      </w:r>
      <w:r w:rsidR="00BB18C6">
        <w:rPr>
          <w:color w:val="000000" w:themeColor="text1"/>
        </w:rPr>
        <w:t xml:space="preserve">I also took several recordings </w:t>
      </w:r>
      <w:r w:rsidR="00BB18C6">
        <w:rPr>
          <w:color w:val="000000" w:themeColor="text1"/>
        </w:rPr>
        <w:lastRenderedPageBreak/>
        <w:t xml:space="preserve">of the </w:t>
      </w:r>
      <w:r w:rsidR="003A6A4E">
        <w:rPr>
          <w:color w:val="000000" w:themeColor="text1"/>
        </w:rPr>
        <w:t>angle of elevation</w:t>
      </w:r>
      <w:r w:rsidR="00BB18C6">
        <w:rPr>
          <w:color w:val="000000" w:themeColor="text1"/>
        </w:rPr>
        <w:t xml:space="preserve"> of the local horizon, however, due </w:t>
      </w:r>
      <w:r w:rsidR="003A6A4E">
        <w:rPr>
          <w:color w:val="000000" w:themeColor="text1"/>
        </w:rPr>
        <w:t xml:space="preserve">to </w:t>
      </w:r>
      <w:r w:rsidR="00BB18C6">
        <w:rPr>
          <w:color w:val="000000" w:themeColor="text1"/>
        </w:rPr>
        <w:t xml:space="preserve">the comparatively topography, the horizon was never more than a </w:t>
      </w:r>
      <w:r w:rsidR="003C51EF">
        <w:rPr>
          <w:color w:val="000000" w:themeColor="text1"/>
        </w:rPr>
        <w:t>quarter of a degree of altitude</w:t>
      </w:r>
      <w:r w:rsidR="00D04230">
        <w:rPr>
          <w:color w:val="000000" w:themeColor="text1"/>
        </w:rPr>
        <w:t xml:space="preserve"> difference</w:t>
      </w:r>
      <w:r w:rsidR="00D90C8C">
        <w:rPr>
          <w:color w:val="000000" w:themeColor="text1"/>
        </w:rPr>
        <w:t xml:space="preserve"> and for the purpose of my fieldwork, altitude of the local horizon would therefore be ignored</w:t>
      </w:r>
      <w:r w:rsidR="003C51EF">
        <w:rPr>
          <w:color w:val="000000" w:themeColor="text1"/>
        </w:rPr>
        <w:t xml:space="preserve">. </w:t>
      </w:r>
    </w:p>
    <w:p w14:paraId="5CB9AEBC" w14:textId="31366CD1" w:rsidR="00931E41" w:rsidRDefault="00931E41" w:rsidP="009735D5">
      <w:pPr>
        <w:rPr>
          <w:color w:val="000000" w:themeColor="text1"/>
        </w:rPr>
      </w:pPr>
      <w:r>
        <w:rPr>
          <w:color w:val="000000" w:themeColor="text1"/>
        </w:rPr>
        <w:t xml:space="preserve">Midsummer Boulevard is an almost two-kilometre stretch of </w:t>
      </w:r>
      <w:r w:rsidR="00380D65">
        <w:rPr>
          <w:color w:val="000000" w:themeColor="text1"/>
        </w:rPr>
        <w:t>road</w:t>
      </w:r>
      <w:r>
        <w:rPr>
          <w:color w:val="000000" w:themeColor="text1"/>
        </w:rPr>
        <w:t xml:space="preserve">. </w:t>
      </w:r>
      <w:r w:rsidR="007649A2">
        <w:rPr>
          <w:color w:val="000000" w:themeColor="text1"/>
        </w:rPr>
        <w:t xml:space="preserve">I walked along </w:t>
      </w:r>
      <w:r w:rsidR="00E7537C">
        <w:rPr>
          <w:color w:val="000000" w:themeColor="text1"/>
        </w:rPr>
        <w:t xml:space="preserve">the </w:t>
      </w:r>
      <w:r w:rsidR="00BD5A09">
        <w:rPr>
          <w:color w:val="000000" w:themeColor="text1"/>
        </w:rPr>
        <w:t xml:space="preserve">tree-lined </w:t>
      </w:r>
      <w:r w:rsidR="00380D65">
        <w:rPr>
          <w:color w:val="000000" w:themeColor="text1"/>
        </w:rPr>
        <w:t>divide</w:t>
      </w:r>
      <w:r w:rsidR="00E7537C">
        <w:rPr>
          <w:color w:val="000000" w:themeColor="text1"/>
        </w:rPr>
        <w:t xml:space="preserve"> </w:t>
      </w:r>
      <w:r w:rsidR="004A1980">
        <w:rPr>
          <w:color w:val="000000" w:themeColor="text1"/>
        </w:rPr>
        <w:t>at the centre of the boulevard</w:t>
      </w:r>
      <w:r w:rsidR="005758BF">
        <w:rPr>
          <w:color w:val="000000" w:themeColor="text1"/>
        </w:rPr>
        <w:t xml:space="preserve">, measuring </w:t>
      </w:r>
      <w:r>
        <w:rPr>
          <w:color w:val="000000" w:themeColor="text1"/>
        </w:rPr>
        <w:t xml:space="preserve">azimuth every </w:t>
      </w:r>
      <w:r w:rsidR="009F1EA5">
        <w:rPr>
          <w:color w:val="000000" w:themeColor="text1"/>
        </w:rPr>
        <w:t xml:space="preserve">few minutes, </w:t>
      </w:r>
      <w:r w:rsidR="00072441">
        <w:rPr>
          <w:color w:val="000000" w:themeColor="text1"/>
        </w:rPr>
        <w:t>attempting to account</w:t>
      </w:r>
      <w:r w:rsidR="005B6B80">
        <w:rPr>
          <w:color w:val="000000" w:themeColor="text1"/>
        </w:rPr>
        <w:t xml:space="preserve"> for the</w:t>
      </w:r>
      <w:r w:rsidR="009F1EA5">
        <w:rPr>
          <w:color w:val="000000" w:themeColor="text1"/>
        </w:rPr>
        <w:t xml:space="preserve"> greater</w:t>
      </w:r>
      <w:r w:rsidR="004A1980">
        <w:rPr>
          <w:color w:val="000000" w:themeColor="text1"/>
        </w:rPr>
        <w:t xml:space="preserve"> variety of metallic structures, </w:t>
      </w:r>
      <w:r w:rsidR="00B778E5">
        <w:rPr>
          <w:color w:val="000000" w:themeColor="text1"/>
        </w:rPr>
        <w:t>including iron railings</w:t>
      </w:r>
      <w:r w:rsidR="008327AD">
        <w:rPr>
          <w:color w:val="000000" w:themeColor="text1"/>
        </w:rPr>
        <w:t xml:space="preserve"> and light posts</w:t>
      </w:r>
      <w:r w:rsidR="009F1EA5">
        <w:rPr>
          <w:color w:val="000000" w:themeColor="text1"/>
        </w:rPr>
        <w:t>.</w:t>
      </w:r>
      <w:r w:rsidR="00AB2795" w:rsidRPr="00AB2795">
        <w:rPr>
          <w:color w:val="000000" w:themeColor="text1"/>
        </w:rPr>
        <w:t xml:space="preserve"> </w:t>
      </w:r>
      <w:r w:rsidR="00AB2795">
        <w:rPr>
          <w:color w:val="000000" w:themeColor="text1"/>
        </w:rPr>
        <w:t xml:space="preserve">The average of all these readings corresponded, within less than </w:t>
      </w:r>
      <w:r w:rsidR="00076362">
        <w:rPr>
          <w:color w:val="000000" w:themeColor="text1"/>
        </w:rPr>
        <w:t>1.5</w:t>
      </w:r>
      <w:r w:rsidR="00AB2795">
        <w:rPr>
          <w:color w:val="000000" w:themeColor="text1"/>
        </w:rPr>
        <w:t xml:space="preserve">º of my earlier estimate, </w:t>
      </w:r>
      <w:r w:rsidR="00C353F8">
        <w:rPr>
          <w:color w:val="000000" w:themeColor="text1"/>
        </w:rPr>
        <w:t>though</w:t>
      </w:r>
      <w:r w:rsidR="004E1FD0">
        <w:rPr>
          <w:color w:val="000000" w:themeColor="text1"/>
        </w:rPr>
        <w:t xml:space="preserve"> with magnetic </w:t>
      </w:r>
      <w:r w:rsidR="00CC561E">
        <w:rPr>
          <w:color w:val="000000" w:themeColor="text1"/>
        </w:rPr>
        <w:t>interference impossible to fully eliminate</w:t>
      </w:r>
      <w:r w:rsidR="00AB2795">
        <w:rPr>
          <w:color w:val="000000" w:themeColor="text1"/>
        </w:rPr>
        <w:t>.</w:t>
      </w:r>
      <w:r w:rsidR="009F1EA5">
        <w:rPr>
          <w:color w:val="000000" w:themeColor="text1"/>
        </w:rPr>
        <w:t xml:space="preserve"> </w:t>
      </w:r>
      <w:r w:rsidR="00B778E5">
        <w:rPr>
          <w:color w:val="000000" w:themeColor="text1"/>
        </w:rPr>
        <w:t xml:space="preserve">At </w:t>
      </w:r>
      <w:r w:rsidR="00062F26">
        <w:rPr>
          <w:color w:val="000000" w:themeColor="text1"/>
        </w:rPr>
        <w:t xml:space="preserve">the train-station, at the South-West end of the boulevard, </w:t>
      </w:r>
      <w:r w:rsidR="00B778E5">
        <w:rPr>
          <w:color w:val="000000" w:themeColor="text1"/>
        </w:rPr>
        <w:t xml:space="preserve">I made several more </w:t>
      </w:r>
      <w:r w:rsidR="00B7568D">
        <w:rPr>
          <w:color w:val="000000" w:themeColor="text1"/>
        </w:rPr>
        <w:t>measurements</w:t>
      </w:r>
      <w:r w:rsidR="00062F26">
        <w:rPr>
          <w:color w:val="000000" w:themeColor="text1"/>
        </w:rPr>
        <w:t>, free from magnetic interference, confirming</w:t>
      </w:r>
      <w:r w:rsidR="00AB2795">
        <w:rPr>
          <w:color w:val="000000" w:themeColor="text1"/>
        </w:rPr>
        <w:t xml:space="preserve"> </w:t>
      </w:r>
      <w:r w:rsidR="00B7568D">
        <w:rPr>
          <w:color w:val="000000" w:themeColor="text1"/>
        </w:rPr>
        <w:t>the azimuth of 56.75º</w:t>
      </w:r>
      <w:r w:rsidR="002F6B7F">
        <w:rPr>
          <w:color w:val="000000" w:themeColor="text1"/>
        </w:rPr>
        <w:t xml:space="preserve">. </w:t>
      </w:r>
      <w:r w:rsidR="00B14BEF">
        <w:rPr>
          <w:color w:val="000000" w:themeColor="text1"/>
        </w:rPr>
        <w:t xml:space="preserve">From this, I concluded that Midsummer Boulevard is indeed a straight road oriented at circa </w:t>
      </w:r>
      <w:r w:rsidR="000D1E31">
        <w:rPr>
          <w:color w:val="000000" w:themeColor="text1"/>
        </w:rPr>
        <w:t>56.75</w:t>
      </w:r>
      <w:r w:rsidR="00B14BEF">
        <w:rPr>
          <w:color w:val="000000" w:themeColor="text1"/>
        </w:rPr>
        <w:t xml:space="preserve">º azimuth. </w:t>
      </w:r>
    </w:p>
    <w:p w14:paraId="472D40E9" w14:textId="01DB1BDF" w:rsidR="00BF7211" w:rsidRDefault="00B14BEF" w:rsidP="005D691A">
      <w:pPr>
        <w:keepNext/>
        <w:rPr>
          <w:color w:val="000000" w:themeColor="text1"/>
        </w:rPr>
      </w:pPr>
      <w:r>
        <w:rPr>
          <w:color w:val="000000" w:themeColor="text1"/>
        </w:rPr>
        <w:t xml:space="preserve">I arrived at Campbell </w:t>
      </w:r>
      <w:r w:rsidR="00317CBF">
        <w:rPr>
          <w:color w:val="000000" w:themeColor="text1"/>
        </w:rPr>
        <w:t>Park</w:t>
      </w:r>
      <w:r w:rsidR="007F4535">
        <w:rPr>
          <w:color w:val="000000" w:themeColor="text1"/>
        </w:rPr>
        <w:t xml:space="preserve">, </w:t>
      </w:r>
      <w:r w:rsidR="00C8595B">
        <w:rPr>
          <w:color w:val="000000" w:themeColor="text1"/>
        </w:rPr>
        <w:t>21</w:t>
      </w:r>
      <w:r w:rsidR="00C8595B" w:rsidRPr="00C8595B">
        <w:rPr>
          <w:color w:val="000000" w:themeColor="text1"/>
          <w:vertAlign w:val="superscript"/>
        </w:rPr>
        <w:t>st</w:t>
      </w:r>
      <w:r w:rsidR="00C8595B">
        <w:rPr>
          <w:color w:val="000000" w:themeColor="text1"/>
        </w:rPr>
        <w:t xml:space="preserve"> June 2019,</w:t>
      </w:r>
      <w:r w:rsidR="00317CBF">
        <w:rPr>
          <w:color w:val="000000" w:themeColor="text1"/>
        </w:rPr>
        <w:t xml:space="preserve"> </w:t>
      </w:r>
      <w:r w:rsidR="009A49C1">
        <w:rPr>
          <w:color w:val="000000" w:themeColor="text1"/>
        </w:rPr>
        <w:t>the morning of the Summer solstice,</w:t>
      </w:r>
      <w:r w:rsidR="00AE5107">
        <w:rPr>
          <w:color w:val="000000" w:themeColor="text1"/>
        </w:rPr>
        <w:t xml:space="preserve"> and, knowing </w:t>
      </w:r>
      <w:r w:rsidR="009A49C1">
        <w:rPr>
          <w:color w:val="000000" w:themeColor="text1"/>
        </w:rPr>
        <w:t>where to stand to avoid gates, manholes and other magnetic disturbances</w:t>
      </w:r>
      <w:r w:rsidR="005D691A">
        <w:rPr>
          <w:color w:val="000000" w:themeColor="text1"/>
        </w:rPr>
        <w:t xml:space="preserve"> from my measurements the day before,</w:t>
      </w:r>
      <w:r w:rsidR="006A59FA">
        <w:rPr>
          <w:color w:val="000000" w:themeColor="text1"/>
        </w:rPr>
        <w:t xml:space="preserve"> </w:t>
      </w:r>
      <w:r w:rsidR="009A49C1">
        <w:rPr>
          <w:color w:val="000000" w:themeColor="text1"/>
        </w:rPr>
        <w:t xml:space="preserve">measured the first rays of the </w:t>
      </w:r>
      <w:r w:rsidR="006A53A9">
        <w:rPr>
          <w:color w:val="000000" w:themeColor="text1"/>
        </w:rPr>
        <w:t>sun</w:t>
      </w:r>
      <w:r w:rsidR="009A49C1">
        <w:rPr>
          <w:color w:val="000000" w:themeColor="text1"/>
        </w:rPr>
        <w:t>’s disc peering</w:t>
      </w:r>
      <w:r w:rsidR="000401C9">
        <w:rPr>
          <w:color w:val="000000" w:themeColor="text1"/>
        </w:rPr>
        <w:t xml:space="preserve"> over the local horizon at</w:t>
      </w:r>
      <w:r w:rsidR="00EB5C0C">
        <w:rPr>
          <w:color w:val="000000" w:themeColor="text1"/>
        </w:rPr>
        <w:t xml:space="preserve"> </w:t>
      </w:r>
      <w:r w:rsidR="000401C9">
        <w:rPr>
          <w:color w:val="000000" w:themeColor="text1"/>
        </w:rPr>
        <w:t xml:space="preserve">49º azimuth, as shown in Figure 3. Several minutes later, the full disc of the </w:t>
      </w:r>
      <w:r w:rsidR="006A53A9">
        <w:rPr>
          <w:color w:val="000000" w:themeColor="text1"/>
        </w:rPr>
        <w:t>sun</w:t>
      </w:r>
      <w:r w:rsidR="000401C9">
        <w:rPr>
          <w:color w:val="000000" w:themeColor="text1"/>
        </w:rPr>
        <w:t xml:space="preserve"> had risen, measured</w:t>
      </w:r>
      <w:r w:rsidR="002937AF">
        <w:rPr>
          <w:color w:val="000000" w:themeColor="text1"/>
        </w:rPr>
        <w:t xml:space="preserve"> at </w:t>
      </w:r>
      <w:r w:rsidR="000D1E31">
        <w:rPr>
          <w:color w:val="000000" w:themeColor="text1"/>
        </w:rPr>
        <w:t>51</w:t>
      </w:r>
      <w:r w:rsidR="000401C9">
        <w:rPr>
          <w:color w:val="000000" w:themeColor="text1"/>
        </w:rPr>
        <w:t xml:space="preserve">º azimuth, as shown in Figure 4. </w:t>
      </w:r>
    </w:p>
    <w:p w14:paraId="62E7E6DB" w14:textId="77777777" w:rsidR="003B20C6" w:rsidRDefault="003B20C6" w:rsidP="005D691A">
      <w:pPr>
        <w:keepNext/>
        <w:rPr>
          <w:color w:val="000000" w:themeColor="text1"/>
        </w:rPr>
      </w:pPr>
    </w:p>
    <w:p w14:paraId="2D1200D7" w14:textId="514CE1B5" w:rsidR="002937AF" w:rsidRDefault="002937AF" w:rsidP="00BF7211">
      <w:pPr>
        <w:keepNext/>
        <w:jc w:val="center"/>
      </w:pPr>
      <w:r>
        <w:rPr>
          <w:noProof/>
          <w:color w:val="000000" w:themeColor="text1"/>
          <w:lang w:eastAsia="en-GB"/>
        </w:rPr>
        <w:drawing>
          <wp:inline distT="0" distB="0" distL="0" distR="0" wp14:anchorId="7EA291CE" wp14:editId="2FE79911">
            <wp:extent cx="5220205" cy="262624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0877.jpg"/>
                    <pic:cNvPicPr/>
                  </pic:nvPicPr>
                  <pic:blipFill rotWithShape="1">
                    <a:blip r:embed="rId10" cstate="print">
                      <a:extLst>
                        <a:ext uri="{28A0092B-C50C-407E-A947-70E740481C1C}">
                          <a14:useLocalDpi xmlns:a14="http://schemas.microsoft.com/office/drawing/2010/main" val="0"/>
                        </a:ext>
                      </a:extLst>
                    </a:blip>
                    <a:srcRect l="17517" t="41499" b="3173"/>
                    <a:stretch/>
                  </pic:blipFill>
                  <pic:spPr bwMode="auto">
                    <a:xfrm>
                      <a:off x="0" y="0"/>
                      <a:ext cx="5261076" cy="2646804"/>
                    </a:xfrm>
                    <a:prstGeom prst="rect">
                      <a:avLst/>
                    </a:prstGeom>
                    <a:ln>
                      <a:noFill/>
                    </a:ln>
                    <a:extLst>
                      <a:ext uri="{53640926-AAD7-44D8-BBD7-CCE9431645EC}">
                        <a14:shadowObscured xmlns:a14="http://schemas.microsoft.com/office/drawing/2010/main"/>
                      </a:ext>
                    </a:extLst>
                  </pic:spPr>
                </pic:pic>
              </a:graphicData>
            </a:graphic>
          </wp:inline>
        </w:drawing>
      </w:r>
    </w:p>
    <w:p w14:paraId="7A2690AB" w14:textId="1D7CA70A" w:rsidR="00B14BEF" w:rsidRDefault="002937AF" w:rsidP="00BF7211">
      <w:pPr>
        <w:pStyle w:val="Caption"/>
        <w:jc w:val="center"/>
      </w:pPr>
      <w:bookmarkStart w:id="5" w:name="_Toc13999378"/>
      <w:r>
        <w:t xml:space="preserve">Figure </w:t>
      </w:r>
      <w:r w:rsidR="003246AD">
        <w:fldChar w:fldCharType="begin"/>
      </w:r>
      <w:r w:rsidR="003246AD">
        <w:instrText xml:space="preserve"> SEQ Figure \* ARABIC </w:instrText>
      </w:r>
      <w:r w:rsidR="003246AD">
        <w:fldChar w:fldCharType="separate"/>
      </w:r>
      <w:r w:rsidR="001651B8">
        <w:rPr>
          <w:noProof/>
        </w:rPr>
        <w:t>3</w:t>
      </w:r>
      <w:r w:rsidR="003246AD">
        <w:rPr>
          <w:noProof/>
        </w:rPr>
        <w:fldChar w:fldCharType="end"/>
      </w:r>
      <w:r>
        <w:t xml:space="preserve">. First rays of </w:t>
      </w:r>
      <w:r w:rsidR="006A53A9">
        <w:t>sun</w:t>
      </w:r>
      <w:r>
        <w:t>rise, measured at 49º azimuth,</w:t>
      </w:r>
      <w:r w:rsidR="00D0488C">
        <w:t xml:space="preserve"> Campbell Park, 21/6/19</w:t>
      </w:r>
      <w:r w:rsidR="00BF7211">
        <w:t>.</w:t>
      </w:r>
      <w:bookmarkEnd w:id="5"/>
    </w:p>
    <w:p w14:paraId="50BF9C69" w14:textId="77777777" w:rsidR="002937AF" w:rsidRDefault="002937AF" w:rsidP="00BF7211">
      <w:pPr>
        <w:jc w:val="center"/>
      </w:pPr>
    </w:p>
    <w:p w14:paraId="083BE8BA" w14:textId="77777777" w:rsidR="002937AF" w:rsidRDefault="002937AF" w:rsidP="00BF7211">
      <w:pPr>
        <w:keepNext/>
        <w:jc w:val="center"/>
      </w:pPr>
      <w:r>
        <w:rPr>
          <w:noProof/>
          <w:lang w:eastAsia="en-GB"/>
        </w:rPr>
        <w:lastRenderedPageBreak/>
        <w:drawing>
          <wp:inline distT="0" distB="0" distL="0" distR="0" wp14:anchorId="7AC41A5F" wp14:editId="2AF64F56">
            <wp:extent cx="4493872" cy="25171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0895.jpg"/>
                    <pic:cNvPicPr/>
                  </pic:nvPicPr>
                  <pic:blipFill rotWithShape="1">
                    <a:blip r:embed="rId11" cstate="print">
                      <a:extLst>
                        <a:ext uri="{28A0092B-C50C-407E-A947-70E740481C1C}">
                          <a14:useLocalDpi xmlns:a14="http://schemas.microsoft.com/office/drawing/2010/main" val="0"/>
                        </a:ext>
                      </a:extLst>
                    </a:blip>
                    <a:srcRect l="25023" t="45089" r="29749" b="21133"/>
                    <a:stretch/>
                  </pic:blipFill>
                  <pic:spPr bwMode="auto">
                    <a:xfrm>
                      <a:off x="0" y="0"/>
                      <a:ext cx="4584726" cy="2568030"/>
                    </a:xfrm>
                    <a:prstGeom prst="rect">
                      <a:avLst/>
                    </a:prstGeom>
                    <a:ln>
                      <a:noFill/>
                    </a:ln>
                    <a:extLst>
                      <a:ext uri="{53640926-AAD7-44D8-BBD7-CCE9431645EC}">
                        <a14:shadowObscured xmlns:a14="http://schemas.microsoft.com/office/drawing/2010/main"/>
                      </a:ext>
                    </a:extLst>
                  </pic:spPr>
                </pic:pic>
              </a:graphicData>
            </a:graphic>
          </wp:inline>
        </w:drawing>
      </w:r>
    </w:p>
    <w:p w14:paraId="1443D5B9" w14:textId="6F34B074" w:rsidR="00BF7211" w:rsidRDefault="002937AF" w:rsidP="003B20C6">
      <w:pPr>
        <w:pStyle w:val="Caption"/>
        <w:jc w:val="center"/>
      </w:pPr>
      <w:bookmarkStart w:id="6" w:name="_Toc13999379"/>
      <w:r>
        <w:t xml:space="preserve">Figure </w:t>
      </w:r>
      <w:r w:rsidR="003246AD">
        <w:fldChar w:fldCharType="begin"/>
      </w:r>
      <w:r w:rsidR="003246AD">
        <w:instrText xml:space="preserve"> SEQ Figure \* ARABIC </w:instrText>
      </w:r>
      <w:r w:rsidR="003246AD">
        <w:fldChar w:fldCharType="separate"/>
      </w:r>
      <w:r w:rsidR="001651B8">
        <w:rPr>
          <w:noProof/>
        </w:rPr>
        <w:t>4</w:t>
      </w:r>
      <w:r w:rsidR="003246AD">
        <w:rPr>
          <w:noProof/>
        </w:rPr>
        <w:fldChar w:fldCharType="end"/>
      </w:r>
      <w:r>
        <w:t xml:space="preserve">. Full disc of the </w:t>
      </w:r>
      <w:r w:rsidR="006A53A9">
        <w:t>sun</w:t>
      </w:r>
      <w:r>
        <w:t xml:space="preserve"> visible at </w:t>
      </w:r>
      <w:r w:rsidR="006A53A9">
        <w:t>sun</w:t>
      </w:r>
      <w:r>
        <w:t xml:space="preserve">rise, measured at </w:t>
      </w:r>
      <w:r w:rsidR="000D1E31">
        <w:t>51</w:t>
      </w:r>
      <w:r>
        <w:t>º azimuth, Campbell Park, 21/6/19.</w:t>
      </w:r>
      <w:bookmarkEnd w:id="6"/>
    </w:p>
    <w:p w14:paraId="53623F76" w14:textId="77777777" w:rsidR="003B20C6" w:rsidRPr="003B20C6" w:rsidRDefault="003B20C6" w:rsidP="003B20C6"/>
    <w:p w14:paraId="2455A47F" w14:textId="7DB61EAA" w:rsidR="001651B8" w:rsidRDefault="00905634" w:rsidP="001651B8">
      <w:r>
        <w:t>I made my way down Midsummer Boulevard</w:t>
      </w:r>
      <w:r w:rsidR="00C20403">
        <w:t xml:space="preserve"> to experience whether the </w:t>
      </w:r>
      <w:r w:rsidR="006A53A9">
        <w:t>sun</w:t>
      </w:r>
      <w:r w:rsidR="00C20403">
        <w:t xml:space="preserve"> appeared to </w:t>
      </w:r>
      <w:r w:rsidR="00C659A1">
        <w:t xml:space="preserve">shine through Midsummer Place as </w:t>
      </w:r>
      <w:r w:rsidR="009B7A4C">
        <w:t>expected</w:t>
      </w:r>
      <w:r w:rsidR="00C659A1">
        <w:t xml:space="preserve"> and what effect, if any, it would have on the train station. </w:t>
      </w:r>
      <w:r w:rsidR="002B3840">
        <w:t>Although it was</w:t>
      </w:r>
      <w:r w:rsidR="00AE118A">
        <w:t xml:space="preserve"> now</w:t>
      </w:r>
      <w:r w:rsidR="002B3840">
        <w:t xml:space="preserve"> </w:t>
      </w:r>
      <w:r w:rsidR="00ED792C">
        <w:t>nearly</w:t>
      </w:r>
      <w:r w:rsidR="002B3840">
        <w:t xml:space="preserve"> a half an hour since the </w:t>
      </w:r>
      <w:r w:rsidR="006A53A9">
        <w:t>sun</w:t>
      </w:r>
      <w:r w:rsidR="002B3840">
        <w:t xml:space="preserve"> first rose, the </w:t>
      </w:r>
      <w:r w:rsidR="006A53A9">
        <w:t>sun</w:t>
      </w:r>
      <w:r w:rsidR="002B3840">
        <w:t xml:space="preserve">’s light had barely </w:t>
      </w:r>
      <w:r w:rsidR="007D09FA">
        <w:t>broken through Midsummer place (</w:t>
      </w:r>
      <w:r w:rsidR="002B3840">
        <w:t>as seen in Figure 5</w:t>
      </w:r>
      <w:r w:rsidR="007D09FA">
        <w:t>)</w:t>
      </w:r>
      <w:r w:rsidR="002B3840">
        <w:t xml:space="preserve"> and not yet </w:t>
      </w:r>
      <w:r w:rsidR="003B20C6">
        <w:t xml:space="preserve">falling </w:t>
      </w:r>
      <w:r w:rsidR="002B3840">
        <w:t xml:space="preserve">down the centre of the boulevard. </w:t>
      </w:r>
      <w:r w:rsidR="003B249B">
        <w:t xml:space="preserve">I measured </w:t>
      </w:r>
      <w:r w:rsidR="001651B8">
        <w:t xml:space="preserve">the azimuth (53º) and altitude (2.2º) of the </w:t>
      </w:r>
      <w:r w:rsidR="006A53A9">
        <w:t>sun</w:t>
      </w:r>
      <w:r w:rsidR="001651B8">
        <w:t>, knowing where to stand to minimise</w:t>
      </w:r>
      <w:r w:rsidR="007D09FA">
        <w:t xml:space="preserve"> (though not completely avoid)</w:t>
      </w:r>
      <w:r w:rsidR="006F7712">
        <w:t xml:space="preserve"> localised</w:t>
      </w:r>
      <w:r w:rsidR="001651B8">
        <w:t xml:space="preserve"> magnetic </w:t>
      </w:r>
      <w:r w:rsidR="006F7712">
        <w:t>interference</w:t>
      </w:r>
      <w:r w:rsidR="001651B8">
        <w:t xml:space="preserve">. </w:t>
      </w:r>
    </w:p>
    <w:p w14:paraId="1C75C1F9" w14:textId="77777777" w:rsidR="001651B8" w:rsidRDefault="001651B8" w:rsidP="001651B8">
      <w:pPr>
        <w:keepNext/>
        <w:jc w:val="center"/>
      </w:pPr>
      <w:r>
        <w:rPr>
          <w:noProof/>
          <w:lang w:eastAsia="en-GB"/>
        </w:rPr>
        <w:drawing>
          <wp:inline distT="0" distB="0" distL="0" distR="0" wp14:anchorId="10BC35C3" wp14:editId="24D735B9">
            <wp:extent cx="4416100" cy="2663613"/>
            <wp:effectExtent l="0" t="0" r="381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0919.jpg"/>
                    <pic:cNvPicPr/>
                  </pic:nvPicPr>
                  <pic:blipFill rotWithShape="1">
                    <a:blip r:embed="rId12" cstate="print">
                      <a:extLst>
                        <a:ext uri="{28A0092B-C50C-407E-A947-70E740481C1C}">
                          <a14:useLocalDpi xmlns:a14="http://schemas.microsoft.com/office/drawing/2010/main" val="0"/>
                        </a:ext>
                      </a:extLst>
                    </a:blip>
                    <a:srcRect t="19579"/>
                    <a:stretch/>
                  </pic:blipFill>
                  <pic:spPr bwMode="auto">
                    <a:xfrm>
                      <a:off x="0" y="0"/>
                      <a:ext cx="4452172" cy="2685370"/>
                    </a:xfrm>
                    <a:prstGeom prst="rect">
                      <a:avLst/>
                    </a:prstGeom>
                    <a:ln>
                      <a:noFill/>
                    </a:ln>
                    <a:extLst>
                      <a:ext uri="{53640926-AAD7-44D8-BBD7-CCE9431645EC}">
                        <a14:shadowObscured xmlns:a14="http://schemas.microsoft.com/office/drawing/2010/main"/>
                      </a:ext>
                    </a:extLst>
                  </pic:spPr>
                </pic:pic>
              </a:graphicData>
            </a:graphic>
          </wp:inline>
        </w:drawing>
      </w:r>
    </w:p>
    <w:p w14:paraId="6C9F3606" w14:textId="5F90625C" w:rsidR="001651B8" w:rsidRDefault="001651B8" w:rsidP="001651B8">
      <w:pPr>
        <w:pStyle w:val="Caption"/>
        <w:jc w:val="center"/>
      </w:pPr>
      <w:bookmarkStart w:id="7" w:name="_Toc13999380"/>
      <w:r>
        <w:t xml:space="preserve">Figure </w:t>
      </w:r>
      <w:r w:rsidR="003246AD">
        <w:fldChar w:fldCharType="begin"/>
      </w:r>
      <w:r w:rsidR="003246AD">
        <w:instrText xml:space="preserve"> SEQ Figure \* ARABIC </w:instrText>
      </w:r>
      <w:r w:rsidR="003246AD">
        <w:fldChar w:fldCharType="separate"/>
      </w:r>
      <w:r>
        <w:rPr>
          <w:noProof/>
        </w:rPr>
        <w:t>5</w:t>
      </w:r>
      <w:r w:rsidR="003246AD">
        <w:rPr>
          <w:noProof/>
        </w:rPr>
        <w:fldChar w:fldCharType="end"/>
      </w:r>
      <w:r>
        <w:t xml:space="preserve">. </w:t>
      </w:r>
      <w:r w:rsidR="00540651">
        <w:t>S</w:t>
      </w:r>
      <w:r w:rsidR="006A53A9">
        <w:t>un</w:t>
      </w:r>
      <w:r w:rsidRPr="00B27872">
        <w:t xml:space="preserve"> seen shining through Midsummer Place, a half an hour after </w:t>
      </w:r>
      <w:r w:rsidR="006A53A9">
        <w:t>sun</w:t>
      </w:r>
      <w:r w:rsidRPr="00B27872">
        <w:t>rise. Measured at circa 53º azimuth, 2.2º altitude</w:t>
      </w:r>
      <w:r>
        <w:t>.</w:t>
      </w:r>
      <w:bookmarkEnd w:id="7"/>
    </w:p>
    <w:p w14:paraId="02A8E5DB" w14:textId="77777777" w:rsidR="001651B8" w:rsidRDefault="001651B8" w:rsidP="001651B8">
      <w:r>
        <w:t xml:space="preserve"> </w:t>
      </w:r>
    </w:p>
    <w:p w14:paraId="0BA63594" w14:textId="579F8943" w:rsidR="000215DA" w:rsidRDefault="001651B8" w:rsidP="001651B8">
      <w:r>
        <w:lastRenderedPageBreak/>
        <w:t>At the</w:t>
      </w:r>
      <w:r w:rsidR="005B1D3B">
        <w:t xml:space="preserve"> train station, </w:t>
      </w:r>
      <w:r>
        <w:t xml:space="preserve">the trees lining the boulevard blocked direct view of the </w:t>
      </w:r>
      <w:r w:rsidR="006A53A9">
        <w:t>sun</w:t>
      </w:r>
      <w:r>
        <w:t xml:space="preserve">, preventing me from making any measurements of its position, however, the </w:t>
      </w:r>
      <w:r w:rsidR="006A53A9">
        <w:t>sun</w:t>
      </w:r>
      <w:r>
        <w:t>’s light could clearly be seen reflected in the mirror-like glass of the train station, as seen in Figure 6.</w:t>
      </w:r>
      <w:r w:rsidR="00B7148B">
        <w:t xml:space="preserve"> </w:t>
      </w:r>
    </w:p>
    <w:p w14:paraId="0E4FCD35" w14:textId="6E965F13" w:rsidR="001651B8" w:rsidRDefault="00B7148B" w:rsidP="001651B8">
      <w:r>
        <w:t>According to the NOAA the magnetic decli</w:t>
      </w:r>
      <w:r w:rsidR="000215DA">
        <w:t>nation at Milton Keynes in</w:t>
      </w:r>
      <w:r w:rsidR="00D771C2">
        <w:t xml:space="preserve"> June</w:t>
      </w:r>
      <w:r w:rsidR="000215DA">
        <w:t xml:space="preserve"> 2019</w:t>
      </w:r>
      <w:r>
        <w:t xml:space="preserve"> is 0.</w:t>
      </w:r>
      <w:r w:rsidR="000215DA">
        <w:t>4</w:t>
      </w:r>
      <w:r>
        <w:t>5</w:t>
      </w:r>
      <w:r w:rsidR="000215DA">
        <w:t>º West</w:t>
      </w:r>
      <w:r w:rsidR="00A05F18">
        <w:t>. My average</w:t>
      </w:r>
      <w:r w:rsidR="000215DA">
        <w:t xml:space="preserve"> measurement for the azimuth of the orientation of Midsummer Boulevard was </w:t>
      </w:r>
      <w:r w:rsidR="000D1E31">
        <w:t>56.75</w:t>
      </w:r>
      <w:r w:rsidR="000215DA">
        <w:t xml:space="preserve">º, which, when accounting for magnetic declination, becomes </w:t>
      </w:r>
      <w:r w:rsidR="00D237A5">
        <w:t>56.3</w:t>
      </w:r>
      <w:r w:rsidR="00FD12D0">
        <w:t xml:space="preserve">º of true azimuth. </w:t>
      </w:r>
      <w:r w:rsidR="00FC5547">
        <w:t xml:space="preserve">Sunrise began at 49º of azimuth, which, with magnetic declination accounted for, becomes </w:t>
      </w:r>
      <w:r w:rsidR="003513C3">
        <w:t>48.55º. A difference of 7.75º of azimuth exists between the orientation of Midsummer Boulevard and the beginnings of sunrise on the Summer solstice.</w:t>
      </w:r>
    </w:p>
    <w:p w14:paraId="42FE1E7C" w14:textId="63F44A9E" w:rsidR="00BB2F64" w:rsidRDefault="00FD12D0" w:rsidP="001651B8">
      <w:r>
        <w:t>In summary</w:t>
      </w:r>
      <w:r w:rsidR="0043326A">
        <w:t xml:space="preserve">, </w:t>
      </w:r>
      <w:r w:rsidR="00124AB6">
        <w:t>after</w:t>
      </w:r>
      <w:r w:rsidR="00BB2F64">
        <w:t xml:space="preserve"> accounting for</w:t>
      </w:r>
      <w:r w:rsidR="00E57ED8">
        <w:t xml:space="preserve"> local</w:t>
      </w:r>
      <w:r w:rsidR="00BB2F64">
        <w:t xml:space="preserve"> magnetic interference</w:t>
      </w:r>
      <w:r w:rsidR="003513C3">
        <w:t xml:space="preserve"> and</w:t>
      </w:r>
      <w:r w:rsidR="00E57ED8">
        <w:t xml:space="preserve"> </w:t>
      </w:r>
      <w:r w:rsidR="007A17E1">
        <w:t xml:space="preserve">for </w:t>
      </w:r>
      <w:r w:rsidR="00E57ED8">
        <w:t>magnetic</w:t>
      </w:r>
      <w:r w:rsidR="003513C3">
        <w:t xml:space="preserve"> declination</w:t>
      </w:r>
      <w:r w:rsidR="00BB2F64">
        <w:t>, Midsummer Boulevard</w:t>
      </w:r>
      <w:r w:rsidR="006E4392">
        <w:t xml:space="preserve"> was measured</w:t>
      </w:r>
      <w:r w:rsidR="005514A5">
        <w:t xml:space="preserve"> </w:t>
      </w:r>
      <w:r w:rsidR="004C2B79">
        <w:t xml:space="preserve">along its length </w:t>
      </w:r>
      <w:r w:rsidR="003513C3">
        <w:t>at an average of 56.3</w:t>
      </w:r>
      <w:r w:rsidR="00BB2F64">
        <w:t>º of azimuth</w:t>
      </w:r>
      <w:r w:rsidR="006E4392">
        <w:t>, confirming it is a straight line. S</w:t>
      </w:r>
      <w:r w:rsidR="003513C3">
        <w:t>unrise</w:t>
      </w:r>
      <w:r w:rsidR="00805EE7">
        <w:t xml:space="preserve"> was </w:t>
      </w:r>
      <w:r w:rsidR="003513C3">
        <w:t>measured at 48.55</w:t>
      </w:r>
      <w:r w:rsidR="00805EE7">
        <w:t>º</w:t>
      </w:r>
      <w:r w:rsidR="003513C3">
        <w:t>.</w:t>
      </w:r>
      <w:r w:rsidR="00B0682A">
        <w:t xml:space="preserve"> T</w:t>
      </w:r>
      <w:r w:rsidR="003513C3">
        <w:t xml:space="preserve">he difference of 7.75º of azimuth suggests that Midsummer Boulevard is not </w:t>
      </w:r>
      <w:r w:rsidR="00745DC4">
        <w:t>oriented</w:t>
      </w:r>
      <w:r w:rsidR="003513C3">
        <w:t xml:space="preserve"> to sunrise on the Summer solstice</w:t>
      </w:r>
      <w:r w:rsidR="00126FA5">
        <w:t>.</w:t>
      </w:r>
    </w:p>
    <w:p w14:paraId="51BF3DB3" w14:textId="77777777" w:rsidR="001651B8" w:rsidRDefault="001651B8" w:rsidP="001651B8">
      <w:pPr>
        <w:keepNext/>
        <w:jc w:val="center"/>
      </w:pPr>
      <w:r>
        <w:rPr>
          <w:noProof/>
          <w:lang w:eastAsia="en-GB"/>
        </w:rPr>
        <w:drawing>
          <wp:inline distT="0" distB="0" distL="0" distR="0" wp14:anchorId="0B8AC228" wp14:editId="6CF8E3F3">
            <wp:extent cx="3682454" cy="3682454"/>
            <wp:effectExtent l="0" t="0" r="635"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093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86632" cy="3686632"/>
                    </a:xfrm>
                    <a:prstGeom prst="rect">
                      <a:avLst/>
                    </a:prstGeom>
                  </pic:spPr>
                </pic:pic>
              </a:graphicData>
            </a:graphic>
          </wp:inline>
        </w:drawing>
      </w:r>
    </w:p>
    <w:p w14:paraId="30AEEB86" w14:textId="684D091E" w:rsidR="001651B8" w:rsidRDefault="001651B8" w:rsidP="001651B8">
      <w:pPr>
        <w:pStyle w:val="Caption"/>
        <w:jc w:val="center"/>
      </w:pPr>
      <w:bookmarkStart w:id="8" w:name="_Toc13999381"/>
      <w:r>
        <w:t xml:space="preserve">Figure </w:t>
      </w:r>
      <w:r w:rsidR="003246AD">
        <w:fldChar w:fldCharType="begin"/>
      </w:r>
      <w:r w:rsidR="003246AD">
        <w:instrText xml:space="preserve"> SEQ Figure \* ARABIC </w:instrText>
      </w:r>
      <w:r w:rsidR="003246AD">
        <w:fldChar w:fldCharType="separate"/>
      </w:r>
      <w:r>
        <w:rPr>
          <w:noProof/>
        </w:rPr>
        <w:t>6</w:t>
      </w:r>
      <w:r w:rsidR="003246AD">
        <w:rPr>
          <w:noProof/>
        </w:rPr>
        <w:fldChar w:fldCharType="end"/>
      </w:r>
      <w:r>
        <w:t xml:space="preserve">. The </w:t>
      </w:r>
      <w:r w:rsidR="006A53A9">
        <w:t>sun</w:t>
      </w:r>
      <w:r>
        <w:t xml:space="preserve"> reflects on the </w:t>
      </w:r>
      <w:r w:rsidR="001F5329">
        <w:t>reflective</w:t>
      </w:r>
      <w:r>
        <w:t xml:space="preserve"> glass of Milton Keynes train station, taken from the South-West end of Midsummer Boulevard, 40 minutes after </w:t>
      </w:r>
      <w:r w:rsidR="006A53A9">
        <w:t>sun</w:t>
      </w:r>
      <w:r>
        <w:t>rise.</w:t>
      </w:r>
      <w:bookmarkEnd w:id="8"/>
    </w:p>
    <w:p w14:paraId="1668F520" w14:textId="136A995D" w:rsidR="00B7148B" w:rsidRDefault="00B7148B" w:rsidP="00B7148B">
      <w:pPr>
        <w:pStyle w:val="Heading1"/>
      </w:pPr>
      <w:r>
        <w:lastRenderedPageBreak/>
        <w:t>Theory of Misalignment</w:t>
      </w:r>
    </w:p>
    <w:p w14:paraId="25EEFCD1" w14:textId="71141692" w:rsidR="003E2C14" w:rsidRDefault="007A0DB8" w:rsidP="000A727D">
      <w:r>
        <w:t>Having conducted the fieldwork</w:t>
      </w:r>
      <w:r w:rsidR="00A755D6">
        <w:t xml:space="preserve"> and investigation</w:t>
      </w:r>
      <w:r>
        <w:t>,</w:t>
      </w:r>
      <w:r w:rsidR="00A755D6">
        <w:t xml:space="preserve"> Midsummer Boulevard was intended </w:t>
      </w:r>
      <w:r w:rsidR="00B7148B">
        <w:t xml:space="preserve">to </w:t>
      </w:r>
      <w:r w:rsidR="00A755D6">
        <w:t xml:space="preserve">align </w:t>
      </w:r>
      <w:r w:rsidR="00B7148B">
        <w:t>sunrise on the Summer solstice</w:t>
      </w:r>
      <w:r w:rsidR="0054574B">
        <w:t xml:space="preserve">, </w:t>
      </w:r>
      <w:r w:rsidR="00544CF3">
        <w:t>but is misaligned with a</w:t>
      </w:r>
      <w:r w:rsidR="0054574B">
        <w:t xml:space="preserve"> </w:t>
      </w:r>
      <w:r>
        <w:t>difference</w:t>
      </w:r>
      <w:r w:rsidR="0054574B">
        <w:t xml:space="preserve"> of circa 7.75</w:t>
      </w:r>
      <w:r w:rsidR="005145F2">
        <w:t>º</w:t>
      </w:r>
      <w:r w:rsidR="00383906">
        <w:t xml:space="preserve"> W</w:t>
      </w:r>
      <w:r w:rsidR="00B7148B">
        <w:t xml:space="preserve">. </w:t>
      </w:r>
      <w:r w:rsidR="003E2C14">
        <w:t xml:space="preserve">A simple </w:t>
      </w:r>
      <w:r w:rsidR="00CA12C7">
        <w:t>discrepancy</w:t>
      </w:r>
      <w:r w:rsidR="003E2C14">
        <w:t xml:space="preserve"> </w:t>
      </w:r>
      <w:r w:rsidR="00791355">
        <w:t>may account for this difference</w:t>
      </w:r>
      <w:r w:rsidR="003E2C14">
        <w:t xml:space="preserve">. As noted earlier, Barkham described how the architects consulted Greenwich Observatory to </w:t>
      </w:r>
      <w:r w:rsidR="00931BA1">
        <w:t xml:space="preserve">determine the orientation of </w:t>
      </w:r>
      <w:r w:rsidR="003E2C14">
        <w:t>Midsummer Boulevard to the summer solstice sunrise, whereas Higgs described how they stood in the field which would become Midsummer Boulevard and measured experientially by eye. Whist it’s possible the planners and architects did both, Higgs</w:t>
      </w:r>
      <w:r w:rsidR="00CE2EBA">
        <w:t xml:space="preserve"> may have simply been employing artistic licence</w:t>
      </w:r>
      <w:r w:rsidR="003E2C14">
        <w:t xml:space="preserve"> to imagine they did so by eye. If they only used Greenwich Observatory data, then it’s possible that </w:t>
      </w:r>
      <w:r w:rsidR="00DD04BC">
        <w:t xml:space="preserve">they </w:t>
      </w:r>
      <w:r w:rsidR="003E2C14">
        <w:t xml:space="preserve">sent the azimuth based on True North, however, according to the NOAA, the magnetic declination in 1970 was 7.57º W. If the planners or the builders did not account for magnetic declination, and measured Midsummer Boulevard using a compass, this could </w:t>
      </w:r>
      <w:r w:rsidR="00BC0A3A">
        <w:t xml:space="preserve">closely </w:t>
      </w:r>
      <w:r w:rsidR="003E2C14">
        <w:t>correspond with the observed difference of 7.75º W discovered during the fieldwork</w:t>
      </w:r>
      <w:r w:rsidR="000A727D">
        <w:t>, especially considering the Suunto Compass’s .33º margin of error</w:t>
      </w:r>
      <w:r w:rsidR="001A1847">
        <w:t>.</w:t>
      </w:r>
      <w:r w:rsidR="003E2C14">
        <w:t xml:space="preserve"> </w:t>
      </w:r>
    </w:p>
    <w:p w14:paraId="4447D763" w14:textId="141C60CA" w:rsidR="003E2C14" w:rsidRPr="00BF7211" w:rsidRDefault="00D63216" w:rsidP="00BF7211">
      <w:r>
        <w:t xml:space="preserve">Further </w:t>
      </w:r>
      <w:r w:rsidR="00850D17">
        <w:t>investigation</w:t>
      </w:r>
      <w:r>
        <w:t xml:space="preserve"> of this theory</w:t>
      </w:r>
      <w:r w:rsidR="001A1847">
        <w:t>, which lies outside the scope of this report,</w:t>
      </w:r>
      <w:r>
        <w:t xml:space="preserve"> </w:t>
      </w:r>
      <w:r w:rsidR="00F67EB3">
        <w:t xml:space="preserve">is required, but </w:t>
      </w:r>
      <w:r w:rsidR="001A1847">
        <w:t>failure to account for magnetic declination, and measurement by compass, may account for the misalignment of Milton Keynes.</w:t>
      </w:r>
    </w:p>
    <w:p w14:paraId="67D16E35" w14:textId="687DC67C" w:rsidR="00980207" w:rsidRDefault="00980207" w:rsidP="00980207">
      <w:pPr>
        <w:pStyle w:val="Heading1"/>
      </w:pPr>
      <w:r>
        <w:t>Conclusion</w:t>
      </w:r>
    </w:p>
    <w:p w14:paraId="54B7C9C2" w14:textId="4D1CB73F" w:rsidR="00980207" w:rsidRPr="00D70088" w:rsidRDefault="005F3A65" w:rsidP="00E23BB2">
      <w:r>
        <w:t>Milton Keynes in the United Kingdom is a ‘new town’, designed for economic utility via an orthogonal grid. Lock</w:t>
      </w:r>
      <w:r w:rsidR="00CF55DF">
        <w:t xml:space="preserve"> </w:t>
      </w:r>
      <w:r>
        <w:t>described the spaces created by the V and H roads provided by the grid as neutral</w:t>
      </w:r>
      <w:r w:rsidR="008F0E18">
        <w:t xml:space="preserve"> and democratic, suggesting a view of space as homogenous</w:t>
      </w:r>
      <w:r>
        <w:t>. Tilley identifies a shift in paradigm by town planners from recognising space as homogenous and neutral to recognising it as place with human agency coincident with Milton Keynes’s development. Newspaper articles and media have noted that Midsummer Boulevard, the centre of the orthogonal grid in Milton Keynes</w:t>
      </w:r>
      <w:r w:rsidR="00DE42E4">
        <w:t xml:space="preserve"> </w:t>
      </w:r>
      <w:r>
        <w:t>is aligned to the Summer solstice sunrise.</w:t>
      </w:r>
      <w:r w:rsidR="00DE42E4">
        <w:t xml:space="preserve"> The architects of Milton Keynes describe planning and designing the roads before considering buildings, suggesting Milton Keynes itself is aligned toward the Summer solstice sunrise, or designed around it.</w:t>
      </w:r>
      <w:r>
        <w:t xml:space="preserve"> </w:t>
      </w:r>
      <w:r w:rsidR="00CF55DF">
        <w:t>The</w:t>
      </w:r>
      <w:r w:rsidR="00417321">
        <w:t xml:space="preserve"> architects describe how the</w:t>
      </w:r>
      <w:r w:rsidR="00CF55DF">
        <w:t xml:space="preserve"> planned alignment of Midsummer Boulevard, and subsequent naming of the V and H roads, </w:t>
      </w:r>
      <w:r w:rsidR="00E662CB">
        <w:t xml:space="preserve">was to connect to English past and evoke cultural </w:t>
      </w:r>
      <w:r w:rsidR="00E662CB">
        <w:lastRenderedPageBreak/>
        <w:t>conn</w:t>
      </w:r>
      <w:r w:rsidR="00A51BC5">
        <w:t>otations</w:t>
      </w:r>
      <w:r w:rsidR="00CF55DF">
        <w:t xml:space="preserve">, evidencing Tilley’s suggestion </w:t>
      </w:r>
      <w:r w:rsidR="000C78FE">
        <w:t>that</w:t>
      </w:r>
      <w:r w:rsidR="00CF55DF">
        <w:t xml:space="preserve"> naming </w:t>
      </w:r>
      <w:r w:rsidR="000C78FE">
        <w:t>of space provides</w:t>
      </w:r>
      <w:r w:rsidR="00CF55DF">
        <w:t xml:space="preserve"> cultural connection</w:t>
      </w:r>
      <w:r w:rsidR="000C78FE">
        <w:t xml:space="preserve"> transforming it into experiential place</w:t>
      </w:r>
      <w:r w:rsidR="00CF55DF">
        <w:t>. Milton Keynes’s planners admit realigning an originally proposed grid so that it would align to the Summer solstice sunrise for</w:t>
      </w:r>
      <w:r w:rsidR="00287F61">
        <w:t xml:space="preserve"> similar</w:t>
      </w:r>
      <w:r w:rsidR="00CF55DF">
        <w:t xml:space="preserve"> cultural significance, particularly to connect to England’s history. Barkham described</w:t>
      </w:r>
      <w:r w:rsidR="007F75AC">
        <w:t xml:space="preserve"> the planners as having consulted Greenwich to get the orientation degree</w:t>
      </w:r>
      <w:r w:rsidR="00CF55DF">
        <w:t xml:space="preserve"> of midsummer sunrise</w:t>
      </w:r>
      <w:r w:rsidR="007F75AC">
        <w:t xml:space="preserve">, and Higgs describes them as measuring it experientially </w:t>
      </w:r>
      <w:r w:rsidR="00BB68BB">
        <w:t>by eye</w:t>
      </w:r>
      <w:r w:rsidR="00CF55DF">
        <w:t>, with both reporting that an accurate alignment exists</w:t>
      </w:r>
      <w:r w:rsidR="00BB68BB">
        <w:t>.</w:t>
      </w:r>
      <w:r>
        <w:t xml:space="preserve"> </w:t>
      </w:r>
      <w:r w:rsidR="00772715">
        <w:t>However, measurement of the site demonstrates that the orientation of Midsummer Boulevard is misaligned from Summer solstice sunrise by circa 7.75º, demonstrating that Milton Keynes is in fact not aligned</w:t>
      </w:r>
      <w:r w:rsidR="00F445B3">
        <w:t xml:space="preserve"> </w:t>
      </w:r>
      <w:r w:rsidR="00162E30">
        <w:t xml:space="preserve">to midsummer sunrise as reporters and </w:t>
      </w:r>
      <w:r w:rsidR="00F445B3">
        <w:t xml:space="preserve">the architects </w:t>
      </w:r>
      <w:r w:rsidR="00162E30">
        <w:t>had suggested</w:t>
      </w:r>
      <w:r w:rsidR="00E23BB2">
        <w:t xml:space="preserve">. </w:t>
      </w:r>
      <w:r w:rsidR="00313A07">
        <w:t>One theory for the misalignment may be evidenced from the fact that the</w:t>
      </w:r>
      <w:r w:rsidR="00E23BB2">
        <w:t xml:space="preserve"> figure of 7.75º is</w:t>
      </w:r>
      <w:r w:rsidR="00772715">
        <w:t xml:space="preserve"> close to the magnetic decli</w:t>
      </w:r>
      <w:r w:rsidR="00313A07">
        <w:t xml:space="preserve">nation of Milton Keynes in 1970, suggesting </w:t>
      </w:r>
      <w:r w:rsidR="00772715">
        <w:t xml:space="preserve">that the builders </w:t>
      </w:r>
      <w:r w:rsidR="00313A07">
        <w:t xml:space="preserve">may have </w:t>
      </w:r>
      <w:r w:rsidR="00772715">
        <w:t>used a compass to orient Midsummer Boulevard to information given by Greenwich Observatory, as B</w:t>
      </w:r>
      <w:r w:rsidR="00162E30">
        <w:t>arkham reported</w:t>
      </w:r>
      <w:r w:rsidR="00772715">
        <w:t>, but overlooked accounting for magnetic declination</w:t>
      </w:r>
      <w:r w:rsidR="00E23BB2">
        <w:t xml:space="preserve">. </w:t>
      </w:r>
      <w:r w:rsidR="0034003E">
        <w:t xml:space="preserve">The lack of accurate alignment </w:t>
      </w:r>
      <w:r w:rsidR="00632516">
        <w:t xml:space="preserve">may </w:t>
      </w:r>
      <w:r w:rsidR="00E23BB2">
        <w:t xml:space="preserve">betray the fact the </w:t>
      </w:r>
      <w:r w:rsidR="00632516">
        <w:t xml:space="preserve">transformation of </w:t>
      </w:r>
      <w:r w:rsidR="00E23BB2">
        <w:t xml:space="preserve">homogenous space to experiential place </w:t>
      </w:r>
      <w:r w:rsidR="00632516">
        <w:t xml:space="preserve">occurred late in development, </w:t>
      </w:r>
      <w:r w:rsidR="00474413">
        <w:t xml:space="preserve">coincident with Tilley’s timeframe for such a paradigm shift, </w:t>
      </w:r>
      <w:r w:rsidR="00632516">
        <w:t xml:space="preserve">and </w:t>
      </w:r>
      <w:r w:rsidR="00E23BB2">
        <w:t>was not a</w:t>
      </w:r>
      <w:r w:rsidR="00632516">
        <w:t>n initial</w:t>
      </w:r>
      <w:r w:rsidR="00E23BB2">
        <w:t xml:space="preserve"> priority</w:t>
      </w:r>
      <w:r w:rsidR="00632516">
        <w:t xml:space="preserve"> by the planners of Milton Keynes</w:t>
      </w:r>
      <w:r w:rsidR="0034003E">
        <w:t>, further e</w:t>
      </w:r>
      <w:r w:rsidR="002F182D">
        <w:t>v</w:t>
      </w:r>
      <w:r w:rsidR="00E23BB2">
        <w:t xml:space="preserve">idence of which may be seen by </w:t>
      </w:r>
      <w:r w:rsidR="00CF55DF">
        <w:t xml:space="preserve">Higgs’s comment that Milton Keynes </w:t>
      </w:r>
      <w:r w:rsidR="003E0ED5">
        <w:t>seems more</w:t>
      </w:r>
      <w:r w:rsidR="00CF55DF">
        <w:t xml:space="preserve"> concerned with cars than people.</w:t>
      </w:r>
      <w:r w:rsidR="00E23BB2">
        <w:t xml:space="preserve"> Milton Keynes plan was, therefore, adjusted </w:t>
      </w:r>
      <w:r w:rsidR="00F16368">
        <w:t>to allow for</w:t>
      </w:r>
      <w:r w:rsidR="00E23BB2">
        <w:t xml:space="preserve"> </w:t>
      </w:r>
      <w:r w:rsidR="00DC1E2F">
        <w:t xml:space="preserve">midsummer solstice alignment to help confer a sense of place and connect to English history, but </w:t>
      </w:r>
      <w:r w:rsidR="002A30AA">
        <w:t>appears</w:t>
      </w:r>
      <w:r w:rsidR="00DC1E2F">
        <w:t xml:space="preserve"> not </w:t>
      </w:r>
      <w:r w:rsidR="002A30AA">
        <w:t xml:space="preserve">to </w:t>
      </w:r>
      <w:r w:rsidR="00DC1E2F">
        <w:t xml:space="preserve">have been a priority, </w:t>
      </w:r>
      <w:r w:rsidR="004A04C5">
        <w:t xml:space="preserve">as evidenced from a </w:t>
      </w:r>
      <w:r w:rsidR="005953E2">
        <w:t>fail</w:t>
      </w:r>
      <w:r w:rsidR="004A04C5">
        <w:t>ure to align accurately</w:t>
      </w:r>
      <w:r w:rsidR="002A30AA">
        <w:t xml:space="preserve">, with Milton Keynes misaligned from midsummer sunrise by </w:t>
      </w:r>
      <w:r w:rsidR="002E3059">
        <w:t>approximately</w:t>
      </w:r>
      <w:r w:rsidR="002A30AA">
        <w:t xml:space="preserve"> 7.75º</w:t>
      </w:r>
      <w:r w:rsidR="00DC1E2F">
        <w:t xml:space="preserve">. </w:t>
      </w:r>
    </w:p>
    <w:p w14:paraId="68F0F7A2" w14:textId="77777777" w:rsidR="00A85068" w:rsidRDefault="00A85068" w:rsidP="005A70E7"/>
    <w:p w14:paraId="4F17E0AB" w14:textId="77777777" w:rsidR="00A46FFE" w:rsidRDefault="00A46FFE" w:rsidP="005A70E7"/>
    <w:p w14:paraId="6212DB75" w14:textId="77777777" w:rsidR="00A46FFE" w:rsidRDefault="00A46FFE" w:rsidP="005A70E7"/>
    <w:p w14:paraId="087A0175" w14:textId="77777777" w:rsidR="00A46FFE" w:rsidRDefault="00A46FFE" w:rsidP="005A70E7"/>
    <w:p w14:paraId="4B9692D6" w14:textId="77777777" w:rsidR="00A46FFE" w:rsidRDefault="00A46FFE" w:rsidP="005A70E7"/>
    <w:p w14:paraId="6A8BF175" w14:textId="77777777" w:rsidR="00A46FFE" w:rsidRDefault="00A46FFE" w:rsidP="005A70E7"/>
    <w:p w14:paraId="15BB0DEB" w14:textId="77777777" w:rsidR="00A46FFE" w:rsidRDefault="00A46FFE" w:rsidP="005A70E7"/>
    <w:p w14:paraId="44119FE0" w14:textId="77777777" w:rsidR="00A46FFE" w:rsidRDefault="00A46FFE" w:rsidP="005A70E7"/>
    <w:p w14:paraId="699D9841" w14:textId="7EE19692" w:rsidR="003F07C4" w:rsidRDefault="00B7693F" w:rsidP="005A70E7">
      <w:pPr>
        <w:pStyle w:val="Heading1"/>
      </w:pPr>
      <w:r>
        <w:lastRenderedPageBreak/>
        <w:t>Bibliography</w:t>
      </w:r>
      <w:r w:rsidR="003F07C4" w:rsidRPr="003F07C4">
        <w:t xml:space="preserve"> </w:t>
      </w:r>
    </w:p>
    <w:p w14:paraId="0CB190B6" w14:textId="2F5A5C2C" w:rsidR="003F07C4" w:rsidRPr="00D36F39" w:rsidRDefault="003F07C4" w:rsidP="00D36F39">
      <w:pPr>
        <w:pStyle w:val="Heading2"/>
      </w:pPr>
      <w:r w:rsidRPr="00D36F39">
        <w:t>Primary Sources</w:t>
      </w:r>
    </w:p>
    <w:p w14:paraId="0641889D" w14:textId="44279F6F" w:rsidR="00A23D64" w:rsidRPr="00C31F19" w:rsidRDefault="00A23D64" w:rsidP="00A23D64">
      <w:pPr>
        <w:rPr>
          <w:sz w:val="22"/>
          <w:szCs w:val="22"/>
        </w:rPr>
      </w:pPr>
      <w:r w:rsidRPr="00C31F19">
        <w:rPr>
          <w:sz w:val="22"/>
          <w:szCs w:val="22"/>
        </w:rPr>
        <w:t xml:space="preserve">Heathcote, Edwin, </w:t>
      </w:r>
      <w:r w:rsidRPr="00C31F19">
        <w:rPr>
          <w:i/>
          <w:sz w:val="22"/>
          <w:szCs w:val="22"/>
        </w:rPr>
        <w:t>Milton Keynes: curio from the past or model for the future?</w:t>
      </w:r>
      <w:r w:rsidRPr="00C31F19">
        <w:rPr>
          <w:sz w:val="22"/>
          <w:szCs w:val="22"/>
        </w:rPr>
        <w:t xml:space="preserve">, FT Magazine Architecture, Financial Times, </w:t>
      </w:r>
      <w:hyperlink r:id="rId14" w:history="1">
        <w:r w:rsidRPr="00C31F19">
          <w:rPr>
            <w:sz w:val="22"/>
            <w:szCs w:val="22"/>
          </w:rPr>
          <w:t>https://www.ft.com/content/d5f8a830-3a1a-11e9-b72b-2c7f526ca5d0</w:t>
        </w:r>
      </w:hyperlink>
      <w:r w:rsidRPr="00C31F19">
        <w:rPr>
          <w:sz w:val="22"/>
          <w:szCs w:val="22"/>
        </w:rPr>
        <w:t>, [accessed May 21st 2019]</w:t>
      </w:r>
      <w:r w:rsidR="002F45BA" w:rsidRPr="00C31F19">
        <w:rPr>
          <w:sz w:val="22"/>
          <w:szCs w:val="22"/>
        </w:rPr>
        <w:t>.</w:t>
      </w:r>
    </w:p>
    <w:p w14:paraId="18D5C361" w14:textId="77777777" w:rsidR="00A23D64" w:rsidRPr="00C31F19" w:rsidRDefault="00A23D64" w:rsidP="005A70E7">
      <w:pPr>
        <w:rPr>
          <w:i/>
          <w:sz w:val="22"/>
          <w:szCs w:val="22"/>
        </w:rPr>
      </w:pPr>
    </w:p>
    <w:p w14:paraId="35B3A71F" w14:textId="160A3059" w:rsidR="003F07C4" w:rsidRPr="00C31F19" w:rsidRDefault="000E27D7" w:rsidP="005A70E7">
      <w:pPr>
        <w:rPr>
          <w:sz w:val="22"/>
          <w:szCs w:val="22"/>
        </w:rPr>
      </w:pPr>
      <w:r w:rsidRPr="00C31F19">
        <w:rPr>
          <w:i/>
          <w:sz w:val="22"/>
          <w:szCs w:val="22"/>
        </w:rPr>
        <w:t>The Story of the Original CMK</w:t>
      </w:r>
      <w:r w:rsidRPr="00C31F19">
        <w:rPr>
          <w:sz w:val="22"/>
          <w:szCs w:val="22"/>
        </w:rPr>
        <w:t>, ed. by Marion Hill, (Milton Keynes: Living Archive, 2007).</w:t>
      </w:r>
    </w:p>
    <w:p w14:paraId="39EDF898" w14:textId="77777777" w:rsidR="008D7C71" w:rsidRPr="00C31F19" w:rsidRDefault="008D7C71" w:rsidP="005A70E7">
      <w:pPr>
        <w:rPr>
          <w:sz w:val="22"/>
          <w:szCs w:val="22"/>
        </w:rPr>
      </w:pPr>
    </w:p>
    <w:p w14:paraId="12B56867" w14:textId="31D143ED" w:rsidR="008D7C71" w:rsidRPr="00C31F19" w:rsidRDefault="008D7C71" w:rsidP="005A70E7">
      <w:pPr>
        <w:rPr>
          <w:sz w:val="22"/>
          <w:szCs w:val="22"/>
        </w:rPr>
      </w:pPr>
      <w:r w:rsidRPr="00C31F19">
        <w:rPr>
          <w:sz w:val="22"/>
          <w:szCs w:val="22"/>
        </w:rPr>
        <w:t xml:space="preserve">Walker, Derek, </w:t>
      </w:r>
      <w:r w:rsidRPr="00C31F19">
        <w:rPr>
          <w:i/>
          <w:sz w:val="22"/>
          <w:szCs w:val="22"/>
        </w:rPr>
        <w:t xml:space="preserve">The Architecture and Planning of Milton Keynes, </w:t>
      </w:r>
      <w:r w:rsidRPr="00C31F19">
        <w:rPr>
          <w:sz w:val="22"/>
          <w:szCs w:val="22"/>
        </w:rPr>
        <w:t xml:space="preserve">introduction by Steen Eiler Rasmussen, </w:t>
      </w:r>
      <w:r w:rsidR="00CC656E" w:rsidRPr="00C31F19">
        <w:rPr>
          <w:sz w:val="22"/>
          <w:szCs w:val="22"/>
        </w:rPr>
        <w:t>(Architectural Press, 1982)</w:t>
      </w:r>
      <w:r w:rsidR="002F45BA" w:rsidRPr="00C31F19">
        <w:rPr>
          <w:sz w:val="22"/>
          <w:szCs w:val="22"/>
        </w:rPr>
        <w:t>.</w:t>
      </w:r>
    </w:p>
    <w:p w14:paraId="24C433F6" w14:textId="77777777" w:rsidR="000E27D7" w:rsidRPr="003F07C4" w:rsidRDefault="000E27D7" w:rsidP="005A70E7">
      <w:pPr>
        <w:rPr>
          <w:lang w:val="en-US"/>
        </w:rPr>
      </w:pPr>
    </w:p>
    <w:p w14:paraId="7A5EF71C" w14:textId="747E128D" w:rsidR="00681073" w:rsidRDefault="003F07C4" w:rsidP="00681073">
      <w:pPr>
        <w:pStyle w:val="Heading2"/>
      </w:pPr>
      <w:r>
        <w:t>Secondary Sources</w:t>
      </w:r>
      <w:r w:rsidR="00681073" w:rsidRPr="00681073">
        <w:t xml:space="preserve"> </w:t>
      </w:r>
    </w:p>
    <w:p w14:paraId="747602C8" w14:textId="14104325" w:rsidR="00A46FFE" w:rsidRPr="00C31F19" w:rsidRDefault="00A46FFE" w:rsidP="00A46FFE">
      <w:pPr>
        <w:rPr>
          <w:rFonts w:eastAsia="Times New Roman"/>
          <w:sz w:val="22"/>
          <w:szCs w:val="22"/>
        </w:rPr>
      </w:pPr>
      <w:r w:rsidRPr="00C31F19">
        <w:rPr>
          <w:sz w:val="22"/>
          <w:szCs w:val="22"/>
        </w:rPr>
        <w:t xml:space="preserve">Barkham, Patrick, </w:t>
      </w:r>
      <w:r w:rsidRPr="00C31F19">
        <w:rPr>
          <w:i/>
          <w:sz w:val="22"/>
          <w:szCs w:val="22"/>
        </w:rPr>
        <w:t>Story of cities #34: the struggle for the soul of Milton Keynes</w:t>
      </w:r>
      <w:r w:rsidRPr="00C31F19">
        <w:rPr>
          <w:sz w:val="22"/>
          <w:szCs w:val="22"/>
        </w:rPr>
        <w:t>, The Guardian, 3</w:t>
      </w:r>
      <w:r w:rsidRPr="00C31F19">
        <w:rPr>
          <w:sz w:val="22"/>
          <w:szCs w:val="22"/>
          <w:vertAlign w:val="superscript"/>
        </w:rPr>
        <w:t>rd</w:t>
      </w:r>
      <w:r w:rsidRPr="00C31F19">
        <w:rPr>
          <w:sz w:val="22"/>
          <w:szCs w:val="22"/>
        </w:rPr>
        <w:t xml:space="preserve"> May 2016, </w:t>
      </w:r>
      <w:hyperlink r:id="rId15" w:history="1">
        <w:r w:rsidRPr="00C31F19">
          <w:rPr>
            <w:rStyle w:val="Hyperlink"/>
            <w:rFonts w:eastAsia="Times New Roman"/>
            <w:sz w:val="22"/>
            <w:szCs w:val="22"/>
          </w:rPr>
          <w:t>https://www.theguardian.com/cities/2016/may/03/struggle-for-the-soul-of-milton-keynes</w:t>
        </w:r>
      </w:hyperlink>
      <w:r w:rsidRPr="00C31F19">
        <w:rPr>
          <w:rFonts w:eastAsia="Times New Roman"/>
          <w:sz w:val="22"/>
          <w:szCs w:val="22"/>
        </w:rPr>
        <w:t>, [accessed 12</w:t>
      </w:r>
      <w:r w:rsidRPr="00C31F19">
        <w:rPr>
          <w:rFonts w:eastAsia="Times New Roman"/>
          <w:sz w:val="22"/>
          <w:szCs w:val="22"/>
          <w:vertAlign w:val="superscript"/>
        </w:rPr>
        <w:t>th</w:t>
      </w:r>
      <w:r w:rsidRPr="00C31F19">
        <w:rPr>
          <w:rFonts w:eastAsia="Times New Roman"/>
          <w:sz w:val="22"/>
          <w:szCs w:val="22"/>
        </w:rPr>
        <w:t xml:space="preserve"> June 2019]</w:t>
      </w:r>
      <w:r w:rsidR="003007D5" w:rsidRPr="00C31F19">
        <w:rPr>
          <w:rFonts w:eastAsia="Times New Roman"/>
          <w:sz w:val="22"/>
          <w:szCs w:val="22"/>
        </w:rPr>
        <w:t>.</w:t>
      </w:r>
    </w:p>
    <w:p w14:paraId="6922EF03" w14:textId="77777777" w:rsidR="00A46FFE" w:rsidRPr="00C31F19" w:rsidRDefault="00A46FFE" w:rsidP="00A46FFE">
      <w:pPr>
        <w:rPr>
          <w:sz w:val="22"/>
          <w:szCs w:val="22"/>
          <w:lang w:val="en-US"/>
        </w:rPr>
      </w:pPr>
    </w:p>
    <w:p w14:paraId="358AC607" w14:textId="602678B8" w:rsidR="00681073" w:rsidRPr="00C31F19" w:rsidRDefault="00681073" w:rsidP="00681073">
      <w:pPr>
        <w:rPr>
          <w:sz w:val="22"/>
          <w:szCs w:val="22"/>
        </w:rPr>
      </w:pPr>
      <w:r w:rsidRPr="00C31F19">
        <w:rPr>
          <w:sz w:val="22"/>
          <w:szCs w:val="22"/>
        </w:rPr>
        <w:t xml:space="preserve">Higgs, John, </w:t>
      </w:r>
      <w:r w:rsidRPr="00C31F19">
        <w:rPr>
          <w:i/>
          <w:sz w:val="22"/>
          <w:szCs w:val="22"/>
        </w:rPr>
        <w:t>Watling Street: Travels through Britain and Its Ever-Present Past</w:t>
      </w:r>
      <w:r w:rsidRPr="00C31F19">
        <w:rPr>
          <w:sz w:val="22"/>
          <w:szCs w:val="22"/>
        </w:rPr>
        <w:t xml:space="preserve">, (Weidenfeld &amp; Nicolson, 2017). </w:t>
      </w:r>
    </w:p>
    <w:p w14:paraId="27DBB97C" w14:textId="77777777" w:rsidR="00681073" w:rsidRPr="00C31F19" w:rsidRDefault="00681073" w:rsidP="00681073">
      <w:pPr>
        <w:pStyle w:val="FootnoteText"/>
        <w:rPr>
          <w:sz w:val="22"/>
          <w:szCs w:val="22"/>
        </w:rPr>
      </w:pPr>
    </w:p>
    <w:p w14:paraId="336793B4" w14:textId="77777777" w:rsidR="00681073" w:rsidRPr="00C31F19" w:rsidRDefault="00681073" w:rsidP="00681073">
      <w:pPr>
        <w:pStyle w:val="FootnoteText"/>
        <w:rPr>
          <w:sz w:val="22"/>
          <w:szCs w:val="22"/>
        </w:rPr>
      </w:pPr>
    </w:p>
    <w:p w14:paraId="283AD805" w14:textId="3EF21B3D" w:rsidR="00681073" w:rsidRPr="00C31F19" w:rsidRDefault="00681073" w:rsidP="00681073">
      <w:pPr>
        <w:rPr>
          <w:sz w:val="22"/>
          <w:szCs w:val="22"/>
        </w:rPr>
      </w:pPr>
      <w:r w:rsidRPr="00C31F19">
        <w:rPr>
          <w:sz w:val="22"/>
          <w:szCs w:val="22"/>
        </w:rPr>
        <w:t xml:space="preserve">Holland, Tom, </w:t>
      </w:r>
      <w:r w:rsidRPr="00C31F19">
        <w:rPr>
          <w:i/>
          <w:sz w:val="22"/>
          <w:szCs w:val="22"/>
        </w:rPr>
        <w:t>Pilgrimage, Overseas cricketers, How the ancients helped build Milton Keynes</w:t>
      </w:r>
      <w:r w:rsidRPr="00C31F19">
        <w:rPr>
          <w:sz w:val="22"/>
          <w:szCs w:val="22"/>
        </w:rPr>
        <w:t>, Making History, BBC Radio 4, 26 June 2018, podcast, [accessed 15</w:t>
      </w:r>
      <w:r w:rsidRPr="00C31F19">
        <w:rPr>
          <w:sz w:val="22"/>
          <w:szCs w:val="22"/>
          <w:vertAlign w:val="superscript"/>
        </w:rPr>
        <w:t>th</w:t>
      </w:r>
      <w:r w:rsidRPr="00C31F19">
        <w:rPr>
          <w:sz w:val="22"/>
          <w:szCs w:val="22"/>
        </w:rPr>
        <w:t xml:space="preserve"> June 2019].</w:t>
      </w:r>
    </w:p>
    <w:p w14:paraId="581AE4C7" w14:textId="6F70CFAC" w:rsidR="003F07C4" w:rsidRPr="00C31F19" w:rsidRDefault="003F07C4" w:rsidP="00D36F39">
      <w:pPr>
        <w:pStyle w:val="Heading2"/>
        <w:rPr>
          <w:sz w:val="22"/>
          <w:szCs w:val="22"/>
        </w:rPr>
      </w:pPr>
    </w:p>
    <w:p w14:paraId="5C8CA458" w14:textId="5EA3308F" w:rsidR="00996B0D" w:rsidRPr="00C31F19" w:rsidRDefault="00D36F39" w:rsidP="00681073">
      <w:pPr>
        <w:rPr>
          <w:sz w:val="22"/>
          <w:szCs w:val="22"/>
        </w:rPr>
      </w:pPr>
      <w:r w:rsidRPr="00C31F19">
        <w:rPr>
          <w:sz w:val="22"/>
          <w:szCs w:val="22"/>
        </w:rPr>
        <w:t xml:space="preserve">Magnetic Declination Estimated Value, </w:t>
      </w:r>
      <w:hyperlink r:id="rId16" w:anchor="declination" w:history="1">
        <w:r w:rsidRPr="00C31F19">
          <w:rPr>
            <w:rStyle w:val="Hyperlink"/>
            <w:sz w:val="22"/>
            <w:szCs w:val="22"/>
          </w:rPr>
          <w:t>https://www.ngdc.noaa.gov/geomag/calculators/magcalc.shtml#declination</w:t>
        </w:r>
      </w:hyperlink>
      <w:r w:rsidRPr="00C31F19">
        <w:rPr>
          <w:sz w:val="22"/>
          <w:szCs w:val="22"/>
        </w:rPr>
        <w:t>, (accessed 20-23rd June 2019)</w:t>
      </w:r>
      <w:r w:rsidR="00DF0CA7" w:rsidRPr="00C31F19">
        <w:rPr>
          <w:sz w:val="22"/>
          <w:szCs w:val="22"/>
        </w:rPr>
        <w:t>.</w:t>
      </w:r>
    </w:p>
    <w:p w14:paraId="79F7AC33" w14:textId="77777777" w:rsidR="000B6EAC" w:rsidRPr="00C31F19" w:rsidRDefault="000B6EAC" w:rsidP="005A70E7">
      <w:pPr>
        <w:rPr>
          <w:sz w:val="22"/>
          <w:szCs w:val="22"/>
        </w:rPr>
      </w:pPr>
    </w:p>
    <w:p w14:paraId="405AD59F" w14:textId="6786A058" w:rsidR="00C31F19" w:rsidRPr="00C31F19" w:rsidRDefault="000B6EAC" w:rsidP="00C31F19">
      <w:pPr>
        <w:rPr>
          <w:sz w:val="22"/>
          <w:szCs w:val="22"/>
        </w:rPr>
      </w:pPr>
      <w:r w:rsidRPr="00C31F19">
        <w:rPr>
          <w:sz w:val="22"/>
          <w:szCs w:val="22"/>
        </w:rPr>
        <w:t xml:space="preserve">Tilley, Christopher, </w:t>
      </w:r>
      <w:r w:rsidRPr="00C31F19">
        <w:rPr>
          <w:i/>
          <w:sz w:val="22"/>
          <w:szCs w:val="22"/>
        </w:rPr>
        <w:t>A Phenomenology of Landscape: Places, Paths, and Monuments, Explorations in Anthropology,</w:t>
      </w:r>
      <w:r w:rsidRPr="00C31F19">
        <w:rPr>
          <w:sz w:val="22"/>
          <w:szCs w:val="22"/>
        </w:rPr>
        <w:t xml:space="preserve"> (Berg, 1994).</w:t>
      </w:r>
    </w:p>
    <w:p w14:paraId="77C1F951" w14:textId="77777777" w:rsidR="00C31F19" w:rsidRDefault="00C31F19" w:rsidP="005A70E7">
      <w:pPr>
        <w:pStyle w:val="Heading1"/>
      </w:pPr>
    </w:p>
    <w:p w14:paraId="32C23CFE" w14:textId="77777777" w:rsidR="00C31F19" w:rsidRPr="00C31F19" w:rsidRDefault="00C31F19" w:rsidP="00C31F19"/>
    <w:p w14:paraId="7F72CB45" w14:textId="2DF81833" w:rsidR="005A70E7" w:rsidRDefault="005A70E7" w:rsidP="005A70E7">
      <w:pPr>
        <w:pStyle w:val="Heading1"/>
      </w:pPr>
      <w:r>
        <w:lastRenderedPageBreak/>
        <w:t>Table of Images</w:t>
      </w:r>
      <w:r w:rsidRPr="003F07C4">
        <w:t xml:space="preserve"> </w:t>
      </w:r>
    </w:p>
    <w:p w14:paraId="03DCD218" w14:textId="3ADB6D1C" w:rsidR="003640E3" w:rsidRPr="00593673" w:rsidRDefault="009A4D6E" w:rsidP="005A70E7">
      <w:pPr>
        <w:rPr>
          <w:i/>
          <w:sz w:val="22"/>
          <w:szCs w:val="22"/>
        </w:rPr>
      </w:pPr>
      <w:r w:rsidRPr="00593673">
        <w:rPr>
          <w:i/>
          <w:sz w:val="22"/>
          <w:szCs w:val="22"/>
        </w:rPr>
        <w:t>(All images taken by</w:t>
      </w:r>
      <w:r w:rsidR="005A70E7" w:rsidRPr="00593673">
        <w:rPr>
          <w:i/>
          <w:sz w:val="22"/>
          <w:szCs w:val="22"/>
        </w:rPr>
        <w:t xml:space="preserve"> Paul Kiernan</w:t>
      </w:r>
      <w:r w:rsidR="0011296F" w:rsidRPr="00593673">
        <w:rPr>
          <w:i/>
          <w:sz w:val="22"/>
          <w:szCs w:val="22"/>
        </w:rPr>
        <w:t>, using an iPhone 7</w:t>
      </w:r>
      <w:r w:rsidR="00B92972">
        <w:rPr>
          <w:i/>
          <w:sz w:val="22"/>
          <w:szCs w:val="22"/>
        </w:rPr>
        <w:t>,</w:t>
      </w:r>
      <w:r w:rsidRPr="00593673">
        <w:rPr>
          <w:i/>
          <w:sz w:val="22"/>
          <w:szCs w:val="22"/>
        </w:rPr>
        <w:t xml:space="preserve"> 12MP camera</w:t>
      </w:r>
      <w:r w:rsidR="005A70E7" w:rsidRPr="00593673">
        <w:rPr>
          <w:i/>
          <w:sz w:val="22"/>
          <w:szCs w:val="22"/>
        </w:rPr>
        <w:t>)</w:t>
      </w:r>
    </w:p>
    <w:p w14:paraId="17261FB0" w14:textId="77777777" w:rsidR="003640E3" w:rsidRPr="003640E3" w:rsidRDefault="003640E3" w:rsidP="003640E3"/>
    <w:p w14:paraId="1EE8C9D2" w14:textId="77777777" w:rsidR="003640E3" w:rsidRDefault="003640E3">
      <w:pPr>
        <w:pStyle w:val="TableofFigures"/>
        <w:tabs>
          <w:tab w:val="right" w:leader="dot" w:pos="9010"/>
        </w:tabs>
        <w:rPr>
          <w:rFonts w:asciiTheme="minorHAnsi" w:eastAsiaTheme="minorEastAsia" w:hAnsiTheme="minorHAnsi" w:cstheme="minorBidi"/>
          <w:noProof/>
          <w:sz w:val="24"/>
          <w:szCs w:val="24"/>
          <w:lang w:eastAsia="en-GB"/>
        </w:rPr>
      </w:pPr>
      <w:r>
        <w:fldChar w:fldCharType="begin"/>
      </w:r>
      <w:r>
        <w:instrText xml:space="preserve"> TOC \n \p " " \c "Figure" </w:instrText>
      </w:r>
      <w:r>
        <w:fldChar w:fldCharType="separate"/>
      </w:r>
      <w:r>
        <w:rPr>
          <w:noProof/>
        </w:rPr>
        <w:t>Figure 1. Pathway extending from Midsummer Boulevard through Campbell Park, ending at The Light Pyramid in the distance. Taken from the North-East end of Midsummer Boulevard.</w:t>
      </w:r>
    </w:p>
    <w:p w14:paraId="639341FF" w14:textId="77777777" w:rsidR="003640E3" w:rsidRDefault="003640E3">
      <w:pPr>
        <w:pStyle w:val="TableofFigures"/>
        <w:tabs>
          <w:tab w:val="right" w:leader="dot" w:pos="9010"/>
        </w:tabs>
        <w:rPr>
          <w:rFonts w:asciiTheme="minorHAnsi" w:eastAsiaTheme="minorEastAsia" w:hAnsiTheme="minorHAnsi" w:cstheme="minorBidi"/>
          <w:noProof/>
          <w:sz w:val="24"/>
          <w:szCs w:val="24"/>
          <w:lang w:eastAsia="en-GB"/>
        </w:rPr>
      </w:pPr>
      <w:r>
        <w:rPr>
          <w:noProof/>
        </w:rPr>
        <w:t>Figure 2. The Light Pyramid (600cm high x 300cm diameter base, designed by Liliane Lijn) seen positioned on the man-made 'Belvedere' hill in Campbell Park.</w:t>
      </w:r>
    </w:p>
    <w:p w14:paraId="2357C322" w14:textId="77777777" w:rsidR="003640E3" w:rsidRDefault="003640E3">
      <w:pPr>
        <w:pStyle w:val="TableofFigures"/>
        <w:tabs>
          <w:tab w:val="right" w:leader="dot" w:pos="9010"/>
        </w:tabs>
        <w:rPr>
          <w:rFonts w:asciiTheme="minorHAnsi" w:eastAsiaTheme="minorEastAsia" w:hAnsiTheme="minorHAnsi" w:cstheme="minorBidi"/>
          <w:noProof/>
          <w:sz w:val="24"/>
          <w:szCs w:val="24"/>
          <w:lang w:eastAsia="en-GB"/>
        </w:rPr>
      </w:pPr>
      <w:r>
        <w:rPr>
          <w:noProof/>
        </w:rPr>
        <w:t>Figure 3. First rays of sunrise, measured at 49º azimuth, Campbell Park, 21/6/19.</w:t>
      </w:r>
    </w:p>
    <w:p w14:paraId="78E5AD9D" w14:textId="77777777" w:rsidR="003640E3" w:rsidRDefault="003640E3">
      <w:pPr>
        <w:pStyle w:val="TableofFigures"/>
        <w:tabs>
          <w:tab w:val="right" w:leader="dot" w:pos="9010"/>
        </w:tabs>
        <w:rPr>
          <w:rFonts w:asciiTheme="minorHAnsi" w:eastAsiaTheme="minorEastAsia" w:hAnsiTheme="minorHAnsi" w:cstheme="minorBidi"/>
          <w:noProof/>
          <w:sz w:val="24"/>
          <w:szCs w:val="24"/>
          <w:lang w:eastAsia="en-GB"/>
        </w:rPr>
      </w:pPr>
      <w:r>
        <w:rPr>
          <w:noProof/>
        </w:rPr>
        <w:t>Figure 4. Full disc of the sun visible at sunrise, measured at 51º azimuth, Campbell Park, 21/6/19.</w:t>
      </w:r>
    </w:p>
    <w:p w14:paraId="1E425E11" w14:textId="77777777" w:rsidR="003640E3" w:rsidRDefault="003640E3">
      <w:pPr>
        <w:pStyle w:val="TableofFigures"/>
        <w:tabs>
          <w:tab w:val="right" w:leader="dot" w:pos="9010"/>
        </w:tabs>
        <w:rPr>
          <w:rFonts w:asciiTheme="minorHAnsi" w:eastAsiaTheme="minorEastAsia" w:hAnsiTheme="minorHAnsi" w:cstheme="minorBidi"/>
          <w:noProof/>
          <w:sz w:val="24"/>
          <w:szCs w:val="24"/>
          <w:lang w:eastAsia="en-GB"/>
        </w:rPr>
      </w:pPr>
      <w:r>
        <w:rPr>
          <w:noProof/>
        </w:rPr>
        <w:t>Figure 5. Sun seen shining through Midsummer Place, a half an hour after sunrise. Measured at circa 53º azimuth, 2.2º altitude.</w:t>
      </w:r>
    </w:p>
    <w:p w14:paraId="731F79BB" w14:textId="77777777" w:rsidR="003640E3" w:rsidRDefault="003640E3">
      <w:pPr>
        <w:pStyle w:val="TableofFigures"/>
        <w:tabs>
          <w:tab w:val="right" w:leader="dot" w:pos="9010"/>
        </w:tabs>
        <w:rPr>
          <w:rFonts w:asciiTheme="minorHAnsi" w:eastAsiaTheme="minorEastAsia" w:hAnsiTheme="minorHAnsi" w:cstheme="minorBidi"/>
          <w:noProof/>
          <w:sz w:val="24"/>
          <w:szCs w:val="24"/>
          <w:lang w:eastAsia="en-GB"/>
        </w:rPr>
      </w:pPr>
      <w:r>
        <w:rPr>
          <w:noProof/>
        </w:rPr>
        <w:t>Figure 6. The sun reflects on the reflective glass of Milton Keynes train station, taken from the South-West end of Midsummer Boulevard, 40 minutes after sunrise.</w:t>
      </w:r>
    </w:p>
    <w:p w14:paraId="67BD02BA" w14:textId="77777777" w:rsidR="003640E3" w:rsidRPr="003640E3" w:rsidRDefault="003640E3" w:rsidP="003640E3">
      <w:r>
        <w:fldChar w:fldCharType="end"/>
      </w:r>
    </w:p>
    <w:p w14:paraId="36DDFE99" w14:textId="77777777" w:rsidR="003640E3" w:rsidRPr="003640E3" w:rsidRDefault="003640E3" w:rsidP="003640E3"/>
    <w:p w14:paraId="2C9A4F39" w14:textId="77777777" w:rsidR="003640E3" w:rsidRPr="003640E3" w:rsidRDefault="003640E3" w:rsidP="005A70E7">
      <w:pPr>
        <w:rPr>
          <w:i/>
        </w:rPr>
      </w:pPr>
    </w:p>
    <w:sectPr w:rsidR="003640E3" w:rsidRPr="003640E3" w:rsidSect="00D526CA">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36CAA8" w14:textId="77777777" w:rsidR="002E7B30" w:rsidRDefault="002E7B30" w:rsidP="005A70E7">
      <w:r>
        <w:separator/>
      </w:r>
    </w:p>
  </w:endnote>
  <w:endnote w:type="continuationSeparator" w:id="0">
    <w:p w14:paraId="0EB8884F" w14:textId="77777777" w:rsidR="002E7B30" w:rsidRDefault="002E7B30" w:rsidP="005A70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Neue Light">
    <w:panose1 w:val="02000403000000020004"/>
    <w:charset w:val="00"/>
    <w:family w:val="swiss"/>
    <w:pitch w:val="variable"/>
    <w:sig w:usb0="A00002FF" w:usb1="5000205B" w:usb2="00000002" w:usb3="00000000" w:csb0="00000007"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72DFEC" w14:textId="77777777" w:rsidR="00BB68BB" w:rsidRDefault="00BB68BB">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sidR="00010CED">
      <w:rPr>
        <w:noProof/>
        <w:color w:val="4472C4" w:themeColor="accent1"/>
        <w:sz w:val="20"/>
        <w:szCs w:val="20"/>
      </w:rPr>
      <w:t>1</w:t>
    </w:r>
    <w:r>
      <w:rPr>
        <w:color w:val="4472C4" w:themeColor="accent1"/>
        <w:sz w:val="20"/>
        <w:szCs w:val="20"/>
      </w:rPr>
      <w:fldChar w:fldCharType="end"/>
    </w:r>
  </w:p>
  <w:p w14:paraId="12B8539E" w14:textId="77777777" w:rsidR="00BB68BB" w:rsidRDefault="00BB68BB" w:rsidP="005A70E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540C34A" w14:textId="77777777" w:rsidR="002E7B30" w:rsidRDefault="002E7B30" w:rsidP="005A70E7">
      <w:r>
        <w:separator/>
      </w:r>
    </w:p>
  </w:footnote>
  <w:footnote w:type="continuationSeparator" w:id="0">
    <w:p w14:paraId="2F16C130" w14:textId="77777777" w:rsidR="002E7B30" w:rsidRDefault="002E7B30" w:rsidP="005A70E7">
      <w:r>
        <w:continuationSeparator/>
      </w:r>
    </w:p>
  </w:footnote>
  <w:footnote w:id="1">
    <w:p w14:paraId="0D9B050E" w14:textId="09AD919B" w:rsidR="00BB68BB" w:rsidRDefault="00BB68BB" w:rsidP="005A70E7">
      <w:pPr>
        <w:pStyle w:val="FootnoteText"/>
      </w:pPr>
      <w:r>
        <w:rPr>
          <w:rStyle w:val="FootnoteReference"/>
        </w:rPr>
        <w:footnoteRef/>
      </w:r>
      <w:r>
        <w:t xml:space="preserve"> </w:t>
      </w:r>
      <w:r w:rsidRPr="005A70E7">
        <w:t xml:space="preserve">Marion Hill, </w:t>
      </w:r>
      <w:r w:rsidRPr="005A70E7">
        <w:rPr>
          <w:i/>
        </w:rPr>
        <w:t>The Story of the Original CMK</w:t>
      </w:r>
      <w:r w:rsidRPr="005A70E7">
        <w:t>, ed. by Marion Hill, (Milton Keynes: Living Archive, 2007), p.15</w:t>
      </w:r>
    </w:p>
  </w:footnote>
  <w:footnote w:id="2">
    <w:p w14:paraId="0A8EF86B" w14:textId="77777777" w:rsidR="00BB68BB" w:rsidRDefault="00BB68BB" w:rsidP="00CE7F65">
      <w:pPr>
        <w:pStyle w:val="FootnoteText"/>
      </w:pPr>
      <w:r>
        <w:rPr>
          <w:rStyle w:val="FootnoteReference"/>
        </w:rPr>
        <w:footnoteRef/>
      </w:r>
      <w:r>
        <w:t xml:space="preserve"> Tom Holland, </w:t>
      </w:r>
      <w:r w:rsidRPr="00C63A31">
        <w:rPr>
          <w:i/>
        </w:rPr>
        <w:t>Pilgrimage, Overseas cricketers, How the ancients helped build Milton Keynes</w:t>
      </w:r>
      <w:r>
        <w:t xml:space="preserve">, Making History, BBC Radio 4, </w:t>
      </w:r>
      <w:r w:rsidRPr="00C63A31">
        <w:t>26 Jun</w:t>
      </w:r>
      <w:r>
        <w:t>e</w:t>
      </w:r>
      <w:r w:rsidRPr="00C63A31">
        <w:t xml:space="preserve"> 2018</w:t>
      </w:r>
      <w:r>
        <w:t>, podcast, [accessed 15</w:t>
      </w:r>
      <w:r w:rsidRPr="00C63A31">
        <w:rPr>
          <w:vertAlign w:val="superscript"/>
        </w:rPr>
        <w:t>th</w:t>
      </w:r>
      <w:r>
        <w:t xml:space="preserve"> June 2019]</w:t>
      </w:r>
    </w:p>
  </w:footnote>
  <w:footnote w:id="3">
    <w:p w14:paraId="16CE3763" w14:textId="298D2DBB" w:rsidR="00BB68BB" w:rsidRDefault="00BB68BB" w:rsidP="00CE7F65">
      <w:pPr>
        <w:pStyle w:val="FootnoteText"/>
      </w:pPr>
      <w:r>
        <w:rPr>
          <w:rStyle w:val="FootnoteReference"/>
        </w:rPr>
        <w:footnoteRef/>
      </w:r>
      <w:r>
        <w:t xml:space="preserve"> </w:t>
      </w:r>
      <w:r w:rsidR="003E55B0">
        <w:t xml:space="preserve">John Higgs, </w:t>
      </w:r>
      <w:r w:rsidR="003E55B0" w:rsidRPr="006A53A9">
        <w:rPr>
          <w:i/>
        </w:rPr>
        <w:t>Watling Street: Travels through Britain and Its Ever-Present Past</w:t>
      </w:r>
      <w:r w:rsidR="003E55B0">
        <w:rPr>
          <w:i/>
        </w:rPr>
        <w:t>,</w:t>
      </w:r>
      <w:r w:rsidR="003E55B0" w:rsidRPr="00681073">
        <w:t xml:space="preserve"> (Weidenfeld &amp; Nicolson, 2017)</w:t>
      </w:r>
      <w:r w:rsidR="003E55B0">
        <w:t>, pp.4-5</w:t>
      </w:r>
      <w:r w:rsidR="003E55B0" w:rsidRPr="00681073">
        <w:t>.</w:t>
      </w:r>
    </w:p>
  </w:footnote>
  <w:footnote w:id="4">
    <w:p w14:paraId="002F9561" w14:textId="77777777" w:rsidR="00BB68BB" w:rsidRPr="00ED55B6" w:rsidRDefault="00BB68BB" w:rsidP="00CE7F65">
      <w:pPr>
        <w:pStyle w:val="FootnoteText"/>
        <w:rPr>
          <w:rFonts w:ascii="Times New Roman" w:hAnsi="Times New Roman"/>
          <w:sz w:val="24"/>
          <w:szCs w:val="24"/>
          <w:lang w:eastAsia="en-GB"/>
        </w:rPr>
      </w:pPr>
      <w:r>
        <w:rPr>
          <w:rStyle w:val="FootnoteReference"/>
        </w:rPr>
        <w:footnoteRef/>
      </w:r>
      <w:r>
        <w:t xml:space="preserve"> Patrick Barkham, </w:t>
      </w:r>
      <w:r w:rsidRPr="00A46FFE">
        <w:rPr>
          <w:i/>
        </w:rPr>
        <w:t>Story of cities #34: the struggle for the soul of Milton Keynes</w:t>
      </w:r>
      <w:r>
        <w:t>, The Guardian, 3</w:t>
      </w:r>
      <w:r w:rsidRPr="00A46FFE">
        <w:rPr>
          <w:vertAlign w:val="superscript"/>
        </w:rPr>
        <w:t>rd</w:t>
      </w:r>
      <w:r>
        <w:t xml:space="preserve"> May 2016, </w:t>
      </w:r>
      <w:hyperlink r:id="rId1" w:history="1">
        <w:r>
          <w:rPr>
            <w:rStyle w:val="Hyperlink"/>
            <w:rFonts w:eastAsia="Times New Roman"/>
          </w:rPr>
          <w:t>https://www.theguardian.com/cities/2016/may/03/struggle-for-the-soul-of-milton-keynes</w:t>
        </w:r>
      </w:hyperlink>
      <w:r>
        <w:t>, [accessed 12</w:t>
      </w:r>
      <w:r w:rsidRPr="00A46FFE">
        <w:rPr>
          <w:vertAlign w:val="superscript"/>
        </w:rPr>
        <w:t>th</w:t>
      </w:r>
      <w:r>
        <w:t xml:space="preserve"> June 2019]</w:t>
      </w:r>
    </w:p>
  </w:footnote>
  <w:footnote w:id="5">
    <w:p w14:paraId="5514F605" w14:textId="77777777" w:rsidR="00BB68BB" w:rsidRDefault="00BB68BB" w:rsidP="00CE7F65">
      <w:pPr>
        <w:pStyle w:val="FootnoteText"/>
      </w:pPr>
      <w:r>
        <w:rPr>
          <w:rStyle w:val="FootnoteReference"/>
        </w:rPr>
        <w:footnoteRef/>
      </w:r>
      <w:r>
        <w:t xml:space="preserve"> </w:t>
      </w:r>
      <w:r w:rsidRPr="00A23D64">
        <w:rPr>
          <w:rStyle w:val="FootnoteTextChar"/>
        </w:rPr>
        <w:t xml:space="preserve">Edwin Heathcote, </w:t>
      </w:r>
      <w:r w:rsidRPr="00C46C83">
        <w:rPr>
          <w:rStyle w:val="FootnoteTextChar"/>
          <w:i/>
        </w:rPr>
        <w:t>Milton Keynes: curio from the past or model for the future?</w:t>
      </w:r>
      <w:r w:rsidRPr="00A23D64">
        <w:rPr>
          <w:rStyle w:val="FootnoteTextChar"/>
        </w:rPr>
        <w:t xml:space="preserve">, FT Magazine Architecture, Financial Times, </w:t>
      </w:r>
      <w:hyperlink r:id="rId2" w:history="1">
        <w:r w:rsidRPr="00A23D64">
          <w:rPr>
            <w:rStyle w:val="FootnoteTextChar"/>
          </w:rPr>
          <w:t>https://www.ft.com/content/d5f8a830-3a1a-11e9-b72b-2c7f526ca5d0</w:t>
        </w:r>
      </w:hyperlink>
      <w:r w:rsidRPr="00A23D64">
        <w:rPr>
          <w:rStyle w:val="FootnoteTextChar"/>
        </w:rPr>
        <w:t>, [accessed May 21st 2019]</w:t>
      </w:r>
    </w:p>
  </w:footnote>
  <w:footnote w:id="6">
    <w:p w14:paraId="0F870083" w14:textId="77777777" w:rsidR="00665E60" w:rsidRDefault="00665E60" w:rsidP="00665E60">
      <w:pPr>
        <w:pStyle w:val="FootnoteText"/>
      </w:pPr>
      <w:r>
        <w:rPr>
          <w:rStyle w:val="FootnoteReference"/>
        </w:rPr>
        <w:footnoteRef/>
      </w:r>
      <w:r>
        <w:t xml:space="preserve"> Stuart Mosscrop, </w:t>
      </w:r>
      <w:r w:rsidRPr="00263877">
        <w:rPr>
          <w:i/>
        </w:rPr>
        <w:t>The Story of the Original CMK</w:t>
      </w:r>
      <w:r>
        <w:t>, p.31</w:t>
      </w:r>
    </w:p>
  </w:footnote>
  <w:footnote w:id="7">
    <w:p w14:paraId="32F73EC4" w14:textId="77777777" w:rsidR="00BB68BB" w:rsidRDefault="00BB68BB" w:rsidP="00CE7F65">
      <w:pPr>
        <w:pStyle w:val="FootnoteText"/>
      </w:pPr>
      <w:r>
        <w:rPr>
          <w:rStyle w:val="FootnoteReference"/>
        </w:rPr>
        <w:footnoteRef/>
      </w:r>
      <w:r>
        <w:t xml:space="preserve"> David Lock, </w:t>
      </w:r>
      <w:r w:rsidRPr="00263877">
        <w:rPr>
          <w:i/>
        </w:rPr>
        <w:t>The Story of the Original CMK</w:t>
      </w:r>
      <w:r>
        <w:rPr>
          <w:i/>
        </w:rPr>
        <w:t xml:space="preserve">, </w:t>
      </w:r>
      <w:r>
        <w:t>p.103</w:t>
      </w:r>
    </w:p>
  </w:footnote>
  <w:footnote w:id="8">
    <w:p w14:paraId="04C82BCF" w14:textId="77777777" w:rsidR="00524382" w:rsidRDefault="00524382" w:rsidP="00524382">
      <w:pPr>
        <w:pStyle w:val="FootnoteText"/>
      </w:pPr>
      <w:r>
        <w:rPr>
          <w:rStyle w:val="FootnoteReference"/>
        </w:rPr>
        <w:footnoteRef/>
      </w:r>
      <w:r>
        <w:t xml:space="preserve"> Henry Diamond, </w:t>
      </w:r>
      <w:r w:rsidRPr="00263877">
        <w:rPr>
          <w:i/>
        </w:rPr>
        <w:t>The Story of the Original CMK</w:t>
      </w:r>
      <w:r>
        <w:rPr>
          <w:i/>
        </w:rPr>
        <w:t xml:space="preserve">, </w:t>
      </w:r>
      <w:r>
        <w:t>p.35</w:t>
      </w:r>
    </w:p>
  </w:footnote>
  <w:footnote w:id="9">
    <w:p w14:paraId="5E9BE52A" w14:textId="0C03A24A" w:rsidR="00BB68BB" w:rsidRDefault="00BB68BB">
      <w:pPr>
        <w:pStyle w:val="FootnoteText"/>
      </w:pPr>
      <w:r>
        <w:rPr>
          <w:rStyle w:val="FootnoteReference"/>
        </w:rPr>
        <w:footnoteRef/>
      </w:r>
      <w:r>
        <w:t xml:space="preserve"> </w:t>
      </w:r>
      <w:r w:rsidRPr="00355C4D">
        <w:t>D</w:t>
      </w:r>
      <w:r>
        <w:t>erek</w:t>
      </w:r>
      <w:r w:rsidRPr="00355C4D">
        <w:t xml:space="preserve"> Walker, </w:t>
      </w:r>
      <w:r w:rsidRPr="00355C4D">
        <w:rPr>
          <w:i/>
        </w:rPr>
        <w:t>The Architecture and Planning of Milton Keynes</w:t>
      </w:r>
      <w:r>
        <w:rPr>
          <w:i/>
        </w:rPr>
        <w:t xml:space="preserve">, </w:t>
      </w:r>
      <w:r>
        <w:t>introduction by Steen Eiler Rasmussen, (Architectural Press, 1982), p.6</w:t>
      </w:r>
    </w:p>
  </w:footnote>
  <w:footnote w:id="10">
    <w:p w14:paraId="77166D0A" w14:textId="146AF82E" w:rsidR="00BB68BB" w:rsidRDefault="00BB68BB">
      <w:pPr>
        <w:pStyle w:val="FootnoteText"/>
      </w:pPr>
      <w:r>
        <w:rPr>
          <w:rStyle w:val="FootnoteReference"/>
        </w:rPr>
        <w:footnoteRef/>
      </w:r>
      <w:r>
        <w:t xml:space="preserve"> Derek Walker, </w:t>
      </w:r>
      <w:r w:rsidRPr="00355C4D">
        <w:rPr>
          <w:i/>
        </w:rPr>
        <w:t>The Architecture and Planning of Milton Keyne</w:t>
      </w:r>
      <w:r>
        <w:rPr>
          <w:i/>
        </w:rPr>
        <w:t xml:space="preserve">s, </w:t>
      </w:r>
      <w:r>
        <w:t>p.30</w:t>
      </w:r>
    </w:p>
  </w:footnote>
  <w:footnote w:id="11">
    <w:p w14:paraId="7E6B1272" w14:textId="2BF1D7EC" w:rsidR="00BB68BB" w:rsidRDefault="00BB68BB">
      <w:pPr>
        <w:pStyle w:val="FootnoteText"/>
      </w:pPr>
      <w:r>
        <w:rPr>
          <w:rStyle w:val="FootnoteReference"/>
        </w:rPr>
        <w:footnoteRef/>
      </w:r>
      <w:r>
        <w:t xml:space="preserve"> Christopher</w:t>
      </w:r>
      <w:r w:rsidRPr="000B6EAC">
        <w:t xml:space="preserve"> Tilley, </w:t>
      </w:r>
      <w:r w:rsidRPr="000B6EAC">
        <w:rPr>
          <w:i/>
        </w:rPr>
        <w:t>A Phenomenology of Landscape: Places, Paths, and Monuments, Explorations in Anthropology</w:t>
      </w:r>
      <w:r>
        <w:rPr>
          <w:i/>
        </w:rPr>
        <w:t>,</w:t>
      </w:r>
      <w:r>
        <w:t xml:space="preserve"> (Berg, 1994), p.9</w:t>
      </w:r>
    </w:p>
  </w:footnote>
  <w:footnote w:id="12">
    <w:p w14:paraId="67B9E40D" w14:textId="2BF8AD68" w:rsidR="00BB68BB" w:rsidRDefault="00BB68BB">
      <w:pPr>
        <w:pStyle w:val="FootnoteText"/>
      </w:pPr>
      <w:r>
        <w:rPr>
          <w:rStyle w:val="FootnoteReference"/>
        </w:rPr>
        <w:footnoteRef/>
      </w:r>
      <w:r>
        <w:t xml:space="preserve"> David Lock, </w:t>
      </w:r>
      <w:r w:rsidRPr="00263877">
        <w:rPr>
          <w:i/>
        </w:rPr>
        <w:t>The Story of the Original CMK</w:t>
      </w:r>
      <w:r>
        <w:rPr>
          <w:i/>
        </w:rPr>
        <w:t xml:space="preserve">, </w:t>
      </w:r>
      <w:r>
        <w:t>p.15</w:t>
      </w:r>
    </w:p>
  </w:footnote>
  <w:footnote w:id="13">
    <w:p w14:paraId="027211E0" w14:textId="3B1C4D4A" w:rsidR="00BB68BB" w:rsidRDefault="00BB68BB">
      <w:pPr>
        <w:pStyle w:val="FootnoteText"/>
      </w:pPr>
      <w:r>
        <w:rPr>
          <w:rStyle w:val="FootnoteReference"/>
        </w:rPr>
        <w:footnoteRef/>
      </w:r>
      <w:r>
        <w:t xml:space="preserve"> Tilley, pp.10-11</w:t>
      </w:r>
    </w:p>
  </w:footnote>
  <w:footnote w:id="14">
    <w:p w14:paraId="5F045990" w14:textId="105A9769" w:rsidR="00BB68BB" w:rsidRDefault="00BB68BB">
      <w:pPr>
        <w:pStyle w:val="FootnoteText"/>
      </w:pPr>
      <w:r>
        <w:rPr>
          <w:rStyle w:val="FootnoteReference"/>
        </w:rPr>
        <w:footnoteRef/>
      </w:r>
      <w:r>
        <w:t xml:space="preserve"> Higgs, </w:t>
      </w:r>
      <w:r w:rsidRPr="007241AA">
        <w:rPr>
          <w:i/>
        </w:rPr>
        <w:t>Watling Street</w:t>
      </w:r>
      <w:r>
        <w:t>, p.2</w:t>
      </w:r>
    </w:p>
  </w:footnote>
  <w:footnote w:id="15">
    <w:p w14:paraId="39904C58" w14:textId="3670CC1B" w:rsidR="00BB68BB" w:rsidRDefault="00BB68BB">
      <w:pPr>
        <w:pStyle w:val="FootnoteText"/>
      </w:pPr>
      <w:r>
        <w:rPr>
          <w:rStyle w:val="FootnoteReference"/>
        </w:rPr>
        <w:footnoteRef/>
      </w:r>
      <w:r>
        <w:t xml:space="preserve"> Tilley, p.14</w:t>
      </w:r>
    </w:p>
  </w:footnote>
  <w:footnote w:id="16">
    <w:p w14:paraId="3EDCA32A" w14:textId="41C8B90D" w:rsidR="00BB68BB" w:rsidRDefault="00BB68BB">
      <w:pPr>
        <w:pStyle w:val="FootnoteText"/>
      </w:pPr>
      <w:r>
        <w:rPr>
          <w:rStyle w:val="FootnoteReference"/>
        </w:rPr>
        <w:footnoteRef/>
      </w:r>
      <w:r>
        <w:t xml:space="preserve"> Tilley, p.18</w:t>
      </w:r>
    </w:p>
  </w:footnote>
  <w:footnote w:id="17">
    <w:p w14:paraId="573D5CB4" w14:textId="0AD8948D" w:rsidR="00BB68BB" w:rsidRDefault="00BB68BB">
      <w:pPr>
        <w:pStyle w:val="FootnoteText"/>
      </w:pPr>
      <w:r>
        <w:rPr>
          <w:rStyle w:val="FootnoteReference"/>
        </w:rPr>
        <w:footnoteRef/>
      </w:r>
      <w:r>
        <w:t xml:space="preserve"> Tilley, p.19</w:t>
      </w:r>
    </w:p>
  </w:footnote>
  <w:footnote w:id="18">
    <w:p w14:paraId="4A43FE9E" w14:textId="12F42701" w:rsidR="00BB68BB" w:rsidRDefault="00BB68BB">
      <w:pPr>
        <w:pStyle w:val="FootnoteText"/>
      </w:pPr>
      <w:r>
        <w:rPr>
          <w:rStyle w:val="FootnoteReference"/>
        </w:rPr>
        <w:footnoteRef/>
      </w:r>
      <w:r>
        <w:t xml:space="preserve"> Tilley, p.7</w:t>
      </w:r>
    </w:p>
  </w:footnote>
  <w:footnote w:id="19">
    <w:p w14:paraId="2AE2B0DD" w14:textId="6F72F6E6" w:rsidR="00BB68BB" w:rsidRPr="00D36F39" w:rsidRDefault="00BB68BB" w:rsidP="00D36F39">
      <w:pPr>
        <w:spacing w:line="240" w:lineRule="auto"/>
        <w:rPr>
          <w:rFonts w:ascii="Times New Roman" w:eastAsia="Times New Roman" w:hAnsi="Times New Roman"/>
          <w:lang w:eastAsia="en-GB"/>
        </w:rPr>
      </w:pPr>
      <w:r>
        <w:rPr>
          <w:rStyle w:val="FootnoteReference"/>
        </w:rPr>
        <w:footnoteRef/>
      </w:r>
      <w:r>
        <w:t xml:space="preserve"> </w:t>
      </w:r>
      <w:r w:rsidRPr="00ED55B6">
        <w:rPr>
          <w:rStyle w:val="FootnoteTextChar"/>
        </w:rPr>
        <w:t xml:space="preserve">Magnetic Declination Estimated Value, </w:t>
      </w:r>
      <w:hyperlink r:id="rId3" w:anchor="declination" w:history="1">
        <w:r w:rsidRPr="00ED55B6">
          <w:rPr>
            <w:rStyle w:val="FootnoteTextChar"/>
          </w:rPr>
          <w:t>https://www.ngdc.noaa.gov/geomag/calculators/magcalc.shtml#declination</w:t>
        </w:r>
      </w:hyperlink>
      <w:r w:rsidRPr="00ED55B6">
        <w:rPr>
          <w:rStyle w:val="FootnoteTextChar"/>
        </w:rPr>
        <w:t>, (accessed 20-23rd June 2019)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50E1"/>
    <w:rsid w:val="00006CA6"/>
    <w:rsid w:val="00010CED"/>
    <w:rsid w:val="0001151C"/>
    <w:rsid w:val="000201E2"/>
    <w:rsid w:val="000215DA"/>
    <w:rsid w:val="000340E2"/>
    <w:rsid w:val="00034198"/>
    <w:rsid w:val="00034655"/>
    <w:rsid w:val="000401C9"/>
    <w:rsid w:val="00045CA2"/>
    <w:rsid w:val="00061392"/>
    <w:rsid w:val="00062F26"/>
    <w:rsid w:val="00067BCC"/>
    <w:rsid w:val="00070598"/>
    <w:rsid w:val="00072441"/>
    <w:rsid w:val="0007344E"/>
    <w:rsid w:val="000743B3"/>
    <w:rsid w:val="00074B0C"/>
    <w:rsid w:val="00075AB5"/>
    <w:rsid w:val="00076362"/>
    <w:rsid w:val="000821D5"/>
    <w:rsid w:val="000857B4"/>
    <w:rsid w:val="00092894"/>
    <w:rsid w:val="00092A23"/>
    <w:rsid w:val="00093D02"/>
    <w:rsid w:val="0009453C"/>
    <w:rsid w:val="00095275"/>
    <w:rsid w:val="00096990"/>
    <w:rsid w:val="00097009"/>
    <w:rsid w:val="00097EBF"/>
    <w:rsid w:val="000A54E7"/>
    <w:rsid w:val="000A5F4E"/>
    <w:rsid w:val="000A727D"/>
    <w:rsid w:val="000B0244"/>
    <w:rsid w:val="000B146F"/>
    <w:rsid w:val="000B36E3"/>
    <w:rsid w:val="000B4E0B"/>
    <w:rsid w:val="000B50B0"/>
    <w:rsid w:val="000B6EAC"/>
    <w:rsid w:val="000B7E3C"/>
    <w:rsid w:val="000C003C"/>
    <w:rsid w:val="000C034B"/>
    <w:rsid w:val="000C30EC"/>
    <w:rsid w:val="000C3CFF"/>
    <w:rsid w:val="000C78FE"/>
    <w:rsid w:val="000C7CE6"/>
    <w:rsid w:val="000D1708"/>
    <w:rsid w:val="000D1D66"/>
    <w:rsid w:val="000D1E31"/>
    <w:rsid w:val="000D3BFD"/>
    <w:rsid w:val="000D7A5F"/>
    <w:rsid w:val="000E0769"/>
    <w:rsid w:val="000E14A0"/>
    <w:rsid w:val="000E27D7"/>
    <w:rsid w:val="000F1BF5"/>
    <w:rsid w:val="000F20CA"/>
    <w:rsid w:val="000F4FFC"/>
    <w:rsid w:val="000F6180"/>
    <w:rsid w:val="000F6DF8"/>
    <w:rsid w:val="000F7579"/>
    <w:rsid w:val="0011296F"/>
    <w:rsid w:val="00113E4B"/>
    <w:rsid w:val="00120D3D"/>
    <w:rsid w:val="001231B4"/>
    <w:rsid w:val="001233D7"/>
    <w:rsid w:val="00124AB6"/>
    <w:rsid w:val="00124B2E"/>
    <w:rsid w:val="00126FA5"/>
    <w:rsid w:val="001323DA"/>
    <w:rsid w:val="001327FF"/>
    <w:rsid w:val="00134449"/>
    <w:rsid w:val="0013641F"/>
    <w:rsid w:val="001404C4"/>
    <w:rsid w:val="00142756"/>
    <w:rsid w:val="0014432B"/>
    <w:rsid w:val="00145255"/>
    <w:rsid w:val="001454A3"/>
    <w:rsid w:val="0014684B"/>
    <w:rsid w:val="0015135E"/>
    <w:rsid w:val="001517FC"/>
    <w:rsid w:val="00151F27"/>
    <w:rsid w:val="00153269"/>
    <w:rsid w:val="001538A1"/>
    <w:rsid w:val="00157110"/>
    <w:rsid w:val="0015725D"/>
    <w:rsid w:val="001612D0"/>
    <w:rsid w:val="00161314"/>
    <w:rsid w:val="00162E30"/>
    <w:rsid w:val="001650B1"/>
    <w:rsid w:val="001651B8"/>
    <w:rsid w:val="00167704"/>
    <w:rsid w:val="0016787A"/>
    <w:rsid w:val="0017599B"/>
    <w:rsid w:val="0018190E"/>
    <w:rsid w:val="00195A88"/>
    <w:rsid w:val="001A0ADD"/>
    <w:rsid w:val="001A0CB9"/>
    <w:rsid w:val="001A114F"/>
    <w:rsid w:val="001A1847"/>
    <w:rsid w:val="001A216E"/>
    <w:rsid w:val="001A26AC"/>
    <w:rsid w:val="001A3E64"/>
    <w:rsid w:val="001A68DD"/>
    <w:rsid w:val="001B143F"/>
    <w:rsid w:val="001B4006"/>
    <w:rsid w:val="001C0402"/>
    <w:rsid w:val="001C0C3B"/>
    <w:rsid w:val="001C50F9"/>
    <w:rsid w:val="001C6D41"/>
    <w:rsid w:val="001C7CBE"/>
    <w:rsid w:val="001D029B"/>
    <w:rsid w:val="001D02D0"/>
    <w:rsid w:val="001D15A4"/>
    <w:rsid w:val="001D58BA"/>
    <w:rsid w:val="001D6F5A"/>
    <w:rsid w:val="001E3CB7"/>
    <w:rsid w:val="001E4795"/>
    <w:rsid w:val="001E4A16"/>
    <w:rsid w:val="001E4BE5"/>
    <w:rsid w:val="001F11F4"/>
    <w:rsid w:val="001F1D10"/>
    <w:rsid w:val="001F2D2A"/>
    <w:rsid w:val="001F5329"/>
    <w:rsid w:val="001F558E"/>
    <w:rsid w:val="001F5C50"/>
    <w:rsid w:val="001F6370"/>
    <w:rsid w:val="001F664D"/>
    <w:rsid w:val="0020630F"/>
    <w:rsid w:val="00220B22"/>
    <w:rsid w:val="00221943"/>
    <w:rsid w:val="00222A84"/>
    <w:rsid w:val="00224CBC"/>
    <w:rsid w:val="002261C7"/>
    <w:rsid w:val="00231E28"/>
    <w:rsid w:val="00233F20"/>
    <w:rsid w:val="00234F37"/>
    <w:rsid w:val="002361DA"/>
    <w:rsid w:val="00243D50"/>
    <w:rsid w:val="00244839"/>
    <w:rsid w:val="00244BFD"/>
    <w:rsid w:val="00244DD1"/>
    <w:rsid w:val="00245D4D"/>
    <w:rsid w:val="00247AA3"/>
    <w:rsid w:val="00250A91"/>
    <w:rsid w:val="00252109"/>
    <w:rsid w:val="00256D52"/>
    <w:rsid w:val="00262917"/>
    <w:rsid w:val="0026363B"/>
    <w:rsid w:val="002636A3"/>
    <w:rsid w:val="00263877"/>
    <w:rsid w:val="00264A9A"/>
    <w:rsid w:val="002658BF"/>
    <w:rsid w:val="0026591C"/>
    <w:rsid w:val="002663D9"/>
    <w:rsid w:val="00266493"/>
    <w:rsid w:val="002709F7"/>
    <w:rsid w:val="002719E0"/>
    <w:rsid w:val="00271F4B"/>
    <w:rsid w:val="00273A6F"/>
    <w:rsid w:val="00274B71"/>
    <w:rsid w:val="002779CE"/>
    <w:rsid w:val="00280C51"/>
    <w:rsid w:val="00280CE2"/>
    <w:rsid w:val="0028132E"/>
    <w:rsid w:val="00282221"/>
    <w:rsid w:val="00282477"/>
    <w:rsid w:val="002856FA"/>
    <w:rsid w:val="00287F61"/>
    <w:rsid w:val="002937AF"/>
    <w:rsid w:val="00293F0C"/>
    <w:rsid w:val="002955FB"/>
    <w:rsid w:val="002970B9"/>
    <w:rsid w:val="002A30AA"/>
    <w:rsid w:val="002A3EA0"/>
    <w:rsid w:val="002A5567"/>
    <w:rsid w:val="002A6A9F"/>
    <w:rsid w:val="002A7659"/>
    <w:rsid w:val="002B082B"/>
    <w:rsid w:val="002B3840"/>
    <w:rsid w:val="002B547F"/>
    <w:rsid w:val="002B5E4F"/>
    <w:rsid w:val="002B6BC6"/>
    <w:rsid w:val="002B6D86"/>
    <w:rsid w:val="002C0AB9"/>
    <w:rsid w:val="002C2FD7"/>
    <w:rsid w:val="002C581A"/>
    <w:rsid w:val="002C5AF0"/>
    <w:rsid w:val="002C6726"/>
    <w:rsid w:val="002C7BFC"/>
    <w:rsid w:val="002D069C"/>
    <w:rsid w:val="002D397B"/>
    <w:rsid w:val="002D4195"/>
    <w:rsid w:val="002D7481"/>
    <w:rsid w:val="002E3059"/>
    <w:rsid w:val="002E4101"/>
    <w:rsid w:val="002E7B30"/>
    <w:rsid w:val="002F0323"/>
    <w:rsid w:val="002F182D"/>
    <w:rsid w:val="002F1851"/>
    <w:rsid w:val="002F3A39"/>
    <w:rsid w:val="002F45BA"/>
    <w:rsid w:val="002F6B7F"/>
    <w:rsid w:val="003007D5"/>
    <w:rsid w:val="003008C3"/>
    <w:rsid w:val="00300BB1"/>
    <w:rsid w:val="003056A2"/>
    <w:rsid w:val="00313974"/>
    <w:rsid w:val="00313A07"/>
    <w:rsid w:val="0031484A"/>
    <w:rsid w:val="00315A34"/>
    <w:rsid w:val="00317CBF"/>
    <w:rsid w:val="00322F43"/>
    <w:rsid w:val="0032467E"/>
    <w:rsid w:val="003246AD"/>
    <w:rsid w:val="00330BBB"/>
    <w:rsid w:val="003331D0"/>
    <w:rsid w:val="00335518"/>
    <w:rsid w:val="0033596E"/>
    <w:rsid w:val="0034003E"/>
    <w:rsid w:val="00343C49"/>
    <w:rsid w:val="003458DA"/>
    <w:rsid w:val="0034770C"/>
    <w:rsid w:val="003501BF"/>
    <w:rsid w:val="003513C3"/>
    <w:rsid w:val="003528C7"/>
    <w:rsid w:val="00355C4D"/>
    <w:rsid w:val="00356643"/>
    <w:rsid w:val="00356A77"/>
    <w:rsid w:val="003640E3"/>
    <w:rsid w:val="003641A7"/>
    <w:rsid w:val="00364847"/>
    <w:rsid w:val="00367D58"/>
    <w:rsid w:val="00370336"/>
    <w:rsid w:val="00371B05"/>
    <w:rsid w:val="00373254"/>
    <w:rsid w:val="00373487"/>
    <w:rsid w:val="00373EFD"/>
    <w:rsid w:val="00374342"/>
    <w:rsid w:val="00380D65"/>
    <w:rsid w:val="0038198A"/>
    <w:rsid w:val="003831A7"/>
    <w:rsid w:val="00383906"/>
    <w:rsid w:val="00383A22"/>
    <w:rsid w:val="0038700D"/>
    <w:rsid w:val="00387A24"/>
    <w:rsid w:val="00393DB0"/>
    <w:rsid w:val="00394CD4"/>
    <w:rsid w:val="00397D24"/>
    <w:rsid w:val="003A09D6"/>
    <w:rsid w:val="003A1DF5"/>
    <w:rsid w:val="003A3386"/>
    <w:rsid w:val="003A4FF6"/>
    <w:rsid w:val="003A6A4E"/>
    <w:rsid w:val="003A7772"/>
    <w:rsid w:val="003A7C95"/>
    <w:rsid w:val="003B105D"/>
    <w:rsid w:val="003B196E"/>
    <w:rsid w:val="003B20C6"/>
    <w:rsid w:val="003B2111"/>
    <w:rsid w:val="003B249B"/>
    <w:rsid w:val="003B24E2"/>
    <w:rsid w:val="003B2A71"/>
    <w:rsid w:val="003B5F49"/>
    <w:rsid w:val="003C2460"/>
    <w:rsid w:val="003C2BCF"/>
    <w:rsid w:val="003C51EF"/>
    <w:rsid w:val="003C6761"/>
    <w:rsid w:val="003C79DA"/>
    <w:rsid w:val="003D0609"/>
    <w:rsid w:val="003D47D9"/>
    <w:rsid w:val="003E0ED5"/>
    <w:rsid w:val="003E2C14"/>
    <w:rsid w:val="003E357E"/>
    <w:rsid w:val="003E46AC"/>
    <w:rsid w:val="003E55B0"/>
    <w:rsid w:val="003E667E"/>
    <w:rsid w:val="003F01BE"/>
    <w:rsid w:val="003F07C4"/>
    <w:rsid w:val="003F2C9C"/>
    <w:rsid w:val="003F5175"/>
    <w:rsid w:val="0040153A"/>
    <w:rsid w:val="00403821"/>
    <w:rsid w:val="00405218"/>
    <w:rsid w:val="004076CB"/>
    <w:rsid w:val="00413ABE"/>
    <w:rsid w:val="004142E2"/>
    <w:rsid w:val="0041644F"/>
    <w:rsid w:val="00417321"/>
    <w:rsid w:val="0042357D"/>
    <w:rsid w:val="004238E4"/>
    <w:rsid w:val="00425303"/>
    <w:rsid w:val="00425C87"/>
    <w:rsid w:val="00427624"/>
    <w:rsid w:val="0043326A"/>
    <w:rsid w:val="00443FFB"/>
    <w:rsid w:val="0044554B"/>
    <w:rsid w:val="00453777"/>
    <w:rsid w:val="00453EDA"/>
    <w:rsid w:val="00460965"/>
    <w:rsid w:val="004610C6"/>
    <w:rsid w:val="004625C5"/>
    <w:rsid w:val="00462C7C"/>
    <w:rsid w:val="0046494F"/>
    <w:rsid w:val="0047037A"/>
    <w:rsid w:val="004703A3"/>
    <w:rsid w:val="00470CA1"/>
    <w:rsid w:val="00471D2D"/>
    <w:rsid w:val="00472105"/>
    <w:rsid w:val="00474413"/>
    <w:rsid w:val="00484ECC"/>
    <w:rsid w:val="00487337"/>
    <w:rsid w:val="004874FA"/>
    <w:rsid w:val="00496107"/>
    <w:rsid w:val="004A04C5"/>
    <w:rsid w:val="004A1980"/>
    <w:rsid w:val="004A33BA"/>
    <w:rsid w:val="004A482C"/>
    <w:rsid w:val="004A59F5"/>
    <w:rsid w:val="004B2016"/>
    <w:rsid w:val="004B3815"/>
    <w:rsid w:val="004B3F92"/>
    <w:rsid w:val="004C10DE"/>
    <w:rsid w:val="004C2B79"/>
    <w:rsid w:val="004C717A"/>
    <w:rsid w:val="004D7AF4"/>
    <w:rsid w:val="004D7B3E"/>
    <w:rsid w:val="004D7CF4"/>
    <w:rsid w:val="004E18F2"/>
    <w:rsid w:val="004E1FD0"/>
    <w:rsid w:val="004F006D"/>
    <w:rsid w:val="004F659B"/>
    <w:rsid w:val="0050409C"/>
    <w:rsid w:val="0050734F"/>
    <w:rsid w:val="00507836"/>
    <w:rsid w:val="00512178"/>
    <w:rsid w:val="005145F2"/>
    <w:rsid w:val="0051463D"/>
    <w:rsid w:val="00515DD3"/>
    <w:rsid w:val="00520717"/>
    <w:rsid w:val="0052152B"/>
    <w:rsid w:val="0052410F"/>
    <w:rsid w:val="00524382"/>
    <w:rsid w:val="0052565E"/>
    <w:rsid w:val="00526D98"/>
    <w:rsid w:val="00534035"/>
    <w:rsid w:val="0054004C"/>
    <w:rsid w:val="00540651"/>
    <w:rsid w:val="00540BB2"/>
    <w:rsid w:val="00542381"/>
    <w:rsid w:val="00544CF3"/>
    <w:rsid w:val="0054574B"/>
    <w:rsid w:val="005514A5"/>
    <w:rsid w:val="00552196"/>
    <w:rsid w:val="00556829"/>
    <w:rsid w:val="00556C4A"/>
    <w:rsid w:val="0056007E"/>
    <w:rsid w:val="00560378"/>
    <w:rsid w:val="00561168"/>
    <w:rsid w:val="0057176A"/>
    <w:rsid w:val="00573E6B"/>
    <w:rsid w:val="00574A89"/>
    <w:rsid w:val="005758BF"/>
    <w:rsid w:val="00575FD2"/>
    <w:rsid w:val="00577440"/>
    <w:rsid w:val="00580EBF"/>
    <w:rsid w:val="005817C6"/>
    <w:rsid w:val="00581BAE"/>
    <w:rsid w:val="00582EFC"/>
    <w:rsid w:val="005935F8"/>
    <w:rsid w:val="00593673"/>
    <w:rsid w:val="005953E2"/>
    <w:rsid w:val="00595BF0"/>
    <w:rsid w:val="005A0487"/>
    <w:rsid w:val="005A096D"/>
    <w:rsid w:val="005A3015"/>
    <w:rsid w:val="005A70E7"/>
    <w:rsid w:val="005B0C45"/>
    <w:rsid w:val="005B1D3B"/>
    <w:rsid w:val="005B6B80"/>
    <w:rsid w:val="005B6DD3"/>
    <w:rsid w:val="005B72CD"/>
    <w:rsid w:val="005B751C"/>
    <w:rsid w:val="005B7BEF"/>
    <w:rsid w:val="005D274A"/>
    <w:rsid w:val="005D691A"/>
    <w:rsid w:val="005D7E98"/>
    <w:rsid w:val="005F26E5"/>
    <w:rsid w:val="005F2A84"/>
    <w:rsid w:val="005F3784"/>
    <w:rsid w:val="005F3A65"/>
    <w:rsid w:val="005F4B6A"/>
    <w:rsid w:val="005F7899"/>
    <w:rsid w:val="005F7BF1"/>
    <w:rsid w:val="00600223"/>
    <w:rsid w:val="00600C22"/>
    <w:rsid w:val="00601218"/>
    <w:rsid w:val="006017FA"/>
    <w:rsid w:val="006022B5"/>
    <w:rsid w:val="00603492"/>
    <w:rsid w:val="00605E84"/>
    <w:rsid w:val="006077A5"/>
    <w:rsid w:val="00613C00"/>
    <w:rsid w:val="006146C1"/>
    <w:rsid w:val="006150E1"/>
    <w:rsid w:val="00616AF6"/>
    <w:rsid w:val="00626618"/>
    <w:rsid w:val="00626851"/>
    <w:rsid w:val="0063103A"/>
    <w:rsid w:val="00631840"/>
    <w:rsid w:val="00632516"/>
    <w:rsid w:val="00635076"/>
    <w:rsid w:val="00636704"/>
    <w:rsid w:val="00644EB7"/>
    <w:rsid w:val="00646E95"/>
    <w:rsid w:val="00650E61"/>
    <w:rsid w:val="00650F93"/>
    <w:rsid w:val="00652C50"/>
    <w:rsid w:val="00654502"/>
    <w:rsid w:val="006566AF"/>
    <w:rsid w:val="00656806"/>
    <w:rsid w:val="006606F3"/>
    <w:rsid w:val="00660855"/>
    <w:rsid w:val="006619A8"/>
    <w:rsid w:val="00661BF8"/>
    <w:rsid w:val="00662697"/>
    <w:rsid w:val="006633F2"/>
    <w:rsid w:val="00665E60"/>
    <w:rsid w:val="00667FEB"/>
    <w:rsid w:val="0067547E"/>
    <w:rsid w:val="00681073"/>
    <w:rsid w:val="0068649C"/>
    <w:rsid w:val="006917BA"/>
    <w:rsid w:val="006940AC"/>
    <w:rsid w:val="0069462A"/>
    <w:rsid w:val="00696B7F"/>
    <w:rsid w:val="006A1257"/>
    <w:rsid w:val="006A35E9"/>
    <w:rsid w:val="006A3E89"/>
    <w:rsid w:val="006A3FA2"/>
    <w:rsid w:val="006A53A9"/>
    <w:rsid w:val="006A59FA"/>
    <w:rsid w:val="006B0514"/>
    <w:rsid w:val="006B3AD4"/>
    <w:rsid w:val="006B3E39"/>
    <w:rsid w:val="006C327B"/>
    <w:rsid w:val="006C541E"/>
    <w:rsid w:val="006C58BE"/>
    <w:rsid w:val="006C6565"/>
    <w:rsid w:val="006D5B15"/>
    <w:rsid w:val="006E2A59"/>
    <w:rsid w:val="006E3EF5"/>
    <w:rsid w:val="006E4392"/>
    <w:rsid w:val="006E54D7"/>
    <w:rsid w:val="006E6E5F"/>
    <w:rsid w:val="006E7B5C"/>
    <w:rsid w:val="006F09B8"/>
    <w:rsid w:val="006F3985"/>
    <w:rsid w:val="006F4B2B"/>
    <w:rsid w:val="006F7712"/>
    <w:rsid w:val="0070178A"/>
    <w:rsid w:val="007035D6"/>
    <w:rsid w:val="00704596"/>
    <w:rsid w:val="0071037F"/>
    <w:rsid w:val="0071118D"/>
    <w:rsid w:val="00714DAC"/>
    <w:rsid w:val="00717AD5"/>
    <w:rsid w:val="00720927"/>
    <w:rsid w:val="007241AA"/>
    <w:rsid w:val="0072512A"/>
    <w:rsid w:val="00725C28"/>
    <w:rsid w:val="00742856"/>
    <w:rsid w:val="007428EA"/>
    <w:rsid w:val="00745DC4"/>
    <w:rsid w:val="007469BE"/>
    <w:rsid w:val="0074747D"/>
    <w:rsid w:val="007475FF"/>
    <w:rsid w:val="00753898"/>
    <w:rsid w:val="00754F1B"/>
    <w:rsid w:val="00756F76"/>
    <w:rsid w:val="00762D5E"/>
    <w:rsid w:val="007649A2"/>
    <w:rsid w:val="0077183D"/>
    <w:rsid w:val="00771952"/>
    <w:rsid w:val="00771E34"/>
    <w:rsid w:val="00772715"/>
    <w:rsid w:val="007741E0"/>
    <w:rsid w:val="00782DF2"/>
    <w:rsid w:val="0078678C"/>
    <w:rsid w:val="00790282"/>
    <w:rsid w:val="00791355"/>
    <w:rsid w:val="0079250A"/>
    <w:rsid w:val="00794949"/>
    <w:rsid w:val="00796A2B"/>
    <w:rsid w:val="007A0DB8"/>
    <w:rsid w:val="007A0E8B"/>
    <w:rsid w:val="007A13E4"/>
    <w:rsid w:val="007A17E1"/>
    <w:rsid w:val="007A28DB"/>
    <w:rsid w:val="007A2E70"/>
    <w:rsid w:val="007B7014"/>
    <w:rsid w:val="007C2249"/>
    <w:rsid w:val="007C4427"/>
    <w:rsid w:val="007C4DA7"/>
    <w:rsid w:val="007C77F6"/>
    <w:rsid w:val="007D09FA"/>
    <w:rsid w:val="007D3C26"/>
    <w:rsid w:val="007D6775"/>
    <w:rsid w:val="007E4535"/>
    <w:rsid w:val="007E4847"/>
    <w:rsid w:val="007E5585"/>
    <w:rsid w:val="007E79E9"/>
    <w:rsid w:val="007F4535"/>
    <w:rsid w:val="007F75AC"/>
    <w:rsid w:val="008018CD"/>
    <w:rsid w:val="00803CE0"/>
    <w:rsid w:val="00803ED0"/>
    <w:rsid w:val="00805EE7"/>
    <w:rsid w:val="008065BD"/>
    <w:rsid w:val="0081008F"/>
    <w:rsid w:val="00812E50"/>
    <w:rsid w:val="00813256"/>
    <w:rsid w:val="008170C3"/>
    <w:rsid w:val="00817D5D"/>
    <w:rsid w:val="00820C31"/>
    <w:rsid w:val="00821995"/>
    <w:rsid w:val="00823D4B"/>
    <w:rsid w:val="008273CE"/>
    <w:rsid w:val="00830D67"/>
    <w:rsid w:val="008321E3"/>
    <w:rsid w:val="008327AD"/>
    <w:rsid w:val="00841E03"/>
    <w:rsid w:val="00845DB1"/>
    <w:rsid w:val="00850D17"/>
    <w:rsid w:val="00852990"/>
    <w:rsid w:val="008557E8"/>
    <w:rsid w:val="008559E9"/>
    <w:rsid w:val="00867871"/>
    <w:rsid w:val="00871993"/>
    <w:rsid w:val="008722DD"/>
    <w:rsid w:val="00880580"/>
    <w:rsid w:val="00880C05"/>
    <w:rsid w:val="00882FAA"/>
    <w:rsid w:val="0088792C"/>
    <w:rsid w:val="008902FE"/>
    <w:rsid w:val="008915C1"/>
    <w:rsid w:val="008A58F2"/>
    <w:rsid w:val="008A6243"/>
    <w:rsid w:val="008A6E52"/>
    <w:rsid w:val="008A7895"/>
    <w:rsid w:val="008B3345"/>
    <w:rsid w:val="008B6938"/>
    <w:rsid w:val="008B6E1F"/>
    <w:rsid w:val="008C0028"/>
    <w:rsid w:val="008C68BD"/>
    <w:rsid w:val="008C76C4"/>
    <w:rsid w:val="008C77DF"/>
    <w:rsid w:val="008D04E0"/>
    <w:rsid w:val="008D2515"/>
    <w:rsid w:val="008D4095"/>
    <w:rsid w:val="008D510D"/>
    <w:rsid w:val="008D7C71"/>
    <w:rsid w:val="008E1221"/>
    <w:rsid w:val="008E3DE3"/>
    <w:rsid w:val="008F003C"/>
    <w:rsid w:val="008F0E18"/>
    <w:rsid w:val="008F3B2F"/>
    <w:rsid w:val="00904C2D"/>
    <w:rsid w:val="0090516D"/>
    <w:rsid w:val="00905634"/>
    <w:rsid w:val="00910B45"/>
    <w:rsid w:val="009221C5"/>
    <w:rsid w:val="0092512A"/>
    <w:rsid w:val="00931BA1"/>
    <w:rsid w:val="00931E41"/>
    <w:rsid w:val="009324BC"/>
    <w:rsid w:val="009325A8"/>
    <w:rsid w:val="00937BD3"/>
    <w:rsid w:val="00940D1F"/>
    <w:rsid w:val="00943C76"/>
    <w:rsid w:val="009468FE"/>
    <w:rsid w:val="00950581"/>
    <w:rsid w:val="00950709"/>
    <w:rsid w:val="00951863"/>
    <w:rsid w:val="00955B94"/>
    <w:rsid w:val="00957DCA"/>
    <w:rsid w:val="00961224"/>
    <w:rsid w:val="00961D58"/>
    <w:rsid w:val="00963C34"/>
    <w:rsid w:val="00964FB9"/>
    <w:rsid w:val="0097095E"/>
    <w:rsid w:val="00971D9B"/>
    <w:rsid w:val="00972B7A"/>
    <w:rsid w:val="009735D5"/>
    <w:rsid w:val="009746AE"/>
    <w:rsid w:val="009768BA"/>
    <w:rsid w:val="00980207"/>
    <w:rsid w:val="00981A4A"/>
    <w:rsid w:val="0098418C"/>
    <w:rsid w:val="00986ED3"/>
    <w:rsid w:val="0099301A"/>
    <w:rsid w:val="00994CEA"/>
    <w:rsid w:val="00994E76"/>
    <w:rsid w:val="009954FE"/>
    <w:rsid w:val="00996B0D"/>
    <w:rsid w:val="00997403"/>
    <w:rsid w:val="009A49C1"/>
    <w:rsid w:val="009A4D6E"/>
    <w:rsid w:val="009B14B9"/>
    <w:rsid w:val="009B4EFA"/>
    <w:rsid w:val="009B7A4C"/>
    <w:rsid w:val="009C0F4C"/>
    <w:rsid w:val="009C7C2C"/>
    <w:rsid w:val="009D1F0B"/>
    <w:rsid w:val="009D2BB5"/>
    <w:rsid w:val="009D3DBA"/>
    <w:rsid w:val="009D72EB"/>
    <w:rsid w:val="009D7A34"/>
    <w:rsid w:val="009E2D77"/>
    <w:rsid w:val="009E3D58"/>
    <w:rsid w:val="009E67EF"/>
    <w:rsid w:val="009F06F9"/>
    <w:rsid w:val="009F1EA5"/>
    <w:rsid w:val="009F3104"/>
    <w:rsid w:val="009F61C1"/>
    <w:rsid w:val="009F6666"/>
    <w:rsid w:val="009F75FE"/>
    <w:rsid w:val="00A0171F"/>
    <w:rsid w:val="00A04121"/>
    <w:rsid w:val="00A04F3E"/>
    <w:rsid w:val="00A05F18"/>
    <w:rsid w:val="00A10EE8"/>
    <w:rsid w:val="00A155B7"/>
    <w:rsid w:val="00A15A57"/>
    <w:rsid w:val="00A15D58"/>
    <w:rsid w:val="00A23D64"/>
    <w:rsid w:val="00A259EE"/>
    <w:rsid w:val="00A27A5B"/>
    <w:rsid w:val="00A35567"/>
    <w:rsid w:val="00A41475"/>
    <w:rsid w:val="00A41524"/>
    <w:rsid w:val="00A45671"/>
    <w:rsid w:val="00A466DE"/>
    <w:rsid w:val="00A46A8B"/>
    <w:rsid w:val="00A46FFE"/>
    <w:rsid w:val="00A51BC5"/>
    <w:rsid w:val="00A52915"/>
    <w:rsid w:val="00A56DD2"/>
    <w:rsid w:val="00A6460C"/>
    <w:rsid w:val="00A7199F"/>
    <w:rsid w:val="00A755D6"/>
    <w:rsid w:val="00A767CD"/>
    <w:rsid w:val="00A8246B"/>
    <w:rsid w:val="00A825BF"/>
    <w:rsid w:val="00A85068"/>
    <w:rsid w:val="00A874E6"/>
    <w:rsid w:val="00A92CB9"/>
    <w:rsid w:val="00A930F4"/>
    <w:rsid w:val="00A95B8A"/>
    <w:rsid w:val="00A96646"/>
    <w:rsid w:val="00AA574B"/>
    <w:rsid w:val="00AA5A50"/>
    <w:rsid w:val="00AA66FE"/>
    <w:rsid w:val="00AB01BF"/>
    <w:rsid w:val="00AB2502"/>
    <w:rsid w:val="00AB2795"/>
    <w:rsid w:val="00AB2A2A"/>
    <w:rsid w:val="00AB5707"/>
    <w:rsid w:val="00AB571F"/>
    <w:rsid w:val="00AB6E17"/>
    <w:rsid w:val="00AC0342"/>
    <w:rsid w:val="00AC0544"/>
    <w:rsid w:val="00AC25D5"/>
    <w:rsid w:val="00AC336E"/>
    <w:rsid w:val="00AC5C3C"/>
    <w:rsid w:val="00AD1FDD"/>
    <w:rsid w:val="00AD5BB1"/>
    <w:rsid w:val="00AD7231"/>
    <w:rsid w:val="00AD73F8"/>
    <w:rsid w:val="00AE0401"/>
    <w:rsid w:val="00AE118A"/>
    <w:rsid w:val="00AE2354"/>
    <w:rsid w:val="00AE2B53"/>
    <w:rsid w:val="00AE313A"/>
    <w:rsid w:val="00AE5107"/>
    <w:rsid w:val="00AE6EA7"/>
    <w:rsid w:val="00AF4890"/>
    <w:rsid w:val="00AF4C95"/>
    <w:rsid w:val="00AF5D97"/>
    <w:rsid w:val="00AF7C80"/>
    <w:rsid w:val="00B016AA"/>
    <w:rsid w:val="00B01DE8"/>
    <w:rsid w:val="00B02AB7"/>
    <w:rsid w:val="00B0369B"/>
    <w:rsid w:val="00B05B59"/>
    <w:rsid w:val="00B0682A"/>
    <w:rsid w:val="00B071BD"/>
    <w:rsid w:val="00B07779"/>
    <w:rsid w:val="00B14930"/>
    <w:rsid w:val="00B14BEF"/>
    <w:rsid w:val="00B21060"/>
    <w:rsid w:val="00B24D60"/>
    <w:rsid w:val="00B265EE"/>
    <w:rsid w:val="00B31C62"/>
    <w:rsid w:val="00B3270E"/>
    <w:rsid w:val="00B37202"/>
    <w:rsid w:val="00B41243"/>
    <w:rsid w:val="00B445AE"/>
    <w:rsid w:val="00B45626"/>
    <w:rsid w:val="00B5269B"/>
    <w:rsid w:val="00B55A5C"/>
    <w:rsid w:val="00B63687"/>
    <w:rsid w:val="00B63BA6"/>
    <w:rsid w:val="00B66B50"/>
    <w:rsid w:val="00B70AEF"/>
    <w:rsid w:val="00B7148B"/>
    <w:rsid w:val="00B73DAF"/>
    <w:rsid w:val="00B7568D"/>
    <w:rsid w:val="00B75C86"/>
    <w:rsid w:val="00B75EDE"/>
    <w:rsid w:val="00B7693F"/>
    <w:rsid w:val="00B778E5"/>
    <w:rsid w:val="00B80027"/>
    <w:rsid w:val="00B807ED"/>
    <w:rsid w:val="00B82694"/>
    <w:rsid w:val="00B85402"/>
    <w:rsid w:val="00B85676"/>
    <w:rsid w:val="00B87585"/>
    <w:rsid w:val="00B92972"/>
    <w:rsid w:val="00B94CC1"/>
    <w:rsid w:val="00BA1A42"/>
    <w:rsid w:val="00BA1C81"/>
    <w:rsid w:val="00BA754A"/>
    <w:rsid w:val="00BB1490"/>
    <w:rsid w:val="00BB18C6"/>
    <w:rsid w:val="00BB2F64"/>
    <w:rsid w:val="00BB68BB"/>
    <w:rsid w:val="00BC0A3A"/>
    <w:rsid w:val="00BC30F7"/>
    <w:rsid w:val="00BD0C55"/>
    <w:rsid w:val="00BD0E21"/>
    <w:rsid w:val="00BD1990"/>
    <w:rsid w:val="00BD1EB6"/>
    <w:rsid w:val="00BD2332"/>
    <w:rsid w:val="00BD36BA"/>
    <w:rsid w:val="00BD39A0"/>
    <w:rsid w:val="00BD3D27"/>
    <w:rsid w:val="00BD5A09"/>
    <w:rsid w:val="00BD65F2"/>
    <w:rsid w:val="00BD6C6A"/>
    <w:rsid w:val="00BD7ED0"/>
    <w:rsid w:val="00BE07BE"/>
    <w:rsid w:val="00BE3D35"/>
    <w:rsid w:val="00BE40A5"/>
    <w:rsid w:val="00BF7211"/>
    <w:rsid w:val="00C00B42"/>
    <w:rsid w:val="00C0350B"/>
    <w:rsid w:val="00C06146"/>
    <w:rsid w:val="00C06D0F"/>
    <w:rsid w:val="00C1060F"/>
    <w:rsid w:val="00C12EA6"/>
    <w:rsid w:val="00C1734F"/>
    <w:rsid w:val="00C17832"/>
    <w:rsid w:val="00C20403"/>
    <w:rsid w:val="00C22C0D"/>
    <w:rsid w:val="00C23BA7"/>
    <w:rsid w:val="00C271E4"/>
    <w:rsid w:val="00C27241"/>
    <w:rsid w:val="00C30D64"/>
    <w:rsid w:val="00C31F19"/>
    <w:rsid w:val="00C3431F"/>
    <w:rsid w:val="00C34C99"/>
    <w:rsid w:val="00C35240"/>
    <w:rsid w:val="00C353F8"/>
    <w:rsid w:val="00C35821"/>
    <w:rsid w:val="00C35AF0"/>
    <w:rsid w:val="00C426F9"/>
    <w:rsid w:val="00C46C83"/>
    <w:rsid w:val="00C50050"/>
    <w:rsid w:val="00C501B1"/>
    <w:rsid w:val="00C508A4"/>
    <w:rsid w:val="00C55859"/>
    <w:rsid w:val="00C57BAC"/>
    <w:rsid w:val="00C61F7B"/>
    <w:rsid w:val="00C62D90"/>
    <w:rsid w:val="00C62EAB"/>
    <w:rsid w:val="00C63A31"/>
    <w:rsid w:val="00C6426D"/>
    <w:rsid w:val="00C659A1"/>
    <w:rsid w:val="00C750C3"/>
    <w:rsid w:val="00C75E76"/>
    <w:rsid w:val="00C77220"/>
    <w:rsid w:val="00C81F32"/>
    <w:rsid w:val="00C83E7C"/>
    <w:rsid w:val="00C83F79"/>
    <w:rsid w:val="00C8595B"/>
    <w:rsid w:val="00C9153C"/>
    <w:rsid w:val="00C95A50"/>
    <w:rsid w:val="00C95DC8"/>
    <w:rsid w:val="00C96992"/>
    <w:rsid w:val="00C97801"/>
    <w:rsid w:val="00CA0318"/>
    <w:rsid w:val="00CA08E9"/>
    <w:rsid w:val="00CA12C7"/>
    <w:rsid w:val="00CA628E"/>
    <w:rsid w:val="00CA694D"/>
    <w:rsid w:val="00CB0866"/>
    <w:rsid w:val="00CB38A9"/>
    <w:rsid w:val="00CC10A3"/>
    <w:rsid w:val="00CC2880"/>
    <w:rsid w:val="00CC5281"/>
    <w:rsid w:val="00CC561E"/>
    <w:rsid w:val="00CC656E"/>
    <w:rsid w:val="00CC6DFC"/>
    <w:rsid w:val="00CC715E"/>
    <w:rsid w:val="00CD28FF"/>
    <w:rsid w:val="00CD3136"/>
    <w:rsid w:val="00CD52FD"/>
    <w:rsid w:val="00CD64E1"/>
    <w:rsid w:val="00CE1807"/>
    <w:rsid w:val="00CE2BFE"/>
    <w:rsid w:val="00CE2EBA"/>
    <w:rsid w:val="00CE3435"/>
    <w:rsid w:val="00CE37E5"/>
    <w:rsid w:val="00CE7F65"/>
    <w:rsid w:val="00CF312C"/>
    <w:rsid w:val="00CF55DF"/>
    <w:rsid w:val="00D005B4"/>
    <w:rsid w:val="00D04230"/>
    <w:rsid w:val="00D0439C"/>
    <w:rsid w:val="00D04799"/>
    <w:rsid w:val="00D0488C"/>
    <w:rsid w:val="00D07C0D"/>
    <w:rsid w:val="00D07F86"/>
    <w:rsid w:val="00D10DF3"/>
    <w:rsid w:val="00D15500"/>
    <w:rsid w:val="00D17D21"/>
    <w:rsid w:val="00D200E8"/>
    <w:rsid w:val="00D20E4D"/>
    <w:rsid w:val="00D21C0B"/>
    <w:rsid w:val="00D22256"/>
    <w:rsid w:val="00D22576"/>
    <w:rsid w:val="00D237A5"/>
    <w:rsid w:val="00D25A7D"/>
    <w:rsid w:val="00D27F5F"/>
    <w:rsid w:val="00D347BF"/>
    <w:rsid w:val="00D36F39"/>
    <w:rsid w:val="00D3712F"/>
    <w:rsid w:val="00D43241"/>
    <w:rsid w:val="00D4784E"/>
    <w:rsid w:val="00D526CA"/>
    <w:rsid w:val="00D5706A"/>
    <w:rsid w:val="00D63216"/>
    <w:rsid w:val="00D70088"/>
    <w:rsid w:val="00D709D1"/>
    <w:rsid w:val="00D74ECA"/>
    <w:rsid w:val="00D771C2"/>
    <w:rsid w:val="00D82D72"/>
    <w:rsid w:val="00D82F57"/>
    <w:rsid w:val="00D85162"/>
    <w:rsid w:val="00D8685E"/>
    <w:rsid w:val="00D86B82"/>
    <w:rsid w:val="00D90C8C"/>
    <w:rsid w:val="00D91653"/>
    <w:rsid w:val="00D930F1"/>
    <w:rsid w:val="00D95A3C"/>
    <w:rsid w:val="00D970AF"/>
    <w:rsid w:val="00DA1CC0"/>
    <w:rsid w:val="00DA1E46"/>
    <w:rsid w:val="00DB00D3"/>
    <w:rsid w:val="00DB1D43"/>
    <w:rsid w:val="00DB20C4"/>
    <w:rsid w:val="00DB3E41"/>
    <w:rsid w:val="00DB5520"/>
    <w:rsid w:val="00DB700A"/>
    <w:rsid w:val="00DB7B7E"/>
    <w:rsid w:val="00DC1E2F"/>
    <w:rsid w:val="00DC25FE"/>
    <w:rsid w:val="00DC45A2"/>
    <w:rsid w:val="00DC7925"/>
    <w:rsid w:val="00DC7EBE"/>
    <w:rsid w:val="00DD04BC"/>
    <w:rsid w:val="00DD5A43"/>
    <w:rsid w:val="00DD6C52"/>
    <w:rsid w:val="00DD76A2"/>
    <w:rsid w:val="00DE0AC4"/>
    <w:rsid w:val="00DE1422"/>
    <w:rsid w:val="00DE1DAA"/>
    <w:rsid w:val="00DE37C2"/>
    <w:rsid w:val="00DE42E4"/>
    <w:rsid w:val="00DE444E"/>
    <w:rsid w:val="00DE4CDD"/>
    <w:rsid w:val="00DE536B"/>
    <w:rsid w:val="00DE7D4A"/>
    <w:rsid w:val="00DF0048"/>
    <w:rsid w:val="00DF05F9"/>
    <w:rsid w:val="00DF0CA7"/>
    <w:rsid w:val="00DF30C9"/>
    <w:rsid w:val="00DF5C24"/>
    <w:rsid w:val="00DF73E8"/>
    <w:rsid w:val="00E0054D"/>
    <w:rsid w:val="00E01814"/>
    <w:rsid w:val="00E04BFC"/>
    <w:rsid w:val="00E06788"/>
    <w:rsid w:val="00E0775E"/>
    <w:rsid w:val="00E1289D"/>
    <w:rsid w:val="00E16EA9"/>
    <w:rsid w:val="00E20ECB"/>
    <w:rsid w:val="00E23141"/>
    <w:rsid w:val="00E23BB2"/>
    <w:rsid w:val="00E3259D"/>
    <w:rsid w:val="00E34FC6"/>
    <w:rsid w:val="00E35159"/>
    <w:rsid w:val="00E352EF"/>
    <w:rsid w:val="00E404A8"/>
    <w:rsid w:val="00E50492"/>
    <w:rsid w:val="00E5083D"/>
    <w:rsid w:val="00E50865"/>
    <w:rsid w:val="00E51AE9"/>
    <w:rsid w:val="00E52F5D"/>
    <w:rsid w:val="00E575A5"/>
    <w:rsid w:val="00E57ED8"/>
    <w:rsid w:val="00E6339C"/>
    <w:rsid w:val="00E65B1E"/>
    <w:rsid w:val="00E662CB"/>
    <w:rsid w:val="00E672C2"/>
    <w:rsid w:val="00E74276"/>
    <w:rsid w:val="00E7537C"/>
    <w:rsid w:val="00E75B69"/>
    <w:rsid w:val="00E76BE1"/>
    <w:rsid w:val="00E77305"/>
    <w:rsid w:val="00E81309"/>
    <w:rsid w:val="00E832AB"/>
    <w:rsid w:val="00E866F6"/>
    <w:rsid w:val="00E90DF4"/>
    <w:rsid w:val="00E967CC"/>
    <w:rsid w:val="00EA1DB6"/>
    <w:rsid w:val="00EB0276"/>
    <w:rsid w:val="00EB5C0C"/>
    <w:rsid w:val="00EC2D8B"/>
    <w:rsid w:val="00EC3BCD"/>
    <w:rsid w:val="00EC6498"/>
    <w:rsid w:val="00ED0907"/>
    <w:rsid w:val="00ED522C"/>
    <w:rsid w:val="00ED55B6"/>
    <w:rsid w:val="00ED6477"/>
    <w:rsid w:val="00ED792C"/>
    <w:rsid w:val="00EE0A96"/>
    <w:rsid w:val="00EE1060"/>
    <w:rsid w:val="00EE11A4"/>
    <w:rsid w:val="00EE25C2"/>
    <w:rsid w:val="00EE25CA"/>
    <w:rsid w:val="00EE2A79"/>
    <w:rsid w:val="00EE5145"/>
    <w:rsid w:val="00EE7864"/>
    <w:rsid w:val="00EE7FE5"/>
    <w:rsid w:val="00EF2767"/>
    <w:rsid w:val="00EF7F8C"/>
    <w:rsid w:val="00F01B6E"/>
    <w:rsid w:val="00F020AE"/>
    <w:rsid w:val="00F03ABE"/>
    <w:rsid w:val="00F04316"/>
    <w:rsid w:val="00F143FB"/>
    <w:rsid w:val="00F161E8"/>
    <w:rsid w:val="00F1634E"/>
    <w:rsid w:val="00F16368"/>
    <w:rsid w:val="00F22FE5"/>
    <w:rsid w:val="00F233D8"/>
    <w:rsid w:val="00F25089"/>
    <w:rsid w:val="00F25EE0"/>
    <w:rsid w:val="00F32B69"/>
    <w:rsid w:val="00F37AAA"/>
    <w:rsid w:val="00F40A84"/>
    <w:rsid w:val="00F41B9C"/>
    <w:rsid w:val="00F445B3"/>
    <w:rsid w:val="00F53801"/>
    <w:rsid w:val="00F53A27"/>
    <w:rsid w:val="00F55592"/>
    <w:rsid w:val="00F627FD"/>
    <w:rsid w:val="00F62AA5"/>
    <w:rsid w:val="00F67EB3"/>
    <w:rsid w:val="00F72D8E"/>
    <w:rsid w:val="00F74A94"/>
    <w:rsid w:val="00F767EC"/>
    <w:rsid w:val="00F80953"/>
    <w:rsid w:val="00F828C8"/>
    <w:rsid w:val="00F82E2A"/>
    <w:rsid w:val="00F83CD2"/>
    <w:rsid w:val="00F83F6A"/>
    <w:rsid w:val="00F83FC4"/>
    <w:rsid w:val="00F96286"/>
    <w:rsid w:val="00F96DAB"/>
    <w:rsid w:val="00FA0CCF"/>
    <w:rsid w:val="00FA2640"/>
    <w:rsid w:val="00FA2A50"/>
    <w:rsid w:val="00FA2D54"/>
    <w:rsid w:val="00FA6ECA"/>
    <w:rsid w:val="00FB2A28"/>
    <w:rsid w:val="00FB3FFC"/>
    <w:rsid w:val="00FB7F03"/>
    <w:rsid w:val="00FC5547"/>
    <w:rsid w:val="00FD12D0"/>
    <w:rsid w:val="00FD19A8"/>
    <w:rsid w:val="00FD216C"/>
    <w:rsid w:val="00FD2C11"/>
    <w:rsid w:val="00FD3F9E"/>
    <w:rsid w:val="00FD5A92"/>
    <w:rsid w:val="00FE1B66"/>
    <w:rsid w:val="00FE47C3"/>
    <w:rsid w:val="00FE51E6"/>
    <w:rsid w:val="00FE5551"/>
    <w:rsid w:val="00FF4109"/>
    <w:rsid w:val="00FF74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4285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A70E7"/>
    <w:pPr>
      <w:spacing w:line="360" w:lineRule="auto"/>
    </w:pPr>
    <w:rPr>
      <w:rFonts w:ascii="Helvetica Neue Light" w:hAnsi="Helvetica Neue Light" w:cs="Times New Roman"/>
      <w:lang w:val="en-GB"/>
    </w:rPr>
  </w:style>
  <w:style w:type="paragraph" w:styleId="Heading1">
    <w:name w:val="heading 1"/>
    <w:basedOn w:val="Normal"/>
    <w:next w:val="Normal"/>
    <w:link w:val="Heading1Char"/>
    <w:uiPriority w:val="9"/>
    <w:qFormat/>
    <w:rsid w:val="005A70E7"/>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6F39"/>
    <w:pPr>
      <w:keepNext/>
      <w:keepLines/>
      <w:spacing w:before="40"/>
      <w:outlineLvl w:val="1"/>
    </w:pPr>
    <w:rPr>
      <w:rFonts w:eastAsiaTheme="majorEastAsia" w:cstheme="majorBidi"/>
      <w:color w:val="2F5496" w:themeColor="accent1" w:themeShade="BF"/>
      <w:sz w:val="26"/>
      <w:szCs w:val="26"/>
      <w:lang w:val="en-US"/>
    </w:rPr>
  </w:style>
  <w:style w:type="paragraph" w:styleId="Heading3">
    <w:name w:val="heading 3"/>
    <w:basedOn w:val="Normal"/>
    <w:next w:val="Normal"/>
    <w:link w:val="Heading3Char"/>
    <w:uiPriority w:val="9"/>
    <w:semiHidden/>
    <w:unhideWhenUsed/>
    <w:qFormat/>
    <w:rsid w:val="00C35240"/>
    <w:pPr>
      <w:keepNext/>
      <w:keepLines/>
      <w:spacing w:before="40"/>
      <w:outlineLvl w:val="2"/>
    </w:pPr>
    <w:rPr>
      <w:rFonts w:asciiTheme="majorHAnsi" w:eastAsiaTheme="majorEastAsia" w:hAnsiTheme="majorHAnsi" w:cstheme="majorBidi"/>
      <w:color w:val="1F3763" w:themeColor="accent1" w:themeShade="7F"/>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70E7"/>
    <w:rPr>
      <w:rFonts w:ascii="Helvetica Neue Light" w:eastAsiaTheme="majorEastAsia" w:hAnsi="Helvetica Neue Light" w:cstheme="majorBidi"/>
      <w:color w:val="2F5496" w:themeColor="accent1" w:themeShade="BF"/>
      <w:sz w:val="32"/>
      <w:szCs w:val="32"/>
      <w:lang w:val="en-GB"/>
    </w:rPr>
  </w:style>
  <w:style w:type="paragraph" w:styleId="FootnoteText">
    <w:name w:val="footnote text"/>
    <w:basedOn w:val="Normal"/>
    <w:link w:val="FootnoteTextChar"/>
    <w:uiPriority w:val="99"/>
    <w:unhideWhenUsed/>
    <w:rsid w:val="005A70E7"/>
    <w:pPr>
      <w:spacing w:line="240" w:lineRule="auto"/>
    </w:pPr>
    <w:rPr>
      <w:sz w:val="21"/>
      <w:szCs w:val="21"/>
    </w:rPr>
  </w:style>
  <w:style w:type="character" w:customStyle="1" w:styleId="FootnoteTextChar">
    <w:name w:val="Footnote Text Char"/>
    <w:basedOn w:val="DefaultParagraphFont"/>
    <w:link w:val="FootnoteText"/>
    <w:uiPriority w:val="99"/>
    <w:rsid w:val="005A70E7"/>
    <w:rPr>
      <w:rFonts w:ascii="Helvetica Neue Light" w:hAnsi="Helvetica Neue Light" w:cs="Times New Roman"/>
      <w:sz w:val="21"/>
      <w:szCs w:val="21"/>
      <w:lang w:val="en-GB"/>
    </w:rPr>
  </w:style>
  <w:style w:type="character" w:styleId="FootnoteReference">
    <w:name w:val="footnote reference"/>
    <w:basedOn w:val="DefaultParagraphFont"/>
    <w:uiPriority w:val="99"/>
    <w:unhideWhenUsed/>
    <w:rsid w:val="00A874E6"/>
    <w:rPr>
      <w:vertAlign w:val="superscript"/>
    </w:rPr>
  </w:style>
  <w:style w:type="character" w:styleId="Emphasis">
    <w:name w:val="Emphasis"/>
    <w:basedOn w:val="DefaultParagraphFont"/>
    <w:uiPriority w:val="20"/>
    <w:qFormat/>
    <w:rsid w:val="00B7693F"/>
    <w:rPr>
      <w:i/>
      <w:iCs/>
    </w:rPr>
  </w:style>
  <w:style w:type="character" w:styleId="SubtleReference">
    <w:name w:val="Subtle Reference"/>
    <w:basedOn w:val="DefaultParagraphFont"/>
    <w:uiPriority w:val="31"/>
    <w:qFormat/>
    <w:rsid w:val="00B7693F"/>
    <w:rPr>
      <w:smallCaps/>
      <w:color w:val="5A5A5A" w:themeColor="text1" w:themeTint="A5"/>
    </w:rPr>
  </w:style>
  <w:style w:type="character" w:styleId="Hyperlink">
    <w:name w:val="Hyperlink"/>
    <w:basedOn w:val="DefaultParagraphFont"/>
    <w:uiPriority w:val="99"/>
    <w:unhideWhenUsed/>
    <w:rsid w:val="002B6BC6"/>
    <w:rPr>
      <w:color w:val="0563C1" w:themeColor="hyperlink"/>
      <w:u w:val="single"/>
    </w:rPr>
  </w:style>
  <w:style w:type="paragraph" w:styleId="Title">
    <w:name w:val="Title"/>
    <w:basedOn w:val="Normal"/>
    <w:next w:val="Normal"/>
    <w:link w:val="TitleChar"/>
    <w:uiPriority w:val="10"/>
    <w:qFormat/>
    <w:rsid w:val="002B6BC6"/>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6BC6"/>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EC3BCD"/>
    <w:pPr>
      <w:ind w:left="720"/>
      <w:contextualSpacing/>
    </w:pPr>
  </w:style>
  <w:style w:type="character" w:customStyle="1" w:styleId="Heading2Char">
    <w:name w:val="Heading 2 Char"/>
    <w:basedOn w:val="DefaultParagraphFont"/>
    <w:link w:val="Heading2"/>
    <w:uiPriority w:val="9"/>
    <w:rsid w:val="00D36F39"/>
    <w:rPr>
      <w:rFonts w:ascii="Helvetica Neue Light" w:eastAsiaTheme="majorEastAsia" w:hAnsi="Helvetica Neue Light"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35240"/>
    <w:rPr>
      <w:rFonts w:asciiTheme="majorHAnsi" w:eastAsiaTheme="majorEastAsia" w:hAnsiTheme="majorHAnsi" w:cstheme="majorBidi"/>
      <w:color w:val="1F3763" w:themeColor="accent1" w:themeShade="7F"/>
    </w:rPr>
  </w:style>
  <w:style w:type="paragraph" w:styleId="NormalWeb">
    <w:name w:val="Normal (Web)"/>
    <w:basedOn w:val="Normal"/>
    <w:rsid w:val="00C35240"/>
    <w:pPr>
      <w:spacing w:before="100" w:beforeAutospacing="1" w:after="100" w:afterAutospacing="1" w:line="240" w:lineRule="auto"/>
    </w:pPr>
    <w:rPr>
      <w:rFonts w:ascii="Georgia" w:eastAsia="SimSun" w:hAnsi="Georgia"/>
      <w:color w:val="000000"/>
      <w:sz w:val="21"/>
      <w:szCs w:val="21"/>
      <w:lang w:eastAsia="zh-CN"/>
    </w:rPr>
  </w:style>
  <w:style w:type="paragraph" w:styleId="Header">
    <w:name w:val="header"/>
    <w:basedOn w:val="Normal"/>
    <w:link w:val="HeaderChar"/>
    <w:uiPriority w:val="99"/>
    <w:unhideWhenUsed/>
    <w:rsid w:val="006A35E9"/>
    <w:pPr>
      <w:tabs>
        <w:tab w:val="center" w:pos="4513"/>
        <w:tab w:val="right" w:pos="9026"/>
      </w:tabs>
      <w:spacing w:line="240" w:lineRule="auto"/>
    </w:pPr>
  </w:style>
  <w:style w:type="character" w:customStyle="1" w:styleId="HeaderChar">
    <w:name w:val="Header Char"/>
    <w:basedOn w:val="DefaultParagraphFont"/>
    <w:link w:val="Header"/>
    <w:uiPriority w:val="99"/>
    <w:rsid w:val="006A35E9"/>
    <w:rPr>
      <w:rFonts w:cs="Times New Roman"/>
      <w:lang w:val="en-GB"/>
    </w:rPr>
  </w:style>
  <w:style w:type="paragraph" w:styleId="Footer">
    <w:name w:val="footer"/>
    <w:basedOn w:val="Normal"/>
    <w:link w:val="FooterChar"/>
    <w:uiPriority w:val="99"/>
    <w:unhideWhenUsed/>
    <w:rsid w:val="006A35E9"/>
    <w:pPr>
      <w:tabs>
        <w:tab w:val="center" w:pos="4513"/>
        <w:tab w:val="right" w:pos="9026"/>
      </w:tabs>
      <w:spacing w:line="240" w:lineRule="auto"/>
    </w:pPr>
  </w:style>
  <w:style w:type="character" w:customStyle="1" w:styleId="FooterChar">
    <w:name w:val="Footer Char"/>
    <w:basedOn w:val="DefaultParagraphFont"/>
    <w:link w:val="Footer"/>
    <w:uiPriority w:val="99"/>
    <w:rsid w:val="006A35E9"/>
    <w:rPr>
      <w:rFonts w:cs="Times New Roman"/>
      <w:lang w:val="en-GB"/>
    </w:rPr>
  </w:style>
  <w:style w:type="paragraph" w:styleId="Caption">
    <w:name w:val="caption"/>
    <w:basedOn w:val="Normal"/>
    <w:next w:val="Normal"/>
    <w:uiPriority w:val="35"/>
    <w:unhideWhenUsed/>
    <w:qFormat/>
    <w:rsid w:val="009F75F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640E3"/>
    <w:pPr>
      <w:spacing w:after="240"/>
      <w:ind w:left="851" w:hanging="851"/>
    </w:pPr>
    <w:rPr>
      <w:sz w:val="22"/>
      <w:szCs w:val="20"/>
    </w:rPr>
  </w:style>
  <w:style w:type="paragraph" w:styleId="NoSpacing">
    <w:name w:val="No Spacing"/>
    <w:uiPriority w:val="1"/>
    <w:qFormat/>
    <w:rsid w:val="00980207"/>
    <w:rPr>
      <w:rFonts w:ascii="Helvetica Neue Light" w:hAnsi="Helvetica Neue Light" w:cs="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8511861">
      <w:bodyDiv w:val="1"/>
      <w:marLeft w:val="0"/>
      <w:marRight w:val="0"/>
      <w:marTop w:val="0"/>
      <w:marBottom w:val="0"/>
      <w:divBdr>
        <w:top w:val="none" w:sz="0" w:space="0" w:color="auto"/>
        <w:left w:val="none" w:sz="0" w:space="0" w:color="auto"/>
        <w:bottom w:val="none" w:sz="0" w:space="0" w:color="auto"/>
        <w:right w:val="none" w:sz="0" w:space="0" w:color="auto"/>
      </w:divBdr>
    </w:div>
    <w:div w:id="377583248">
      <w:bodyDiv w:val="1"/>
      <w:marLeft w:val="0"/>
      <w:marRight w:val="0"/>
      <w:marTop w:val="0"/>
      <w:marBottom w:val="0"/>
      <w:divBdr>
        <w:top w:val="none" w:sz="0" w:space="0" w:color="auto"/>
        <w:left w:val="none" w:sz="0" w:space="0" w:color="auto"/>
        <w:bottom w:val="none" w:sz="0" w:space="0" w:color="auto"/>
        <w:right w:val="none" w:sz="0" w:space="0" w:color="auto"/>
      </w:divBdr>
    </w:div>
    <w:div w:id="384648968">
      <w:bodyDiv w:val="1"/>
      <w:marLeft w:val="0"/>
      <w:marRight w:val="0"/>
      <w:marTop w:val="0"/>
      <w:marBottom w:val="0"/>
      <w:divBdr>
        <w:top w:val="none" w:sz="0" w:space="0" w:color="auto"/>
        <w:left w:val="none" w:sz="0" w:space="0" w:color="auto"/>
        <w:bottom w:val="none" w:sz="0" w:space="0" w:color="auto"/>
        <w:right w:val="none" w:sz="0" w:space="0" w:color="auto"/>
      </w:divBdr>
    </w:div>
    <w:div w:id="787161147">
      <w:bodyDiv w:val="1"/>
      <w:marLeft w:val="0"/>
      <w:marRight w:val="0"/>
      <w:marTop w:val="0"/>
      <w:marBottom w:val="0"/>
      <w:divBdr>
        <w:top w:val="none" w:sz="0" w:space="0" w:color="auto"/>
        <w:left w:val="none" w:sz="0" w:space="0" w:color="auto"/>
        <w:bottom w:val="none" w:sz="0" w:space="0" w:color="auto"/>
        <w:right w:val="none" w:sz="0" w:space="0" w:color="auto"/>
      </w:divBdr>
    </w:div>
    <w:div w:id="1042900323">
      <w:bodyDiv w:val="1"/>
      <w:marLeft w:val="0"/>
      <w:marRight w:val="0"/>
      <w:marTop w:val="0"/>
      <w:marBottom w:val="0"/>
      <w:divBdr>
        <w:top w:val="none" w:sz="0" w:space="0" w:color="auto"/>
        <w:left w:val="none" w:sz="0" w:space="0" w:color="auto"/>
        <w:bottom w:val="none" w:sz="0" w:space="0" w:color="auto"/>
        <w:right w:val="none" w:sz="0" w:space="0" w:color="auto"/>
      </w:divBdr>
    </w:div>
    <w:div w:id="1064109929">
      <w:bodyDiv w:val="1"/>
      <w:marLeft w:val="0"/>
      <w:marRight w:val="0"/>
      <w:marTop w:val="0"/>
      <w:marBottom w:val="0"/>
      <w:divBdr>
        <w:top w:val="none" w:sz="0" w:space="0" w:color="auto"/>
        <w:left w:val="none" w:sz="0" w:space="0" w:color="auto"/>
        <w:bottom w:val="none" w:sz="0" w:space="0" w:color="auto"/>
        <w:right w:val="none" w:sz="0" w:space="0" w:color="auto"/>
      </w:divBdr>
    </w:div>
    <w:div w:id="1207260465">
      <w:bodyDiv w:val="1"/>
      <w:marLeft w:val="0"/>
      <w:marRight w:val="0"/>
      <w:marTop w:val="0"/>
      <w:marBottom w:val="0"/>
      <w:divBdr>
        <w:top w:val="none" w:sz="0" w:space="0" w:color="auto"/>
        <w:left w:val="none" w:sz="0" w:space="0" w:color="auto"/>
        <w:bottom w:val="none" w:sz="0" w:space="0" w:color="auto"/>
        <w:right w:val="none" w:sz="0" w:space="0" w:color="auto"/>
      </w:divBdr>
    </w:div>
    <w:div w:id="1223785014">
      <w:bodyDiv w:val="1"/>
      <w:marLeft w:val="0"/>
      <w:marRight w:val="0"/>
      <w:marTop w:val="0"/>
      <w:marBottom w:val="0"/>
      <w:divBdr>
        <w:top w:val="none" w:sz="0" w:space="0" w:color="auto"/>
        <w:left w:val="none" w:sz="0" w:space="0" w:color="auto"/>
        <w:bottom w:val="none" w:sz="0" w:space="0" w:color="auto"/>
        <w:right w:val="none" w:sz="0" w:space="0" w:color="auto"/>
      </w:divBdr>
    </w:div>
    <w:div w:id="1624968880">
      <w:bodyDiv w:val="1"/>
      <w:marLeft w:val="0"/>
      <w:marRight w:val="0"/>
      <w:marTop w:val="0"/>
      <w:marBottom w:val="0"/>
      <w:divBdr>
        <w:top w:val="none" w:sz="0" w:space="0" w:color="auto"/>
        <w:left w:val="none" w:sz="0" w:space="0" w:color="auto"/>
        <w:bottom w:val="none" w:sz="0" w:space="0" w:color="auto"/>
        <w:right w:val="none" w:sz="0" w:space="0" w:color="auto"/>
      </w:divBdr>
    </w:div>
    <w:div w:id="1668096878">
      <w:bodyDiv w:val="1"/>
      <w:marLeft w:val="0"/>
      <w:marRight w:val="0"/>
      <w:marTop w:val="0"/>
      <w:marBottom w:val="0"/>
      <w:divBdr>
        <w:top w:val="none" w:sz="0" w:space="0" w:color="auto"/>
        <w:left w:val="none" w:sz="0" w:space="0" w:color="auto"/>
        <w:bottom w:val="none" w:sz="0" w:space="0" w:color="auto"/>
        <w:right w:val="none" w:sz="0" w:space="0" w:color="auto"/>
      </w:divBdr>
    </w:div>
    <w:div w:id="1920671984">
      <w:bodyDiv w:val="1"/>
      <w:marLeft w:val="0"/>
      <w:marRight w:val="0"/>
      <w:marTop w:val="0"/>
      <w:marBottom w:val="0"/>
      <w:divBdr>
        <w:top w:val="none" w:sz="0" w:space="0" w:color="auto"/>
        <w:left w:val="none" w:sz="0" w:space="0" w:color="auto"/>
        <w:bottom w:val="none" w:sz="0" w:space="0" w:color="auto"/>
        <w:right w:val="none" w:sz="0" w:space="0" w:color="auto"/>
      </w:divBdr>
    </w:div>
    <w:div w:id="1977176302">
      <w:bodyDiv w:val="1"/>
      <w:marLeft w:val="0"/>
      <w:marRight w:val="0"/>
      <w:marTop w:val="0"/>
      <w:marBottom w:val="0"/>
      <w:divBdr>
        <w:top w:val="none" w:sz="0" w:space="0" w:color="auto"/>
        <w:left w:val="none" w:sz="0" w:space="0" w:color="auto"/>
        <w:bottom w:val="none" w:sz="0" w:space="0" w:color="auto"/>
        <w:right w:val="none" w:sz="0" w:space="0" w:color="auto"/>
      </w:divBdr>
    </w:div>
    <w:div w:id="2013869657">
      <w:bodyDiv w:val="1"/>
      <w:marLeft w:val="0"/>
      <w:marRight w:val="0"/>
      <w:marTop w:val="0"/>
      <w:marBottom w:val="0"/>
      <w:divBdr>
        <w:top w:val="none" w:sz="0" w:space="0" w:color="auto"/>
        <w:left w:val="none" w:sz="0" w:space="0" w:color="auto"/>
        <w:bottom w:val="none" w:sz="0" w:space="0" w:color="auto"/>
        <w:right w:val="none" w:sz="0" w:space="0" w:color="auto"/>
      </w:divBdr>
    </w:div>
    <w:div w:id="201949960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5.jpeg"/><Relationship Id="rId12" Type="http://schemas.openxmlformats.org/officeDocument/2006/relationships/image" Target="media/image6.jpeg"/><Relationship Id="rId13" Type="http://schemas.openxmlformats.org/officeDocument/2006/relationships/image" Target="media/image7.jpeg"/><Relationship Id="rId14" Type="http://schemas.openxmlformats.org/officeDocument/2006/relationships/hyperlink" Target="https://www.ft.com/content/d5f8a830-3a1a-11e9-b72b-2c7f526ca5d0" TargetMode="External"/><Relationship Id="rId15" Type="http://schemas.openxmlformats.org/officeDocument/2006/relationships/hyperlink" Target="https://www.theguardian.com/cities/2016/may/03/struggle-for-the-soul-of-milton-keynes" TargetMode="External"/><Relationship Id="rId16" Type="http://schemas.openxmlformats.org/officeDocument/2006/relationships/hyperlink" Target="https://www.ngdc.noaa.gov/geomag/calculators/magcalc.shtml" TargetMode="External"/><Relationship Id="rId17" Type="http://schemas.openxmlformats.org/officeDocument/2006/relationships/footer" Target="footer1.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 Id="rId9" Type="http://schemas.openxmlformats.org/officeDocument/2006/relationships/image" Target="media/image3.jpeg"/><Relationship Id="rId10" Type="http://schemas.openxmlformats.org/officeDocument/2006/relationships/image" Target="media/image4.jpeg"/></Relationships>
</file>

<file path=word/_rels/footnotes.xml.rels><?xml version="1.0" encoding="UTF-8" standalone="yes"?>
<Relationships xmlns="http://schemas.openxmlformats.org/package/2006/relationships"><Relationship Id="rId1" Type="http://schemas.openxmlformats.org/officeDocument/2006/relationships/hyperlink" Target="https://www.theguardian.com/cities/2016/may/03/struggle-for-the-soul-of-milton-keynes" TargetMode="External"/><Relationship Id="rId2" Type="http://schemas.openxmlformats.org/officeDocument/2006/relationships/hyperlink" Target="https://www.ft.com/content/d5f8a830-3a1a-11e9-b72b-2c7f526ca5d0" TargetMode="External"/><Relationship Id="rId3" Type="http://schemas.openxmlformats.org/officeDocument/2006/relationships/hyperlink" Target="https://www.ngdc.noaa.gov/geomag/calculators/magcalc.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file>

<file path=customXml/itemProps1.xml><?xml version="1.0" encoding="utf-8"?>
<ds:datastoreItem xmlns:ds="http://schemas.openxmlformats.org/officeDocument/2006/customXml" ds:itemID="{CA2ECC00-259D-7C41-A276-22220C01C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1425</TotalTime>
  <Pages>16</Pages>
  <Words>3773</Words>
  <Characters>21512</Characters>
  <Application>Microsoft Macintosh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25235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xpaulk@outlook.com</dc:creator>
  <cp:keywords/>
  <dc:description/>
  <cp:lastModifiedBy>xpaulk@outlook.com</cp:lastModifiedBy>
  <cp:revision>768</cp:revision>
  <cp:lastPrinted>2019-07-07T14:30:00Z</cp:lastPrinted>
  <dcterms:created xsi:type="dcterms:W3CDTF">2019-02-20T12:22:00Z</dcterms:created>
  <dcterms:modified xsi:type="dcterms:W3CDTF">2019-07-18T15:23:00Z</dcterms:modified>
</cp:coreProperties>
</file>