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FE337" w14:textId="77777777" w:rsidR="00951416" w:rsidRDefault="00951416" w:rsidP="00951416">
      <w:pPr>
        <w:jc w:val="center"/>
      </w:pPr>
      <w:r>
        <w:rPr>
          <w:i/>
        </w:rPr>
        <w:t>‘Map out the process of marriage in social and religious terms’</w:t>
      </w:r>
    </w:p>
    <w:p w14:paraId="48ACAF0A" w14:textId="2A96C798" w:rsidR="00951416" w:rsidRDefault="00951416" w:rsidP="00951416">
      <w:pPr>
        <w:jc w:val="center"/>
      </w:pPr>
    </w:p>
    <w:p w14:paraId="7573DA5F" w14:textId="4D6B3A60" w:rsidR="00951416" w:rsidRDefault="00A3667C" w:rsidP="00951416">
      <w:r>
        <w:t xml:space="preserve">Athens </w:t>
      </w:r>
      <w:r w:rsidR="00951416">
        <w:t xml:space="preserve">had various aspects which had to be carried out in order to </w:t>
      </w:r>
      <w:r>
        <w:t>have</w:t>
      </w:r>
      <w:r w:rsidR="00951416">
        <w:t xml:space="preserve"> the marriage recognised by the state. Due to this, there were several social expectations that needed to be adhered to during the marriage of the bride and groom. Furthermore, there were religious matters which needed to be upheld so that the marriage was accepted by the gods</w:t>
      </w:r>
      <w:r>
        <w:t>.</w:t>
      </w:r>
      <w:r w:rsidR="00951416">
        <w:t xml:space="preserve"> </w:t>
      </w:r>
    </w:p>
    <w:p w14:paraId="32CB491C" w14:textId="4B8157AF" w:rsidR="00951416" w:rsidRDefault="000822DE" w:rsidP="00951416">
      <w:r>
        <w:t>Weddings were</w:t>
      </w:r>
      <w:r w:rsidR="00831A8F">
        <w:t xml:space="preserve"> to be decided by the men of households.</w:t>
      </w:r>
      <w:r w:rsidR="006E3D46">
        <w:rPr>
          <w:rStyle w:val="FootnoteReference"/>
        </w:rPr>
        <w:footnoteReference w:id="1"/>
      </w:r>
      <w:r w:rsidR="00831A8F">
        <w:t xml:space="preserve"> Whoever owned the woman (whether that be a father figure or brother) was considered her </w:t>
      </w:r>
      <w:proofErr w:type="spellStart"/>
      <w:r w:rsidR="006E3D46">
        <w:t>kyrios</w:t>
      </w:r>
      <w:proofErr w:type="spellEnd"/>
      <w:r w:rsidR="006E3D46">
        <w:t>.</w:t>
      </w:r>
      <w:r w:rsidR="006E3D46">
        <w:rPr>
          <w:rStyle w:val="FootnoteReference"/>
        </w:rPr>
        <w:footnoteReference w:id="2"/>
      </w:r>
      <w:r w:rsidR="006E3D46">
        <w:t xml:space="preserve"> Harrison states that “the bride was the passive object of the contract”</w:t>
      </w:r>
      <w:r w:rsidR="006E3D46">
        <w:rPr>
          <w:rStyle w:val="FootnoteReference"/>
        </w:rPr>
        <w:footnoteReference w:id="3"/>
      </w:r>
      <w:r w:rsidR="00116336">
        <w:t xml:space="preserve"> because, not only was she basically unable to decide anything about the marriage but</w:t>
      </w:r>
      <w:r w:rsidR="003B4F1C">
        <w:t>,</w:t>
      </w:r>
      <w:r w:rsidR="00116336">
        <w:t xml:space="preserve"> she also did not have to be present when the b</w:t>
      </w:r>
      <w:r w:rsidR="003B4F1C">
        <w:t>o</w:t>
      </w:r>
      <w:r w:rsidR="00116336">
        <w:t>nd between the bride and groom takes place.</w:t>
      </w:r>
      <w:r w:rsidR="00116336">
        <w:rPr>
          <w:rStyle w:val="FootnoteReference"/>
        </w:rPr>
        <w:footnoteReference w:id="4"/>
      </w:r>
      <w:r w:rsidR="00A3667C">
        <w:t xml:space="preserve"> However, there did have to be witnesses to the exchange for it to be validated.</w:t>
      </w:r>
      <w:r w:rsidR="00A3667C">
        <w:rPr>
          <w:rStyle w:val="FootnoteReference"/>
        </w:rPr>
        <w:footnoteReference w:id="5"/>
      </w:r>
      <w:r w:rsidR="00116336">
        <w:t xml:space="preserve"> Whilst </w:t>
      </w:r>
      <w:r w:rsidR="0026009B">
        <w:t>it</w:t>
      </w:r>
      <w:r w:rsidR="00116336">
        <w:t xml:space="preserve"> is believed that there is a ring that the groom gives the wife upon completion of the wedding, the wedding ceremony itself is actually just an exchange of words between the current </w:t>
      </w:r>
      <w:proofErr w:type="spellStart"/>
      <w:r w:rsidR="00116336">
        <w:t>kyrios</w:t>
      </w:r>
      <w:proofErr w:type="spellEnd"/>
      <w:r w:rsidR="00116336">
        <w:t xml:space="preserve"> and the groom, who shall then become the bride’s new </w:t>
      </w:r>
      <w:proofErr w:type="spellStart"/>
      <w:r w:rsidR="00116336">
        <w:t>kyrios</w:t>
      </w:r>
      <w:proofErr w:type="spellEnd"/>
      <w:r w:rsidR="00116336">
        <w:t>.</w:t>
      </w:r>
      <w:r w:rsidR="00116336">
        <w:rPr>
          <w:rStyle w:val="FootnoteReference"/>
        </w:rPr>
        <w:footnoteReference w:id="6"/>
      </w:r>
      <w:r w:rsidR="0026009B">
        <w:t xml:space="preserve"> In L</w:t>
      </w:r>
      <w:r w:rsidR="00F72072">
        <w:t>UCIAN</w:t>
      </w:r>
      <w:r w:rsidR="0026009B">
        <w:t>, ‘Affairs of the Heart’, it is said that “marriage is a blessing to men” because of the fact that it nearly always is of benefit to the men of households but there is little consideration for the women.</w:t>
      </w:r>
      <w:r w:rsidR="0026009B">
        <w:rPr>
          <w:rStyle w:val="FootnoteReference"/>
        </w:rPr>
        <w:footnoteReference w:id="7"/>
      </w:r>
      <w:r w:rsidR="00116336">
        <w:t xml:space="preserve"> </w:t>
      </w:r>
      <w:r w:rsidR="00CC6C01">
        <w:t xml:space="preserve">After this ceremony of sorts, the former </w:t>
      </w:r>
      <w:proofErr w:type="spellStart"/>
      <w:r w:rsidR="00CC6C01">
        <w:t>kyrios</w:t>
      </w:r>
      <w:proofErr w:type="spellEnd"/>
      <w:r w:rsidR="00CC6C01">
        <w:t xml:space="preserve"> is believed to have little to no control over the bride</w:t>
      </w:r>
      <w:r w:rsidR="00CC6C01">
        <w:rPr>
          <w:rStyle w:val="FootnoteReference"/>
        </w:rPr>
        <w:footnoteReference w:id="8"/>
      </w:r>
      <w:r w:rsidR="00CC6C01">
        <w:t xml:space="preserve">, there is a </w:t>
      </w:r>
      <w:r w:rsidR="003B4F1C">
        <w:t>possibility</w:t>
      </w:r>
      <w:r w:rsidR="00CC6C01">
        <w:t xml:space="preserve"> that the only thing that he now can do is to pull her out of the marriage, within proper reason.</w:t>
      </w:r>
      <w:r w:rsidR="00CC6C01">
        <w:rPr>
          <w:rStyle w:val="FootnoteReference"/>
        </w:rPr>
        <w:footnoteReference w:id="9"/>
      </w:r>
      <w:r w:rsidR="00781152">
        <w:t xml:space="preserve"> Afterwards, there may have been a feast to celebrate, the extravagance depended on the wealth of the families.</w:t>
      </w:r>
      <w:r w:rsidR="00781152">
        <w:rPr>
          <w:rStyle w:val="FootnoteReference"/>
        </w:rPr>
        <w:footnoteReference w:id="10"/>
      </w:r>
    </w:p>
    <w:p w14:paraId="5E39838E" w14:textId="7796CE8A" w:rsidR="00CC6C01" w:rsidRDefault="00CC6C01" w:rsidP="00951416">
      <w:r>
        <w:t xml:space="preserve">Before the marriage ceremony, </w:t>
      </w:r>
      <w:r w:rsidR="00A3667C">
        <w:t>gods</w:t>
      </w:r>
      <w:r>
        <w:t xml:space="preserve"> would have to be called upon to bless the marriage and the life of the two together. The gods that these sacrifices and rituals were done for were, most notably Hera, Artemis and Demeter.</w:t>
      </w:r>
      <w:r>
        <w:rPr>
          <w:rStyle w:val="FootnoteReference"/>
        </w:rPr>
        <w:footnoteReference w:id="11"/>
      </w:r>
      <w:r>
        <w:t xml:space="preserve"> The sacrifices and rituals which were made were entirely dependant on the symbols </w:t>
      </w:r>
      <w:r w:rsidR="00C66CAA">
        <w:t>which each of those goddesses held</w:t>
      </w:r>
      <w:r w:rsidR="00A3667C">
        <w:t>.</w:t>
      </w:r>
      <w:r w:rsidR="00C66CAA">
        <w:rPr>
          <w:rStyle w:val="FootnoteReference"/>
        </w:rPr>
        <w:footnoteReference w:id="12"/>
      </w:r>
      <w:r w:rsidR="00C66CAA">
        <w:t xml:space="preserve"> </w:t>
      </w:r>
      <w:r w:rsidR="00781152">
        <w:t>Hera is the most important goddess to pay respects to during these rituals due to the fact that she is the goddess of marriage.</w:t>
      </w:r>
      <w:r w:rsidR="00781152">
        <w:rPr>
          <w:rStyle w:val="FootnoteReference"/>
        </w:rPr>
        <w:footnoteReference w:id="13"/>
      </w:r>
      <w:r w:rsidR="00781152">
        <w:t xml:space="preserve"> </w:t>
      </w:r>
    </w:p>
    <w:p w14:paraId="6246B482" w14:textId="35C613F2" w:rsidR="00781152" w:rsidRDefault="00781152" w:rsidP="00951416">
      <w:r>
        <w:t xml:space="preserve">To Conclude, Athenian marriages were organised and done by the men in the bride’s life who have and then will </w:t>
      </w:r>
      <w:r w:rsidR="00A3667C">
        <w:t xml:space="preserve">be </w:t>
      </w:r>
      <w:r>
        <w:t xml:space="preserve">her </w:t>
      </w:r>
      <w:proofErr w:type="spellStart"/>
      <w:r>
        <w:t>kyrios</w:t>
      </w:r>
      <w:proofErr w:type="spellEnd"/>
      <w:r>
        <w:t>. She has little to do with the marriage.</w:t>
      </w:r>
      <w:r w:rsidR="00A3667C">
        <w:t xml:space="preserve"> Fu</w:t>
      </w:r>
      <w:r w:rsidR="003B4F1C">
        <w:t>r</w:t>
      </w:r>
      <w:r w:rsidR="00A3667C">
        <w:t>the</w:t>
      </w:r>
      <w:r w:rsidR="003B4F1C">
        <w:t>rmore</w:t>
      </w:r>
      <w:r w:rsidR="00A3667C">
        <w:t>, Demeter, Hera and Artemis were invoked to bless the marriage.</w:t>
      </w:r>
    </w:p>
    <w:p w14:paraId="7D371A08" w14:textId="45EEA76E" w:rsidR="008E5ED7" w:rsidRDefault="008E5ED7" w:rsidP="00951416"/>
    <w:p w14:paraId="6F9A10FB" w14:textId="7CEE2598" w:rsidR="008E5ED7" w:rsidRDefault="00331E65" w:rsidP="00951416">
      <w:r>
        <w:t>Word Count:</w:t>
      </w:r>
      <w:bookmarkStart w:id="0" w:name="_GoBack"/>
      <w:bookmarkEnd w:id="0"/>
      <w:r>
        <w:t xml:space="preserve"> 548</w:t>
      </w:r>
    </w:p>
    <w:p w14:paraId="4DB2DF5D" w14:textId="622FD324" w:rsidR="008E5ED7" w:rsidRDefault="008E5ED7" w:rsidP="00951416"/>
    <w:p w14:paraId="5FC3FC8B" w14:textId="3F083780" w:rsidR="008E5ED7" w:rsidRDefault="008E5ED7" w:rsidP="00951416">
      <w:pPr>
        <w:rPr>
          <w:u w:val="single"/>
        </w:rPr>
      </w:pPr>
      <w:r w:rsidRPr="008E5ED7">
        <w:rPr>
          <w:u w:val="single"/>
        </w:rPr>
        <w:lastRenderedPageBreak/>
        <w:t>Bibliography</w:t>
      </w:r>
    </w:p>
    <w:p w14:paraId="394608CF" w14:textId="363E9971" w:rsidR="008E5ED7" w:rsidRDefault="0040445E" w:rsidP="00951416">
      <w:r>
        <w:t xml:space="preserve">AUSONIUS. </w:t>
      </w:r>
      <w:r w:rsidR="007D54D3" w:rsidRPr="0057344C">
        <w:rPr>
          <w:i/>
        </w:rPr>
        <w:t>Nuptial</w:t>
      </w:r>
      <w:r w:rsidRPr="0057344C">
        <w:rPr>
          <w:i/>
        </w:rPr>
        <w:t xml:space="preserve"> Cento</w:t>
      </w:r>
      <w:r>
        <w:t>.</w:t>
      </w:r>
    </w:p>
    <w:p w14:paraId="225C8B29" w14:textId="438E8055" w:rsidR="0057344C" w:rsidRDefault="0057344C" w:rsidP="00951416">
      <w:r>
        <w:t>Burkert, W.</w:t>
      </w:r>
      <w:r>
        <w:t xml:space="preserve"> 1985.</w:t>
      </w:r>
      <w:r>
        <w:t xml:space="preserve"> </w:t>
      </w:r>
      <w:r w:rsidRPr="0057344C">
        <w:rPr>
          <w:i/>
        </w:rPr>
        <w:t>Greek Religion</w:t>
      </w:r>
      <w:r>
        <w:t>.</w:t>
      </w:r>
      <w:r>
        <w:t xml:space="preserve"> Harvard University Press, Cambridge, Massachusetts.</w:t>
      </w:r>
    </w:p>
    <w:p w14:paraId="00D0BC1A" w14:textId="68D7C6D5" w:rsidR="0057344C" w:rsidRDefault="0057344C" w:rsidP="00951416">
      <w:r>
        <w:t>Harrison, A.R.W.</w:t>
      </w:r>
      <w:r>
        <w:t xml:space="preserve"> 1968.</w:t>
      </w:r>
      <w:r>
        <w:t xml:space="preserve"> </w:t>
      </w:r>
      <w:r w:rsidRPr="0057344C">
        <w:rPr>
          <w:i/>
        </w:rPr>
        <w:t>The Law of Athens Volume 1</w:t>
      </w:r>
      <w:r>
        <w:t>.</w:t>
      </w:r>
      <w:r>
        <w:t xml:space="preserve"> Clarendon Press, Oxford University Press London.</w:t>
      </w:r>
    </w:p>
    <w:p w14:paraId="2884C5A6" w14:textId="1D660402" w:rsidR="0057344C" w:rsidRDefault="0057344C" w:rsidP="00951416">
      <w:r>
        <w:t>Parker, R. 2007.</w:t>
      </w:r>
      <w:r>
        <w:t xml:space="preserve"> </w:t>
      </w:r>
      <w:r w:rsidRPr="0057344C">
        <w:rPr>
          <w:i/>
        </w:rPr>
        <w:t>Polytheism and Society at Athens.</w:t>
      </w:r>
      <w:r>
        <w:t xml:space="preserve"> </w:t>
      </w:r>
      <w:r>
        <w:t>Oxford University Press, London.</w:t>
      </w:r>
    </w:p>
    <w:p w14:paraId="33FDAB76" w14:textId="25A79C9E" w:rsidR="0057344C" w:rsidRPr="008E5ED7" w:rsidRDefault="0057344C" w:rsidP="00951416">
      <w:r>
        <w:t xml:space="preserve">LUCIAN. </w:t>
      </w:r>
      <w:r w:rsidRPr="0057344C">
        <w:rPr>
          <w:i/>
        </w:rPr>
        <w:t>Affairs of the Heart (</w:t>
      </w:r>
      <w:proofErr w:type="spellStart"/>
      <w:r w:rsidRPr="0057344C">
        <w:rPr>
          <w:i/>
        </w:rPr>
        <w:t>Amores</w:t>
      </w:r>
      <w:proofErr w:type="spellEnd"/>
      <w:r w:rsidRPr="0057344C">
        <w:rPr>
          <w:i/>
        </w:rPr>
        <w:t>).</w:t>
      </w:r>
    </w:p>
    <w:sectPr w:rsidR="0057344C" w:rsidRPr="008E5E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C9977" w14:textId="77777777" w:rsidR="00BA4AFD" w:rsidRDefault="00BA4AFD" w:rsidP="006E3D46">
      <w:pPr>
        <w:spacing w:after="0" w:line="240" w:lineRule="auto"/>
      </w:pPr>
      <w:r>
        <w:separator/>
      </w:r>
    </w:p>
  </w:endnote>
  <w:endnote w:type="continuationSeparator" w:id="0">
    <w:p w14:paraId="6DD0CD6B" w14:textId="77777777" w:rsidR="00BA4AFD" w:rsidRDefault="00BA4AFD" w:rsidP="006E3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3F308" w14:textId="77777777" w:rsidR="00BA4AFD" w:rsidRDefault="00BA4AFD" w:rsidP="006E3D46">
      <w:pPr>
        <w:spacing w:after="0" w:line="240" w:lineRule="auto"/>
      </w:pPr>
      <w:r>
        <w:separator/>
      </w:r>
    </w:p>
  </w:footnote>
  <w:footnote w:type="continuationSeparator" w:id="0">
    <w:p w14:paraId="08C8134B" w14:textId="77777777" w:rsidR="00BA4AFD" w:rsidRDefault="00BA4AFD" w:rsidP="006E3D46">
      <w:pPr>
        <w:spacing w:after="0" w:line="240" w:lineRule="auto"/>
      </w:pPr>
      <w:r>
        <w:continuationSeparator/>
      </w:r>
    </w:p>
  </w:footnote>
  <w:footnote w:id="1">
    <w:p w14:paraId="6DC2ACA1" w14:textId="6CD31B2E" w:rsidR="006E3D46" w:rsidRDefault="006E3D46">
      <w:pPr>
        <w:pStyle w:val="FootnoteText"/>
      </w:pPr>
      <w:r>
        <w:rPr>
          <w:rStyle w:val="FootnoteReference"/>
        </w:rPr>
        <w:footnoteRef/>
      </w:r>
      <w:r>
        <w:t xml:space="preserve"> Harrison, A.R.W. The Law of Athens Volume 1. 1968. </w:t>
      </w:r>
      <w:proofErr w:type="spellStart"/>
      <w:r>
        <w:t>Pg</w:t>
      </w:r>
      <w:proofErr w:type="spellEnd"/>
      <w:r>
        <w:t xml:space="preserve"> 20. </w:t>
      </w:r>
    </w:p>
  </w:footnote>
  <w:footnote w:id="2">
    <w:p w14:paraId="70FCD607" w14:textId="05CCBFA1" w:rsidR="006E3D46" w:rsidRDefault="006E3D46">
      <w:pPr>
        <w:pStyle w:val="FootnoteText"/>
      </w:pPr>
      <w:r>
        <w:rPr>
          <w:rStyle w:val="FootnoteReference"/>
        </w:rPr>
        <w:footnoteRef/>
      </w:r>
      <w:r>
        <w:t xml:space="preserve"> </w:t>
      </w:r>
      <w:r>
        <w:t>Harrison, A.R.W. The Law of Athens</w:t>
      </w:r>
      <w:r>
        <w:t xml:space="preserve"> Volume 1</w:t>
      </w:r>
      <w:r>
        <w:t xml:space="preserve">. 1968. </w:t>
      </w:r>
      <w:proofErr w:type="spellStart"/>
      <w:r>
        <w:t>Pg</w:t>
      </w:r>
      <w:proofErr w:type="spellEnd"/>
      <w:r>
        <w:t xml:space="preserve"> 2</w:t>
      </w:r>
      <w:r>
        <w:t>0.</w:t>
      </w:r>
    </w:p>
  </w:footnote>
  <w:footnote w:id="3">
    <w:p w14:paraId="1CF2BCF8" w14:textId="2FE6DB43" w:rsidR="006E3D46" w:rsidRDefault="006E3D46">
      <w:pPr>
        <w:pStyle w:val="FootnoteText"/>
      </w:pPr>
      <w:r>
        <w:rPr>
          <w:rStyle w:val="FootnoteReference"/>
        </w:rPr>
        <w:footnoteRef/>
      </w:r>
      <w:r>
        <w:t xml:space="preserve"> </w:t>
      </w:r>
      <w:r w:rsidR="00116336">
        <w:t xml:space="preserve">Harrison, A.R.W. The Law of Athens Volume 1. 1968. </w:t>
      </w:r>
      <w:proofErr w:type="spellStart"/>
      <w:r w:rsidR="00116336">
        <w:t>Pg</w:t>
      </w:r>
      <w:proofErr w:type="spellEnd"/>
      <w:r w:rsidR="00116336">
        <w:t xml:space="preserve"> 2</w:t>
      </w:r>
      <w:r w:rsidR="00116336">
        <w:t>1.</w:t>
      </w:r>
    </w:p>
  </w:footnote>
  <w:footnote w:id="4">
    <w:p w14:paraId="69545632" w14:textId="52C65EDA" w:rsidR="00116336" w:rsidRDefault="00116336">
      <w:pPr>
        <w:pStyle w:val="FootnoteText"/>
      </w:pPr>
      <w:r>
        <w:rPr>
          <w:rStyle w:val="FootnoteReference"/>
        </w:rPr>
        <w:footnoteRef/>
      </w:r>
      <w:r>
        <w:t xml:space="preserve"> </w:t>
      </w:r>
      <w:r>
        <w:t xml:space="preserve">Harrison, A.R.W. The Law of Athens Volume 1. 1968. </w:t>
      </w:r>
      <w:proofErr w:type="spellStart"/>
      <w:r>
        <w:t>Pg</w:t>
      </w:r>
      <w:proofErr w:type="spellEnd"/>
      <w:r>
        <w:t xml:space="preserve"> 21.</w:t>
      </w:r>
    </w:p>
  </w:footnote>
  <w:footnote w:id="5">
    <w:p w14:paraId="395D777E" w14:textId="1E82EAEC" w:rsidR="00A3667C" w:rsidRDefault="00A3667C">
      <w:pPr>
        <w:pStyle w:val="FootnoteText"/>
      </w:pPr>
      <w:r>
        <w:rPr>
          <w:rStyle w:val="FootnoteReference"/>
        </w:rPr>
        <w:footnoteRef/>
      </w:r>
      <w:r>
        <w:t xml:space="preserve"> </w:t>
      </w:r>
      <w:r>
        <w:t xml:space="preserve">Harrison, A.R.W. The Law of Athens Volume 1. 1968. </w:t>
      </w:r>
      <w:proofErr w:type="spellStart"/>
      <w:r>
        <w:t>Pg</w:t>
      </w:r>
      <w:proofErr w:type="spellEnd"/>
      <w:r>
        <w:t xml:space="preserve"> 2</w:t>
      </w:r>
      <w:r>
        <w:t>0</w:t>
      </w:r>
      <w:r>
        <w:t>.</w:t>
      </w:r>
    </w:p>
  </w:footnote>
  <w:footnote w:id="6">
    <w:p w14:paraId="5DF26E78" w14:textId="1E6B4330" w:rsidR="00116336" w:rsidRDefault="00116336">
      <w:pPr>
        <w:pStyle w:val="FootnoteText"/>
      </w:pPr>
      <w:r>
        <w:rPr>
          <w:rStyle w:val="FootnoteReference"/>
        </w:rPr>
        <w:footnoteRef/>
      </w:r>
      <w:r>
        <w:t xml:space="preserve"> </w:t>
      </w:r>
      <w:r>
        <w:t xml:space="preserve">Harrison, A.R.W. The Law of Athens Volume 1. 1968. </w:t>
      </w:r>
      <w:proofErr w:type="spellStart"/>
      <w:r>
        <w:t>Pg</w:t>
      </w:r>
      <w:proofErr w:type="spellEnd"/>
      <w:r>
        <w:t xml:space="preserve"> </w:t>
      </w:r>
      <w:r>
        <w:t>18</w:t>
      </w:r>
      <w:r>
        <w:t>.</w:t>
      </w:r>
    </w:p>
  </w:footnote>
  <w:footnote w:id="7">
    <w:p w14:paraId="0C7DA789" w14:textId="11B75D28" w:rsidR="0026009B" w:rsidRDefault="0026009B">
      <w:pPr>
        <w:pStyle w:val="FootnoteText"/>
      </w:pPr>
      <w:r>
        <w:rPr>
          <w:rStyle w:val="FootnoteReference"/>
        </w:rPr>
        <w:footnoteRef/>
      </w:r>
      <w:r>
        <w:t xml:space="preserve"> LUCIAN</w:t>
      </w:r>
      <w:r w:rsidR="00781152">
        <w:t>.</w:t>
      </w:r>
      <w:r>
        <w:t xml:space="preserve"> Affairs of the Heart (</w:t>
      </w:r>
      <w:proofErr w:type="spellStart"/>
      <w:r>
        <w:t>Amores</w:t>
      </w:r>
      <w:proofErr w:type="spellEnd"/>
      <w:r>
        <w:t>)</w:t>
      </w:r>
      <w:r w:rsidR="00781152">
        <w:t>.</w:t>
      </w:r>
      <w:r>
        <w:t xml:space="preserve"> </w:t>
      </w:r>
      <w:proofErr w:type="spellStart"/>
      <w:r w:rsidR="00781152">
        <w:t>P</w:t>
      </w:r>
      <w:r>
        <w:t>g</w:t>
      </w:r>
      <w:proofErr w:type="spellEnd"/>
      <w:r>
        <w:t xml:space="preserve"> 228-229</w:t>
      </w:r>
    </w:p>
  </w:footnote>
  <w:footnote w:id="8">
    <w:p w14:paraId="3E466D88" w14:textId="274BBE9C" w:rsidR="00CC6C01" w:rsidRDefault="00CC6C01">
      <w:pPr>
        <w:pStyle w:val="FootnoteText"/>
      </w:pPr>
      <w:r>
        <w:rPr>
          <w:rStyle w:val="FootnoteReference"/>
        </w:rPr>
        <w:footnoteRef/>
      </w:r>
      <w:r>
        <w:t xml:space="preserve"> </w:t>
      </w:r>
      <w:r>
        <w:t xml:space="preserve">Harrison, A.R.W. The Law of Athens Volume 1. 1968. </w:t>
      </w:r>
      <w:proofErr w:type="spellStart"/>
      <w:r>
        <w:t>Pg</w:t>
      </w:r>
      <w:proofErr w:type="spellEnd"/>
      <w:r>
        <w:t xml:space="preserve"> </w:t>
      </w:r>
      <w:r>
        <w:t>30</w:t>
      </w:r>
      <w:r>
        <w:t>.</w:t>
      </w:r>
    </w:p>
  </w:footnote>
  <w:footnote w:id="9">
    <w:p w14:paraId="7BF72B22" w14:textId="291AB1D9" w:rsidR="00CC6C01" w:rsidRDefault="00CC6C01">
      <w:pPr>
        <w:pStyle w:val="FootnoteText"/>
      </w:pPr>
      <w:r>
        <w:rPr>
          <w:rStyle w:val="FootnoteReference"/>
        </w:rPr>
        <w:footnoteRef/>
      </w:r>
      <w:r>
        <w:t xml:space="preserve"> </w:t>
      </w:r>
      <w:r>
        <w:t xml:space="preserve">Harrison, A.R.W. The Law of Athens Volume 1. 1968. </w:t>
      </w:r>
      <w:proofErr w:type="spellStart"/>
      <w:r>
        <w:t>Pg</w:t>
      </w:r>
      <w:proofErr w:type="spellEnd"/>
      <w:r>
        <w:t xml:space="preserve"> </w:t>
      </w:r>
      <w:r>
        <w:t>3</w:t>
      </w:r>
      <w:r>
        <w:t>1.</w:t>
      </w:r>
    </w:p>
  </w:footnote>
  <w:footnote w:id="10">
    <w:p w14:paraId="542254BE" w14:textId="1CC4DF9F" w:rsidR="00781152" w:rsidRDefault="00781152">
      <w:pPr>
        <w:pStyle w:val="FootnoteText"/>
      </w:pPr>
      <w:r>
        <w:rPr>
          <w:rStyle w:val="FootnoteReference"/>
        </w:rPr>
        <w:footnoteRef/>
      </w:r>
      <w:r>
        <w:t xml:space="preserve"> AUSONIUS. </w:t>
      </w:r>
      <w:r w:rsidR="007D54D3">
        <w:t>Nuptial</w:t>
      </w:r>
      <w:r>
        <w:t xml:space="preserve"> Cento. </w:t>
      </w:r>
      <w:proofErr w:type="spellStart"/>
      <w:r>
        <w:t>Pg</w:t>
      </w:r>
      <w:proofErr w:type="spellEnd"/>
      <w:r>
        <w:t xml:space="preserve"> 378-379</w:t>
      </w:r>
    </w:p>
  </w:footnote>
  <w:footnote w:id="11">
    <w:p w14:paraId="31354899" w14:textId="3B4ED317" w:rsidR="00CC6C01" w:rsidRDefault="00CC6C01">
      <w:pPr>
        <w:pStyle w:val="FootnoteText"/>
      </w:pPr>
      <w:r>
        <w:rPr>
          <w:rStyle w:val="FootnoteReference"/>
        </w:rPr>
        <w:footnoteRef/>
      </w:r>
      <w:r>
        <w:t xml:space="preserve"> Parker, R. Polytheism and Society at Athens. 2007. </w:t>
      </w:r>
      <w:proofErr w:type="spellStart"/>
      <w:r>
        <w:t>Pg</w:t>
      </w:r>
      <w:proofErr w:type="spellEnd"/>
      <w:r>
        <w:t xml:space="preserve"> 440.</w:t>
      </w:r>
    </w:p>
  </w:footnote>
  <w:footnote w:id="12">
    <w:p w14:paraId="7F45FD34" w14:textId="365A5659" w:rsidR="00C66CAA" w:rsidRDefault="00C66CAA">
      <w:pPr>
        <w:pStyle w:val="FootnoteText"/>
      </w:pPr>
      <w:r>
        <w:rPr>
          <w:rStyle w:val="FootnoteReference"/>
        </w:rPr>
        <w:footnoteRef/>
      </w:r>
      <w:r>
        <w:t xml:space="preserve"> </w:t>
      </w:r>
      <w:r>
        <w:t xml:space="preserve">Parker, R. Polytheism and Society at Athens. 2007. </w:t>
      </w:r>
      <w:proofErr w:type="spellStart"/>
      <w:r>
        <w:t>Pg</w:t>
      </w:r>
      <w:proofErr w:type="spellEnd"/>
      <w:r>
        <w:t xml:space="preserve"> </w:t>
      </w:r>
      <w:r>
        <w:t xml:space="preserve">441 and </w:t>
      </w:r>
      <w:r>
        <w:t>44</w:t>
      </w:r>
      <w:r>
        <w:t>2</w:t>
      </w:r>
      <w:r>
        <w:t>.</w:t>
      </w:r>
    </w:p>
  </w:footnote>
  <w:footnote w:id="13">
    <w:p w14:paraId="26CB2F95" w14:textId="6EC6D61A" w:rsidR="00781152" w:rsidRDefault="00781152">
      <w:pPr>
        <w:pStyle w:val="FootnoteText"/>
      </w:pPr>
      <w:r>
        <w:rPr>
          <w:rStyle w:val="FootnoteReference"/>
        </w:rPr>
        <w:footnoteRef/>
      </w:r>
      <w:r>
        <w:t xml:space="preserve"> Burkert, W. Greek Religion. 1985. </w:t>
      </w:r>
      <w:proofErr w:type="spellStart"/>
      <w:r>
        <w:t>Pg</w:t>
      </w:r>
      <w:proofErr w:type="spellEnd"/>
      <w:r>
        <w:t xml:space="preserve"> 132-134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3C1DEF" w14:textId="65354C48" w:rsidR="008E5ED7" w:rsidRDefault="008E5ED7">
    <w:pPr>
      <w:pStyle w:val="Header"/>
    </w:pPr>
    <w:r>
      <w:t>Hazel Dawn Carter – Assignment 4 – Due 30/09/18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416"/>
    <w:rsid w:val="000822DE"/>
    <w:rsid w:val="00116336"/>
    <w:rsid w:val="0026009B"/>
    <w:rsid w:val="00331E65"/>
    <w:rsid w:val="003B4F1C"/>
    <w:rsid w:val="0040445E"/>
    <w:rsid w:val="0057344C"/>
    <w:rsid w:val="006E3D46"/>
    <w:rsid w:val="00781152"/>
    <w:rsid w:val="007D54D3"/>
    <w:rsid w:val="00831A8F"/>
    <w:rsid w:val="008E5ED7"/>
    <w:rsid w:val="00951416"/>
    <w:rsid w:val="00A3667C"/>
    <w:rsid w:val="00BA4AFD"/>
    <w:rsid w:val="00C66CAA"/>
    <w:rsid w:val="00CC6C01"/>
    <w:rsid w:val="00F72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2A028"/>
  <w15:chartTrackingRefBased/>
  <w15:docId w15:val="{DD626EF0-72EE-4A1A-BB46-8D31A646B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E3D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3D46"/>
    <w:rPr>
      <w:sz w:val="20"/>
      <w:szCs w:val="20"/>
    </w:rPr>
  </w:style>
  <w:style w:type="character" w:styleId="FootnoteReference">
    <w:name w:val="footnote reference"/>
    <w:basedOn w:val="DefaultParagraphFont"/>
    <w:uiPriority w:val="99"/>
    <w:semiHidden/>
    <w:unhideWhenUsed/>
    <w:rsid w:val="006E3D46"/>
    <w:rPr>
      <w:vertAlign w:val="superscript"/>
    </w:rPr>
  </w:style>
  <w:style w:type="paragraph" w:styleId="Header">
    <w:name w:val="header"/>
    <w:basedOn w:val="Normal"/>
    <w:link w:val="HeaderChar"/>
    <w:uiPriority w:val="99"/>
    <w:unhideWhenUsed/>
    <w:rsid w:val="008E5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ED7"/>
  </w:style>
  <w:style w:type="paragraph" w:styleId="Footer">
    <w:name w:val="footer"/>
    <w:basedOn w:val="Normal"/>
    <w:link w:val="FooterChar"/>
    <w:uiPriority w:val="99"/>
    <w:unhideWhenUsed/>
    <w:rsid w:val="008E5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0A337-44BD-4BB7-B463-7B52E49DB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2</Pages>
  <Words>416</Words>
  <Characters>2375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Dawn Carter</dc:creator>
  <cp:keywords/>
  <dc:description/>
  <cp:lastModifiedBy>Hazel Dawn Carter</cp:lastModifiedBy>
  <cp:revision>8</cp:revision>
  <dcterms:created xsi:type="dcterms:W3CDTF">2018-09-30T15:15:00Z</dcterms:created>
  <dcterms:modified xsi:type="dcterms:W3CDTF">2018-09-30T19:00:00Z</dcterms:modified>
</cp:coreProperties>
</file>