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6B16" w:rsidRDefault="00C66B16" w:rsidP="00C66B16">
      <w:pPr>
        <w:spacing w:line="360" w:lineRule="auto"/>
        <w:jc w:val="center"/>
        <w:rPr>
          <w:rFonts w:ascii="Times New Roman" w:hAnsi="Times New Roman" w:cs="Times New Roman"/>
          <w:sz w:val="24"/>
          <w:szCs w:val="24"/>
        </w:rPr>
      </w:pPr>
    </w:p>
    <w:p w:rsidR="0039695B" w:rsidRDefault="0039695B" w:rsidP="00C66B16">
      <w:pPr>
        <w:spacing w:line="360" w:lineRule="auto"/>
        <w:jc w:val="center"/>
        <w:rPr>
          <w:rFonts w:ascii="Times New Roman" w:hAnsi="Times New Roman" w:cs="Times New Roman"/>
          <w:sz w:val="24"/>
          <w:szCs w:val="24"/>
        </w:rPr>
      </w:pPr>
      <w:r w:rsidRPr="00C66B16">
        <w:rPr>
          <w:rFonts w:ascii="Times New Roman" w:hAnsi="Times New Roman" w:cs="Times New Roman"/>
          <w:sz w:val="24"/>
          <w:szCs w:val="24"/>
        </w:rPr>
        <w:t>Applied Quantitative Business Research</w:t>
      </w:r>
    </w:p>
    <w:p w:rsidR="00C66B16" w:rsidRDefault="00C66B16" w:rsidP="00C66B16">
      <w:pPr>
        <w:spacing w:line="360" w:lineRule="auto"/>
        <w:jc w:val="center"/>
        <w:rPr>
          <w:rFonts w:ascii="Times New Roman" w:hAnsi="Times New Roman" w:cs="Times New Roman"/>
          <w:sz w:val="24"/>
          <w:szCs w:val="24"/>
        </w:rPr>
      </w:pPr>
    </w:p>
    <w:p w:rsidR="00C66B16" w:rsidRDefault="00C66B16" w:rsidP="00C66B16">
      <w:pPr>
        <w:spacing w:line="360" w:lineRule="auto"/>
        <w:jc w:val="center"/>
        <w:rPr>
          <w:rFonts w:ascii="Times New Roman" w:hAnsi="Times New Roman" w:cs="Times New Roman"/>
          <w:sz w:val="24"/>
          <w:szCs w:val="24"/>
        </w:rPr>
      </w:pPr>
    </w:p>
    <w:p w:rsidR="00C66B16" w:rsidRPr="00C66B16" w:rsidRDefault="00C66B16" w:rsidP="00C66B16">
      <w:pPr>
        <w:spacing w:line="360" w:lineRule="auto"/>
        <w:jc w:val="center"/>
        <w:rPr>
          <w:rFonts w:ascii="Times New Roman" w:hAnsi="Times New Roman" w:cs="Times New Roman"/>
          <w:sz w:val="24"/>
          <w:szCs w:val="24"/>
        </w:rPr>
      </w:pPr>
      <w:bookmarkStart w:id="0" w:name="_GoBack"/>
      <w:bookmarkEnd w:id="0"/>
    </w:p>
    <w:p w:rsidR="0039695B" w:rsidRPr="00C66B16" w:rsidRDefault="0039695B" w:rsidP="00C66B16">
      <w:pPr>
        <w:spacing w:line="360" w:lineRule="auto"/>
        <w:jc w:val="center"/>
        <w:rPr>
          <w:rFonts w:ascii="Times New Roman" w:hAnsi="Times New Roman" w:cs="Times New Roman"/>
          <w:sz w:val="24"/>
          <w:szCs w:val="24"/>
        </w:rPr>
      </w:pPr>
      <w:r w:rsidRPr="00C66B16">
        <w:rPr>
          <w:rFonts w:ascii="Times New Roman" w:hAnsi="Times New Roman" w:cs="Times New Roman"/>
          <w:sz w:val="24"/>
          <w:szCs w:val="24"/>
        </w:rPr>
        <w:t>Name</w:t>
      </w:r>
    </w:p>
    <w:p w:rsidR="0039695B" w:rsidRPr="00C66B16" w:rsidRDefault="0039695B" w:rsidP="00C66B16">
      <w:pPr>
        <w:spacing w:line="360" w:lineRule="auto"/>
        <w:jc w:val="center"/>
        <w:rPr>
          <w:rFonts w:ascii="Times New Roman" w:hAnsi="Times New Roman" w:cs="Times New Roman"/>
          <w:sz w:val="24"/>
          <w:szCs w:val="24"/>
        </w:rPr>
      </w:pPr>
      <w:r w:rsidRPr="00C66B16">
        <w:rPr>
          <w:rFonts w:ascii="Times New Roman" w:hAnsi="Times New Roman" w:cs="Times New Roman"/>
          <w:sz w:val="24"/>
          <w:szCs w:val="24"/>
        </w:rPr>
        <w:t>Institution</w:t>
      </w:r>
    </w:p>
    <w:p w:rsidR="0039695B" w:rsidRPr="00C66B16" w:rsidRDefault="0039695B" w:rsidP="00C66B16">
      <w:pPr>
        <w:spacing w:line="360" w:lineRule="auto"/>
        <w:jc w:val="both"/>
        <w:rPr>
          <w:rFonts w:ascii="Times New Roman" w:hAnsi="Times New Roman" w:cs="Times New Roman"/>
          <w:sz w:val="24"/>
          <w:szCs w:val="24"/>
        </w:rPr>
      </w:pPr>
    </w:p>
    <w:p w:rsidR="00C66B16" w:rsidRPr="00C66B16" w:rsidRDefault="00C66B16"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br w:type="page"/>
      </w:r>
    </w:p>
    <w:p w:rsidR="002E5C9B" w:rsidRPr="00C66B16" w:rsidRDefault="004A54C1"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lastRenderedPageBreak/>
        <w:t>Introduction</w:t>
      </w:r>
    </w:p>
    <w:p w:rsidR="004A54C1" w:rsidRPr="00C66B16" w:rsidRDefault="004A54C1"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t xml:space="preserve">The field of behavioral finance has established a plethora of cognitive and behavioral patterns that impact rationality in financial decision making as well as identifying that, these predicable trends or themes of </w:t>
      </w:r>
      <w:r w:rsidR="007A79E2" w:rsidRPr="00C66B16">
        <w:rPr>
          <w:rFonts w:ascii="Times New Roman" w:hAnsi="Times New Roman" w:cs="Times New Roman"/>
          <w:sz w:val="24"/>
          <w:szCs w:val="24"/>
        </w:rPr>
        <w:t>biases</w:t>
      </w:r>
      <w:r w:rsidRPr="00C66B16">
        <w:rPr>
          <w:rFonts w:ascii="Times New Roman" w:hAnsi="Times New Roman" w:cs="Times New Roman"/>
          <w:sz w:val="24"/>
          <w:szCs w:val="24"/>
        </w:rPr>
        <w:t xml:space="preserve"> or quasi-rationality come from people’s psychological make-up</w:t>
      </w:r>
      <w:r w:rsidR="007A79E2" w:rsidRPr="00C66B16">
        <w:rPr>
          <w:rFonts w:ascii="Times New Roman" w:hAnsi="Times New Roman" w:cs="Times New Roman"/>
          <w:sz w:val="24"/>
          <w:szCs w:val="24"/>
        </w:rPr>
        <w:t xml:space="preserve">. </w:t>
      </w:r>
      <w:r w:rsidR="002A332D" w:rsidRPr="00C66B16">
        <w:rPr>
          <w:rFonts w:ascii="Times New Roman" w:hAnsi="Times New Roman" w:cs="Times New Roman"/>
          <w:sz w:val="24"/>
          <w:szCs w:val="24"/>
        </w:rPr>
        <w:t xml:space="preserve">Besides, concept of behavioral finance is not only applied in the finance but also in other areas such as sporting and gambling since gamblers are plagued by the biases identified in the literature of </w:t>
      </w:r>
      <w:r w:rsidR="002A332D" w:rsidRPr="00C66B16">
        <w:rPr>
          <w:rFonts w:ascii="Times New Roman" w:hAnsi="Times New Roman" w:cs="Times New Roman"/>
          <w:sz w:val="24"/>
          <w:szCs w:val="24"/>
        </w:rPr>
        <w:t>behavioral finance</w:t>
      </w:r>
      <w:r w:rsidR="002A332D" w:rsidRPr="00C66B16">
        <w:rPr>
          <w:rFonts w:ascii="Times New Roman" w:hAnsi="Times New Roman" w:cs="Times New Roman"/>
          <w:sz w:val="24"/>
          <w:szCs w:val="24"/>
        </w:rPr>
        <w:t xml:space="preserve">. </w:t>
      </w:r>
      <w:r w:rsidR="00E009E4" w:rsidRPr="00C66B16">
        <w:rPr>
          <w:rFonts w:ascii="Times New Roman" w:hAnsi="Times New Roman" w:cs="Times New Roman"/>
          <w:sz w:val="24"/>
          <w:szCs w:val="24"/>
        </w:rPr>
        <w:t xml:space="preserve">Also, the </w:t>
      </w:r>
      <w:r w:rsidR="00171CC5" w:rsidRPr="00C66B16">
        <w:rPr>
          <w:rFonts w:ascii="Times New Roman" w:hAnsi="Times New Roman" w:cs="Times New Roman"/>
          <w:sz w:val="24"/>
          <w:szCs w:val="24"/>
        </w:rPr>
        <w:t>concept</w:t>
      </w:r>
      <w:r w:rsidR="00E009E4" w:rsidRPr="00C66B16">
        <w:rPr>
          <w:rFonts w:ascii="Times New Roman" w:hAnsi="Times New Roman" w:cs="Times New Roman"/>
          <w:sz w:val="24"/>
          <w:szCs w:val="24"/>
        </w:rPr>
        <w:t xml:space="preserve"> of the market efficiency from the efficient market hypothesis (EMH), </w:t>
      </w:r>
      <w:r w:rsidR="00171CC5" w:rsidRPr="00C66B16">
        <w:rPr>
          <w:rFonts w:ascii="Times New Roman" w:hAnsi="Times New Roman" w:cs="Times New Roman"/>
          <w:sz w:val="24"/>
          <w:szCs w:val="24"/>
        </w:rPr>
        <w:t>acts as an integral underlying assumption in sporting gambling markets. In this regard, this report seeks to compare, contrast and critically carry out an analysis on two quantitative articles in the research area of behavioral finance with focus on gambling</w:t>
      </w:r>
      <w:r w:rsidR="00273194" w:rsidRPr="00C66B16">
        <w:rPr>
          <w:rFonts w:ascii="Times New Roman" w:hAnsi="Times New Roman" w:cs="Times New Roman"/>
          <w:sz w:val="24"/>
          <w:szCs w:val="24"/>
        </w:rPr>
        <w:t xml:space="preserve"> staring with providing the rationale for the choice of </w:t>
      </w:r>
      <w:r w:rsidR="00363F60" w:rsidRPr="00C66B16">
        <w:rPr>
          <w:rFonts w:ascii="Times New Roman" w:hAnsi="Times New Roman" w:cs="Times New Roman"/>
          <w:sz w:val="24"/>
          <w:szCs w:val="24"/>
        </w:rPr>
        <w:t>articles</w:t>
      </w:r>
      <w:r w:rsidR="00273194" w:rsidRPr="00C66B16">
        <w:rPr>
          <w:rFonts w:ascii="Times New Roman" w:hAnsi="Times New Roman" w:cs="Times New Roman"/>
          <w:sz w:val="24"/>
          <w:szCs w:val="24"/>
        </w:rPr>
        <w:t xml:space="preserve"> and then discussion of the articles’ methodology and research design as well as conclusion and recommendations</w:t>
      </w:r>
      <w:r w:rsidR="00171CC5" w:rsidRPr="00C66B16">
        <w:rPr>
          <w:rFonts w:ascii="Times New Roman" w:hAnsi="Times New Roman" w:cs="Times New Roman"/>
          <w:sz w:val="24"/>
          <w:szCs w:val="24"/>
        </w:rPr>
        <w:t xml:space="preserve">. The research articles includes; the behavioral biases in the NFL gambling market; overreaction to news and the </w:t>
      </w:r>
      <w:proofErr w:type="spellStart"/>
      <w:r w:rsidR="00171CC5" w:rsidRPr="00C66B16">
        <w:rPr>
          <w:rFonts w:ascii="Times New Roman" w:hAnsi="Times New Roman" w:cs="Times New Roman"/>
          <w:sz w:val="24"/>
          <w:szCs w:val="24"/>
        </w:rPr>
        <w:t>recency</w:t>
      </w:r>
      <w:proofErr w:type="spellEnd"/>
      <w:r w:rsidR="00171CC5" w:rsidRPr="00C66B16">
        <w:rPr>
          <w:rFonts w:ascii="Times New Roman" w:hAnsi="Times New Roman" w:cs="Times New Roman"/>
          <w:sz w:val="24"/>
          <w:szCs w:val="24"/>
        </w:rPr>
        <w:t xml:space="preserve"> bias by Durand et al., (2021) and patience is a virtue: exploiting behavior bias in gambling markets by Krieger et al., (2021). </w:t>
      </w:r>
    </w:p>
    <w:p w:rsidR="009F75BF" w:rsidRPr="00C66B16" w:rsidRDefault="009F75BF"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t>The rationale for the choice of the articles</w:t>
      </w:r>
    </w:p>
    <w:p w:rsidR="00D3274B" w:rsidRPr="00C66B16" w:rsidRDefault="00864ED7"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t xml:space="preserve">This part will comprise of the short assessment of the outcome of the findings and the managerial implications. As stated earlier the </w:t>
      </w:r>
      <w:r w:rsidRPr="00C66B16">
        <w:rPr>
          <w:rFonts w:ascii="Times New Roman" w:hAnsi="Times New Roman" w:cs="Times New Roman"/>
          <w:sz w:val="24"/>
          <w:szCs w:val="24"/>
        </w:rPr>
        <w:t>behavioral finance</w:t>
      </w:r>
      <w:r w:rsidRPr="00C66B16">
        <w:rPr>
          <w:rFonts w:ascii="Times New Roman" w:hAnsi="Times New Roman" w:cs="Times New Roman"/>
          <w:sz w:val="24"/>
          <w:szCs w:val="24"/>
        </w:rPr>
        <w:t xml:space="preserve"> and market efficient literatures have been essential in providing the underlying assumptions in the sporting especially the gambling markets. The main type of assumption is asymmetrical information between the gamblers, the biases in </w:t>
      </w:r>
      <w:r w:rsidRPr="00C66B16">
        <w:rPr>
          <w:rFonts w:ascii="Times New Roman" w:hAnsi="Times New Roman" w:cs="Times New Roman"/>
          <w:sz w:val="24"/>
          <w:szCs w:val="24"/>
        </w:rPr>
        <w:t>behavioral finance</w:t>
      </w:r>
      <w:r w:rsidRPr="00C66B16">
        <w:rPr>
          <w:rFonts w:ascii="Times New Roman" w:hAnsi="Times New Roman" w:cs="Times New Roman"/>
          <w:sz w:val="24"/>
          <w:szCs w:val="24"/>
        </w:rPr>
        <w:t xml:space="preserve"> including the overconfidence, information bias, selection bias and cognitive </w:t>
      </w:r>
      <w:r w:rsidR="00D85383" w:rsidRPr="00C66B16">
        <w:rPr>
          <w:rFonts w:ascii="Times New Roman" w:hAnsi="Times New Roman" w:cs="Times New Roman"/>
          <w:sz w:val="24"/>
          <w:szCs w:val="24"/>
        </w:rPr>
        <w:t>biases</w:t>
      </w:r>
      <w:r w:rsidRPr="00C66B16">
        <w:rPr>
          <w:rFonts w:ascii="Times New Roman" w:hAnsi="Times New Roman" w:cs="Times New Roman"/>
          <w:sz w:val="24"/>
          <w:szCs w:val="24"/>
        </w:rPr>
        <w:t xml:space="preserve"> among others. </w:t>
      </w:r>
      <w:r w:rsidR="00D85383" w:rsidRPr="00C66B16">
        <w:rPr>
          <w:rFonts w:ascii="Times New Roman" w:hAnsi="Times New Roman" w:cs="Times New Roman"/>
          <w:sz w:val="24"/>
          <w:szCs w:val="24"/>
        </w:rPr>
        <w:t xml:space="preserve"> Besides, the other usual rational for the selection of the two articles is that, the two articles are quantitative</w:t>
      </w:r>
      <w:r w:rsidR="00CA6A53" w:rsidRPr="00C66B16">
        <w:rPr>
          <w:rFonts w:ascii="Times New Roman" w:hAnsi="Times New Roman" w:cs="Times New Roman"/>
          <w:sz w:val="24"/>
          <w:szCs w:val="24"/>
        </w:rPr>
        <w:t xml:space="preserve"> (are dependent on aspects that can be precisely and accurately measured and relies on the collection and analysis of numerical data)</w:t>
      </w:r>
      <w:r w:rsidR="00D85383" w:rsidRPr="00C66B16">
        <w:rPr>
          <w:rFonts w:ascii="Times New Roman" w:hAnsi="Times New Roman" w:cs="Times New Roman"/>
          <w:sz w:val="24"/>
          <w:szCs w:val="24"/>
        </w:rPr>
        <w:t xml:space="preserve">, are recent </w:t>
      </w:r>
      <w:r w:rsidR="00DF2901" w:rsidRPr="00C66B16">
        <w:rPr>
          <w:rFonts w:ascii="Times New Roman" w:hAnsi="Times New Roman" w:cs="Times New Roman"/>
          <w:sz w:val="24"/>
          <w:szCs w:val="24"/>
        </w:rPr>
        <w:t xml:space="preserve">(both were reviewed and accepted in 2021) </w:t>
      </w:r>
      <w:r w:rsidR="00D85383" w:rsidRPr="00C66B16">
        <w:rPr>
          <w:rFonts w:ascii="Times New Roman" w:hAnsi="Times New Roman" w:cs="Times New Roman"/>
          <w:sz w:val="24"/>
          <w:szCs w:val="24"/>
        </w:rPr>
        <w:t xml:space="preserve">and are from the same field or area of </w:t>
      </w:r>
      <w:r w:rsidR="00D85383" w:rsidRPr="00C66B16">
        <w:rPr>
          <w:rFonts w:ascii="Times New Roman" w:hAnsi="Times New Roman" w:cs="Times New Roman"/>
          <w:sz w:val="24"/>
          <w:szCs w:val="24"/>
        </w:rPr>
        <w:t>behavioral finance</w:t>
      </w:r>
      <w:r w:rsidR="00D85383" w:rsidRPr="00C66B16">
        <w:rPr>
          <w:rFonts w:ascii="Times New Roman" w:hAnsi="Times New Roman" w:cs="Times New Roman"/>
          <w:sz w:val="24"/>
          <w:szCs w:val="24"/>
        </w:rPr>
        <w:t xml:space="preserve"> focusing on gambling. </w:t>
      </w:r>
    </w:p>
    <w:p w:rsidR="009F75BF" w:rsidRPr="00C66B16" w:rsidRDefault="00363F60" w:rsidP="00C66B16">
      <w:pPr>
        <w:spacing w:line="360" w:lineRule="auto"/>
        <w:jc w:val="both"/>
        <w:rPr>
          <w:rFonts w:ascii="Times New Roman" w:hAnsi="Times New Roman" w:cs="Times New Roman"/>
          <w:sz w:val="24"/>
          <w:szCs w:val="24"/>
        </w:rPr>
      </w:pPr>
      <w:r w:rsidRPr="00C66B16">
        <w:rPr>
          <w:rFonts w:ascii="Times New Roman" w:hAnsi="Times New Roman" w:cs="Times New Roman"/>
          <w:sz w:val="24"/>
          <w:szCs w:val="24"/>
        </w:rPr>
        <w:t xml:space="preserve">Regarding the results of the articles, the article by </w:t>
      </w:r>
      <w:r w:rsidRPr="00C66B16">
        <w:rPr>
          <w:rFonts w:ascii="Times New Roman" w:hAnsi="Times New Roman" w:cs="Times New Roman"/>
          <w:sz w:val="24"/>
          <w:szCs w:val="24"/>
        </w:rPr>
        <w:t xml:space="preserve">Durand et al., (2021) </w:t>
      </w:r>
      <w:r w:rsidRPr="00C66B16">
        <w:rPr>
          <w:rFonts w:ascii="Times New Roman" w:hAnsi="Times New Roman" w:cs="Times New Roman"/>
          <w:sz w:val="24"/>
          <w:szCs w:val="24"/>
        </w:rPr>
        <w:t>revealed that</w:t>
      </w:r>
      <w:r w:rsidR="00B02BB5" w:rsidRPr="00C66B16">
        <w:rPr>
          <w:rFonts w:ascii="Times New Roman" w:hAnsi="Times New Roman" w:cs="Times New Roman"/>
          <w:sz w:val="24"/>
          <w:szCs w:val="24"/>
        </w:rPr>
        <w:t>, gamblers, just like the potential investors in the conventional financial markets are afflicted by the</w:t>
      </w:r>
      <w:r w:rsidR="00B02BB5" w:rsidRPr="00C66B16">
        <w:rPr>
          <w:rFonts w:ascii="Times New Roman" w:hAnsi="Times New Roman" w:cs="Times New Roman"/>
          <w:sz w:val="24"/>
          <w:szCs w:val="24"/>
        </w:rPr>
        <w:t xml:space="preserve"> overreaction to the news associated with the starting quarterback and the </w:t>
      </w:r>
      <w:proofErr w:type="spellStart"/>
      <w:r w:rsidR="00B02BB5" w:rsidRPr="00C66B16">
        <w:rPr>
          <w:rFonts w:ascii="Times New Roman" w:hAnsi="Times New Roman" w:cs="Times New Roman"/>
          <w:sz w:val="24"/>
          <w:szCs w:val="24"/>
        </w:rPr>
        <w:t>recency</w:t>
      </w:r>
      <w:proofErr w:type="spellEnd"/>
      <w:r w:rsidR="00B02BB5" w:rsidRPr="00C66B16">
        <w:rPr>
          <w:rFonts w:ascii="Times New Roman" w:hAnsi="Times New Roman" w:cs="Times New Roman"/>
          <w:sz w:val="24"/>
          <w:szCs w:val="24"/>
        </w:rPr>
        <w:t xml:space="preserve"> bias. </w:t>
      </w:r>
      <w:r w:rsidR="00C06314" w:rsidRPr="00C66B16">
        <w:rPr>
          <w:rFonts w:ascii="Times New Roman" w:hAnsi="Times New Roman" w:cs="Times New Roman"/>
          <w:sz w:val="24"/>
          <w:szCs w:val="24"/>
        </w:rPr>
        <w:t xml:space="preserve">The </w:t>
      </w:r>
      <w:proofErr w:type="spellStart"/>
      <w:r w:rsidR="00C06314" w:rsidRPr="00C66B16">
        <w:rPr>
          <w:rFonts w:ascii="Times New Roman" w:hAnsi="Times New Roman" w:cs="Times New Roman"/>
          <w:sz w:val="24"/>
          <w:szCs w:val="24"/>
        </w:rPr>
        <w:t>recency</w:t>
      </w:r>
      <w:proofErr w:type="spellEnd"/>
      <w:r w:rsidR="00C06314" w:rsidRPr="00C66B16">
        <w:rPr>
          <w:rFonts w:ascii="Times New Roman" w:hAnsi="Times New Roman" w:cs="Times New Roman"/>
          <w:sz w:val="24"/>
          <w:szCs w:val="24"/>
        </w:rPr>
        <w:t xml:space="preserve"> bias</w:t>
      </w:r>
      <w:r w:rsidR="00C06314" w:rsidRPr="00C66B16">
        <w:rPr>
          <w:rFonts w:ascii="Times New Roman" w:hAnsi="Times New Roman" w:cs="Times New Roman"/>
          <w:sz w:val="24"/>
          <w:szCs w:val="24"/>
        </w:rPr>
        <w:t xml:space="preserve"> is a cognitive bias that favors recent events or occurrences over the historic ones, for instance, </w:t>
      </w:r>
      <w:r w:rsidR="00C06314" w:rsidRPr="00C66B16">
        <w:rPr>
          <w:rFonts w:ascii="Times New Roman" w:hAnsi="Times New Roman" w:cs="Times New Roman"/>
          <w:sz w:val="24"/>
          <w:szCs w:val="24"/>
        </w:rPr>
        <w:lastRenderedPageBreak/>
        <w:t xml:space="preserve">investors tends to prefer short-term performance to </w:t>
      </w:r>
      <w:r w:rsidR="00D3274B" w:rsidRPr="00C66B16">
        <w:rPr>
          <w:rFonts w:ascii="Times New Roman" w:hAnsi="Times New Roman" w:cs="Times New Roman"/>
          <w:sz w:val="24"/>
          <w:szCs w:val="24"/>
        </w:rPr>
        <w:t xml:space="preserve">long-term performance. Also, the results of the article revealed that, there was a strong support for the existence of </w:t>
      </w:r>
      <w:proofErr w:type="spellStart"/>
      <w:r w:rsidR="00D3274B" w:rsidRPr="00C66B16">
        <w:rPr>
          <w:rFonts w:ascii="Times New Roman" w:hAnsi="Times New Roman" w:cs="Times New Roman"/>
          <w:sz w:val="24"/>
          <w:szCs w:val="24"/>
        </w:rPr>
        <w:t>recency</w:t>
      </w:r>
      <w:proofErr w:type="spellEnd"/>
      <w:r w:rsidR="00D3274B" w:rsidRPr="00C66B16">
        <w:rPr>
          <w:rFonts w:ascii="Times New Roman" w:hAnsi="Times New Roman" w:cs="Times New Roman"/>
          <w:sz w:val="24"/>
          <w:szCs w:val="24"/>
        </w:rPr>
        <w:t xml:space="preserve"> bias</w:t>
      </w:r>
      <w:r w:rsidR="00D3274B" w:rsidRPr="00C66B16">
        <w:rPr>
          <w:rFonts w:ascii="Times New Roman" w:hAnsi="Times New Roman" w:cs="Times New Roman"/>
          <w:sz w:val="24"/>
          <w:szCs w:val="24"/>
        </w:rPr>
        <w:t xml:space="preserve"> in the NFL betting ma</w:t>
      </w:r>
      <w:r w:rsidR="00BC144B" w:rsidRPr="00C66B16">
        <w:rPr>
          <w:rFonts w:ascii="Times New Roman" w:hAnsi="Times New Roman" w:cs="Times New Roman"/>
          <w:sz w:val="24"/>
          <w:szCs w:val="24"/>
        </w:rPr>
        <w:t>r</w:t>
      </w:r>
      <w:r w:rsidR="00D3274B" w:rsidRPr="00C66B16">
        <w:rPr>
          <w:rFonts w:ascii="Times New Roman" w:hAnsi="Times New Roman" w:cs="Times New Roman"/>
          <w:sz w:val="24"/>
          <w:szCs w:val="24"/>
        </w:rPr>
        <w:t>ket as gamblers substantially overweight recent game results when placing their bets as well as bettors straying away from plac</w:t>
      </w:r>
      <w:r w:rsidR="002E7B1F" w:rsidRPr="00C66B16">
        <w:rPr>
          <w:rFonts w:ascii="Times New Roman" w:hAnsi="Times New Roman" w:cs="Times New Roman"/>
          <w:sz w:val="24"/>
          <w:szCs w:val="24"/>
        </w:rPr>
        <w:t>ing bets on teams with the backu</w:t>
      </w:r>
      <w:r w:rsidR="00D3274B" w:rsidRPr="00C66B16">
        <w:rPr>
          <w:rFonts w:ascii="Times New Roman" w:hAnsi="Times New Roman" w:cs="Times New Roman"/>
          <w:sz w:val="24"/>
          <w:szCs w:val="24"/>
        </w:rPr>
        <w:t xml:space="preserve">p quarterbacks as they overreacted to the news. </w:t>
      </w:r>
      <w:r w:rsidR="000317F9" w:rsidRPr="00C66B16">
        <w:rPr>
          <w:rFonts w:ascii="Times New Roman" w:hAnsi="Times New Roman" w:cs="Times New Roman"/>
          <w:sz w:val="24"/>
          <w:szCs w:val="24"/>
        </w:rPr>
        <w:t xml:space="preserve">On the other and, the article by </w:t>
      </w:r>
      <w:r w:rsidR="00BC144B" w:rsidRPr="00C66B16">
        <w:rPr>
          <w:rFonts w:ascii="Times New Roman" w:hAnsi="Times New Roman" w:cs="Times New Roman"/>
          <w:sz w:val="24"/>
          <w:szCs w:val="24"/>
        </w:rPr>
        <w:t>Krieger et al., (2021)</w:t>
      </w:r>
      <w:r w:rsidR="00BC144B" w:rsidRPr="00C66B16">
        <w:rPr>
          <w:rFonts w:ascii="Times New Roman" w:hAnsi="Times New Roman" w:cs="Times New Roman"/>
          <w:sz w:val="24"/>
          <w:szCs w:val="24"/>
        </w:rPr>
        <w:t xml:space="preserve">, found that, the behavioral and psychological factors impacted the common behavior of betting. Besides, the article’s outcome revealed that, </w:t>
      </w:r>
      <w:r w:rsidR="002B6169" w:rsidRPr="00C66B16">
        <w:rPr>
          <w:rFonts w:ascii="Times New Roman" w:hAnsi="Times New Roman" w:cs="Times New Roman"/>
          <w:sz w:val="24"/>
          <w:szCs w:val="24"/>
        </w:rPr>
        <w:t xml:space="preserve">bettors wager 2.1% less on the home team when their first-string quarterback did not play and 3.1% more on the same team when the guest’s first-string quarterback did also not play. All these were consistent with overreaction. </w:t>
      </w:r>
    </w:p>
    <w:p w:rsidR="00273194" w:rsidRPr="00C66B16" w:rsidRDefault="00273194" w:rsidP="00C66B16">
      <w:pPr>
        <w:spacing w:line="360" w:lineRule="auto"/>
        <w:jc w:val="both"/>
        <w:rPr>
          <w:rFonts w:ascii="Times New Roman" w:hAnsi="Times New Roman" w:cs="Times New Roman"/>
          <w:sz w:val="24"/>
          <w:szCs w:val="24"/>
        </w:rPr>
      </w:pPr>
    </w:p>
    <w:sectPr w:rsidR="00273194" w:rsidRPr="00C66B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4C1"/>
    <w:rsid w:val="000317F9"/>
    <w:rsid w:val="00171CC5"/>
    <w:rsid w:val="001B19AA"/>
    <w:rsid w:val="00273194"/>
    <w:rsid w:val="002A332D"/>
    <w:rsid w:val="002B2365"/>
    <w:rsid w:val="002B6169"/>
    <w:rsid w:val="002E7B1F"/>
    <w:rsid w:val="00363F60"/>
    <w:rsid w:val="0039695B"/>
    <w:rsid w:val="0040633A"/>
    <w:rsid w:val="0048098F"/>
    <w:rsid w:val="004A54C1"/>
    <w:rsid w:val="007A79E2"/>
    <w:rsid w:val="00864ED7"/>
    <w:rsid w:val="009F75BF"/>
    <w:rsid w:val="00B02BB5"/>
    <w:rsid w:val="00BC144B"/>
    <w:rsid w:val="00C06314"/>
    <w:rsid w:val="00C66B16"/>
    <w:rsid w:val="00CA6A53"/>
    <w:rsid w:val="00D3274B"/>
    <w:rsid w:val="00D85383"/>
    <w:rsid w:val="00DF2901"/>
    <w:rsid w:val="00E009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9C1AC8-A6D1-4AD0-873B-EB9408A4E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884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525</Words>
  <Characters>2997</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2021-11-15T04:22:00Z</dcterms:created>
  <dcterms:modified xsi:type="dcterms:W3CDTF">2021-11-15T04:22:00Z</dcterms:modified>
</cp:coreProperties>
</file>