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360" w:lineRule="auto"/>
        <w:rPr>
          <w:rFonts w:ascii="Calibri" w:cs="Calibri" w:eastAsia="Calibri" w:hAnsi="Calibri"/>
          <w:sz w:val="24"/>
          <w:szCs w:val="24"/>
        </w:rPr>
      </w:pPr>
      <w:bookmarkStart w:colFirst="0" w:colLast="0" w:name="_yrzdx8jokef1" w:id="0"/>
      <w:bookmarkEnd w:id="0"/>
      <w:r w:rsidDel="00000000" w:rsidR="00000000" w:rsidRPr="00000000">
        <w:rPr>
          <w:rFonts w:ascii="Calibri" w:cs="Calibri" w:eastAsia="Calibri" w:hAnsi="Calibri"/>
          <w:b w:val="1"/>
          <w:sz w:val="24"/>
          <w:szCs w:val="24"/>
          <w:u w:val="single"/>
          <w:rtl w:val="0"/>
        </w:rPr>
        <w:t xml:space="preserve">Ways of Thinking</w:t>
      </w: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02">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3">
      <w:pPr>
        <w:spacing w:line="360" w:lineRule="auto"/>
        <w:rPr>
          <w:rFonts w:ascii="Calibri" w:cs="Calibri" w:eastAsia="Calibri" w:hAnsi="Calibri"/>
          <w:sz w:val="24"/>
          <w:szCs w:val="24"/>
          <w:shd w:fill="ff9900" w:val="clear"/>
        </w:rPr>
      </w:pPr>
      <w:r w:rsidDel="00000000" w:rsidR="00000000" w:rsidRPr="00000000">
        <w:rPr>
          <w:rFonts w:ascii="Calibri" w:cs="Calibri" w:eastAsia="Calibri" w:hAnsi="Calibri"/>
          <w:sz w:val="24"/>
          <w:szCs w:val="24"/>
          <w:rtl w:val="0"/>
        </w:rPr>
        <w:t xml:space="preserve">The following paper is a portfolio containing three elements.  The first will be manifesto writing, which will include eight statements about my own beliefs, work, and practice and a focused exploration into three of these.  The next part will be observational writing that uses semiotic analysis to evaluate an image.  This will lead to a reflective piece on my understanding of the image and how this may have changed after applying a semiotic analysis. The final element will be practice based writing. This will be a short, focused piece on an object or artefact, using secondary research around the themes of the object, and practical interpretations of the object through drawing.  This element will conclude with a critical summary of my practical process.   </w:t>
      </w:r>
      <w:r w:rsidDel="00000000" w:rsidR="00000000" w:rsidRPr="00000000">
        <w:rPr>
          <w:rtl w:val="0"/>
        </w:rPr>
      </w:r>
    </w:p>
    <w:p w:rsidR="00000000" w:rsidDel="00000000" w:rsidP="00000000" w:rsidRDefault="00000000" w:rsidRPr="00000000" w14:paraId="00000004">
      <w:pPr>
        <w:spacing w:line="360"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05">
      <w:pPr>
        <w:spacing w:line="360"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06">
      <w:pPr>
        <w:pStyle w:val="Heading1"/>
        <w:spacing w:line="360" w:lineRule="auto"/>
        <w:rPr>
          <w:rFonts w:ascii="Calibri" w:cs="Calibri" w:eastAsia="Calibri" w:hAnsi="Calibri"/>
          <w:b w:val="1"/>
          <w:sz w:val="24"/>
          <w:szCs w:val="24"/>
        </w:rPr>
      </w:pPr>
      <w:bookmarkStart w:colFirst="0" w:colLast="0" w:name="_tf67vg4pv1d1" w:id="1"/>
      <w:bookmarkEnd w:id="1"/>
      <w:r w:rsidDel="00000000" w:rsidR="00000000" w:rsidRPr="00000000">
        <w:rPr>
          <w:rFonts w:ascii="Calibri" w:cs="Calibri" w:eastAsia="Calibri" w:hAnsi="Calibri"/>
          <w:b w:val="1"/>
          <w:sz w:val="24"/>
          <w:szCs w:val="24"/>
          <w:rtl w:val="0"/>
        </w:rPr>
        <w:t xml:space="preserve">Part One: Manifesto Writing</w:t>
      </w:r>
    </w:p>
    <w:p w:rsidR="00000000" w:rsidDel="00000000" w:rsidP="00000000" w:rsidRDefault="00000000" w:rsidRPr="00000000" w14:paraId="00000007">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8">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8 Statements:</w:t>
      </w:r>
    </w:p>
    <w:p w:rsidR="00000000" w:rsidDel="00000000" w:rsidP="00000000" w:rsidRDefault="00000000" w:rsidRPr="00000000" w14:paraId="00000009">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A">
      <w:pPr>
        <w:numPr>
          <w:ilvl w:val="0"/>
          <w:numId w:val="1"/>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Inspiration can be drawn from new places, people, and experiences. Avoid stagnation by experimenting not only with different mediums, but with different hobbies outside the craft.</w:t>
      </w:r>
    </w:p>
    <w:p w:rsidR="00000000" w:rsidDel="00000000" w:rsidP="00000000" w:rsidRDefault="00000000" w:rsidRPr="00000000" w14:paraId="0000000B">
      <w:pPr>
        <w:numPr>
          <w:ilvl w:val="0"/>
          <w:numId w:val="1"/>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Often creativity must be sought out, so that it may lead to creation. Venturing outside of one’s comfort zone is vital to growth as a practitioner.</w:t>
      </w:r>
    </w:p>
    <w:p w:rsidR="00000000" w:rsidDel="00000000" w:rsidP="00000000" w:rsidRDefault="00000000" w:rsidRPr="00000000" w14:paraId="0000000C">
      <w:pPr>
        <w:numPr>
          <w:ilvl w:val="0"/>
          <w:numId w:val="1"/>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Value must be placed on the depth in one’s work. Deeper meanings, whether or not intentional, should connect a narrative to the piece and tell a story. An audience that can analyze and relate to a work of art is a captivated audience.</w:t>
      </w:r>
    </w:p>
    <w:p w:rsidR="00000000" w:rsidDel="00000000" w:rsidP="00000000" w:rsidRDefault="00000000" w:rsidRPr="00000000" w14:paraId="0000000D">
      <w:pPr>
        <w:numPr>
          <w:ilvl w:val="0"/>
          <w:numId w:val="1"/>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Consistent practice of one’s craft leads to the desired outcome of being a skilled, well-rounded, and structured illustrator, who is able to make a living off their craft.</w:t>
      </w:r>
    </w:p>
    <w:p w:rsidR="00000000" w:rsidDel="00000000" w:rsidP="00000000" w:rsidRDefault="00000000" w:rsidRPr="00000000" w14:paraId="0000000E">
      <w:pPr>
        <w:numPr>
          <w:ilvl w:val="0"/>
          <w:numId w:val="1"/>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An ideal society must prioritize compassion and the arts for their intrinsic value, not just for monetary gain. </w:t>
      </w:r>
    </w:p>
    <w:p w:rsidR="00000000" w:rsidDel="00000000" w:rsidP="00000000" w:rsidRDefault="00000000" w:rsidRPr="00000000" w14:paraId="0000000F">
      <w:pPr>
        <w:numPr>
          <w:ilvl w:val="0"/>
          <w:numId w:val="1"/>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It is imperative as a practitioner to also create art for oneself. Our societal and economic structures often create a toxic environment that drains the enjoyment out of one’s craft, something necessary for the fulfillment of one’s soul.</w:t>
      </w:r>
    </w:p>
    <w:p w:rsidR="00000000" w:rsidDel="00000000" w:rsidP="00000000" w:rsidRDefault="00000000" w:rsidRPr="00000000" w14:paraId="00000010">
      <w:pPr>
        <w:numPr>
          <w:ilvl w:val="0"/>
          <w:numId w:val="1"/>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It is impossible to never make a mistake, so when they are made, it can be helpful to use them as the building blocks from which to grow and learn.</w:t>
      </w:r>
    </w:p>
    <w:p w:rsidR="00000000" w:rsidDel="00000000" w:rsidP="00000000" w:rsidRDefault="00000000" w:rsidRPr="00000000" w14:paraId="00000011">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2">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3">
      <w:pPr>
        <w:spacing w:line="360" w:lineRule="auto"/>
        <w:ind w:left="0" w:firstLine="0"/>
        <w:rPr>
          <w:rFonts w:ascii="Calibri" w:cs="Calibri" w:eastAsia="Calibri" w:hAnsi="Calibri"/>
          <w:i w:val="1"/>
          <w:sz w:val="24"/>
          <w:szCs w:val="24"/>
        </w:rPr>
      </w:pPr>
      <w:r w:rsidDel="00000000" w:rsidR="00000000" w:rsidRPr="00000000">
        <w:rPr>
          <w:rFonts w:ascii="Calibri" w:cs="Calibri" w:eastAsia="Calibri" w:hAnsi="Calibri"/>
          <w:i w:val="1"/>
          <w:sz w:val="24"/>
          <w:szCs w:val="24"/>
          <w:rtl w:val="0"/>
        </w:rPr>
        <w:t xml:space="preserve">Value must be placed on the </w:t>
      </w:r>
      <w:r w:rsidDel="00000000" w:rsidR="00000000" w:rsidRPr="00000000">
        <w:rPr>
          <w:rFonts w:ascii="Calibri" w:cs="Calibri" w:eastAsia="Calibri" w:hAnsi="Calibri"/>
          <w:b w:val="1"/>
          <w:i w:val="1"/>
          <w:sz w:val="24"/>
          <w:szCs w:val="24"/>
          <w:rtl w:val="0"/>
        </w:rPr>
        <w:t xml:space="preserve">depth</w:t>
      </w:r>
      <w:r w:rsidDel="00000000" w:rsidR="00000000" w:rsidRPr="00000000">
        <w:rPr>
          <w:rFonts w:ascii="Calibri" w:cs="Calibri" w:eastAsia="Calibri" w:hAnsi="Calibri"/>
          <w:i w:val="1"/>
          <w:sz w:val="24"/>
          <w:szCs w:val="24"/>
          <w:rtl w:val="0"/>
        </w:rPr>
        <w:t xml:space="preserve"> in one’s work.</w:t>
      </w:r>
    </w:p>
    <w:p w:rsidR="00000000" w:rsidDel="00000000" w:rsidP="00000000" w:rsidRDefault="00000000" w:rsidRPr="00000000" w14:paraId="00000014">
      <w:pPr>
        <w:spacing w:line="360" w:lineRule="auto"/>
        <w:ind w:left="0" w:firstLine="0"/>
        <w:rPr>
          <w:rFonts w:ascii="Calibri" w:cs="Calibri" w:eastAsia="Calibri" w:hAnsi="Calibri"/>
          <w:i w:val="1"/>
          <w:sz w:val="24"/>
          <w:szCs w:val="24"/>
        </w:rPr>
      </w:pPr>
      <w:r w:rsidDel="00000000" w:rsidR="00000000" w:rsidRPr="00000000">
        <w:rPr>
          <w:rtl w:val="0"/>
        </w:rPr>
      </w:r>
    </w:p>
    <w:p w:rsidR="00000000" w:rsidDel="00000000" w:rsidP="00000000" w:rsidRDefault="00000000" w:rsidRPr="00000000" w14:paraId="00000015">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Deeper meanings, whether or not intentional, should connect a narrative to the piece and tell a story (Mancoff, 2021). An audience that can analyse and relate to a work of art is a captivated audience. However, emphasis must be placed on the intentional aspect of art. It would be elitist to claim that </w:t>
      </w:r>
      <w:r w:rsidDel="00000000" w:rsidR="00000000" w:rsidRPr="00000000">
        <w:rPr>
          <w:rFonts w:ascii="Calibri" w:cs="Calibri" w:eastAsia="Calibri" w:hAnsi="Calibri"/>
          <w:i w:val="1"/>
          <w:sz w:val="24"/>
          <w:szCs w:val="24"/>
          <w:rtl w:val="0"/>
        </w:rPr>
        <w:t xml:space="preserve">all</w:t>
      </w:r>
      <w:r w:rsidDel="00000000" w:rsidR="00000000" w:rsidRPr="00000000">
        <w:rPr>
          <w:rFonts w:ascii="Calibri" w:cs="Calibri" w:eastAsia="Calibri" w:hAnsi="Calibri"/>
          <w:sz w:val="24"/>
          <w:szCs w:val="24"/>
          <w:rtl w:val="0"/>
        </w:rPr>
        <w:t xml:space="preserve"> art must have a predisposed meaning, packaged neatly right alongside the finished product. The art movement Aestheticism claims that art may be created and enjoyed, simply because it is enjoyable to look at (Duignan, N.D). It is not required to have a moral, ethical, political, religious, or otherwise deeper meaning. Art for art’s sake </w:t>
      </w:r>
      <w:r w:rsidDel="00000000" w:rsidR="00000000" w:rsidRPr="00000000">
        <w:rPr>
          <w:rFonts w:ascii="Calibri" w:cs="Calibri" w:eastAsia="Calibri" w:hAnsi="Calibri"/>
          <w:i w:val="1"/>
          <w:sz w:val="24"/>
          <w:szCs w:val="24"/>
          <w:rtl w:val="0"/>
        </w:rPr>
        <w:t xml:space="preserve">is </w:t>
      </w:r>
      <w:r w:rsidDel="00000000" w:rsidR="00000000" w:rsidRPr="00000000">
        <w:rPr>
          <w:rFonts w:ascii="Calibri" w:cs="Calibri" w:eastAsia="Calibri" w:hAnsi="Calibri"/>
          <w:sz w:val="24"/>
          <w:szCs w:val="24"/>
          <w:rtl w:val="0"/>
        </w:rPr>
        <w:t xml:space="preserve">the meaning. It </w:t>
      </w:r>
      <w:r w:rsidDel="00000000" w:rsidR="00000000" w:rsidRPr="00000000">
        <w:rPr>
          <w:rFonts w:ascii="Calibri" w:cs="Calibri" w:eastAsia="Calibri" w:hAnsi="Calibri"/>
          <w:i w:val="1"/>
          <w:sz w:val="24"/>
          <w:szCs w:val="24"/>
          <w:rtl w:val="0"/>
        </w:rPr>
        <w:t xml:space="preserve">is </w:t>
      </w:r>
      <w:r w:rsidDel="00000000" w:rsidR="00000000" w:rsidRPr="00000000">
        <w:rPr>
          <w:rFonts w:ascii="Calibri" w:cs="Calibri" w:eastAsia="Calibri" w:hAnsi="Calibri"/>
          <w:sz w:val="24"/>
          <w:szCs w:val="24"/>
          <w:rtl w:val="0"/>
        </w:rPr>
        <w:t xml:space="preserve">the depth that constitutes art, created for the enjoyment and pleasure of those who see it. The narrative of the piece then becomes not necessarily what is depicted in the piece itself, but the process and purpose behind its creation. The story is then </w:t>
      </w:r>
      <w:r w:rsidDel="00000000" w:rsidR="00000000" w:rsidRPr="00000000">
        <w:rPr>
          <w:rFonts w:ascii="Calibri" w:cs="Calibri" w:eastAsia="Calibri" w:hAnsi="Calibri"/>
          <w:i w:val="1"/>
          <w:sz w:val="24"/>
          <w:szCs w:val="24"/>
          <w:rtl w:val="0"/>
        </w:rPr>
        <w:t xml:space="preserve">of </w:t>
      </w:r>
      <w:r w:rsidDel="00000000" w:rsidR="00000000" w:rsidRPr="00000000">
        <w:rPr>
          <w:rFonts w:ascii="Calibri" w:cs="Calibri" w:eastAsia="Calibri" w:hAnsi="Calibri"/>
          <w:sz w:val="24"/>
          <w:szCs w:val="24"/>
          <w:rtl w:val="0"/>
        </w:rPr>
        <w:t xml:space="preserve">the work, rather than what it depicts. The same can be said for Abstract art, which allows an audience to analyse and relate to the work in a much more broad manner.</w:t>
      </w:r>
    </w:p>
    <w:p w:rsidR="00000000" w:rsidDel="00000000" w:rsidP="00000000" w:rsidRDefault="00000000" w:rsidRPr="00000000" w14:paraId="00000016">
      <w:pPr>
        <w:spacing w:line="360" w:lineRule="auto"/>
        <w:rPr>
          <w:rFonts w:ascii="Calibri" w:cs="Calibri" w:eastAsia="Calibri" w:hAnsi="Calibri"/>
          <w:i w:val="1"/>
          <w:sz w:val="24"/>
          <w:szCs w:val="24"/>
          <w:shd w:fill="ff9900" w:val="clear"/>
        </w:rPr>
      </w:pPr>
      <w:r w:rsidDel="00000000" w:rsidR="00000000" w:rsidRPr="00000000">
        <w:rPr>
          <w:rtl w:val="0"/>
        </w:rPr>
      </w:r>
    </w:p>
    <w:p w:rsidR="00000000" w:rsidDel="00000000" w:rsidP="00000000" w:rsidRDefault="00000000" w:rsidRPr="00000000" w14:paraId="00000017">
      <w:pPr>
        <w:spacing w:line="360" w:lineRule="auto"/>
        <w:jc w:val="center"/>
        <w:rPr>
          <w:rFonts w:ascii="Calibri" w:cs="Calibri" w:eastAsia="Calibri" w:hAnsi="Calibri"/>
          <w:i w:val="1"/>
          <w:sz w:val="24"/>
          <w:szCs w:val="24"/>
        </w:rPr>
      </w:pPr>
      <w:r w:rsidDel="00000000" w:rsidR="00000000" w:rsidRPr="00000000">
        <w:rPr>
          <w:rFonts w:ascii="Calibri" w:cs="Calibri" w:eastAsia="Calibri" w:hAnsi="Calibri"/>
          <w:sz w:val="24"/>
          <w:szCs w:val="24"/>
        </w:rPr>
        <w:drawing>
          <wp:inline distB="114300" distT="114300" distL="114300" distR="114300">
            <wp:extent cx="5515248" cy="4131194"/>
            <wp:effectExtent b="0" l="0" r="0" t="0"/>
            <wp:docPr id="1" name="image4.jpg"/>
            <a:graphic>
              <a:graphicData uri="http://schemas.openxmlformats.org/drawingml/2006/picture">
                <pic:pic>
                  <pic:nvPicPr>
                    <pic:cNvPr id="0" name="image4.jpg"/>
                    <pic:cNvPicPr preferRelativeResize="0"/>
                  </pic:nvPicPr>
                  <pic:blipFill>
                    <a:blip r:embed="rId6"/>
                    <a:srcRect b="0" l="0" r="0" t="0"/>
                    <a:stretch>
                      <a:fillRect/>
                    </a:stretch>
                  </pic:blipFill>
                  <pic:spPr>
                    <a:xfrm>
                      <a:off x="0" y="0"/>
                      <a:ext cx="5515248" cy="4131194"/>
                    </a:xfrm>
                    <a:prstGeom prst="rect"/>
                    <a:ln/>
                  </pic:spPr>
                </pic:pic>
              </a:graphicData>
            </a:graphic>
          </wp:inline>
        </w:drawing>
      </w:r>
      <w:r w:rsidDel="00000000" w:rsidR="00000000" w:rsidRPr="00000000">
        <w:rPr>
          <w:rFonts w:ascii="Calibri" w:cs="Calibri" w:eastAsia="Calibri" w:hAnsi="Calibri"/>
          <w:sz w:val="24"/>
          <w:szCs w:val="24"/>
          <w:rtl w:val="0"/>
        </w:rPr>
        <w:t xml:space="preserve">Fig. 1 David Loewen (2017) </w:t>
      </w:r>
      <w:r w:rsidDel="00000000" w:rsidR="00000000" w:rsidRPr="00000000">
        <w:rPr>
          <w:rFonts w:ascii="Calibri" w:cs="Calibri" w:eastAsia="Calibri" w:hAnsi="Calibri"/>
          <w:i w:val="1"/>
          <w:sz w:val="24"/>
          <w:szCs w:val="24"/>
          <w:rtl w:val="0"/>
        </w:rPr>
        <w:t xml:space="preserve">‘Tip of the Icebergs’: Clichéd Metaphors in Education</w:t>
      </w:r>
    </w:p>
    <w:p w:rsidR="00000000" w:rsidDel="00000000" w:rsidP="00000000" w:rsidRDefault="00000000" w:rsidRPr="00000000" w14:paraId="00000018">
      <w:pPr>
        <w:spacing w:line="360" w:lineRule="auto"/>
        <w:jc w:val="center"/>
        <w:rPr>
          <w:rFonts w:ascii="Calibri" w:cs="Calibri" w:eastAsia="Calibri" w:hAnsi="Calibri"/>
          <w:i w:val="1"/>
          <w:sz w:val="24"/>
          <w:szCs w:val="24"/>
        </w:rPr>
      </w:pPr>
      <w:r w:rsidDel="00000000" w:rsidR="00000000" w:rsidRPr="00000000">
        <w:rPr>
          <w:rtl w:val="0"/>
        </w:rPr>
      </w:r>
    </w:p>
    <w:p w:rsidR="00000000" w:rsidDel="00000000" w:rsidP="00000000" w:rsidRDefault="00000000" w:rsidRPr="00000000" w14:paraId="00000019">
      <w:pPr>
        <w:spacing w:line="360" w:lineRule="auto"/>
        <w:rPr>
          <w:rFonts w:ascii="Calibri" w:cs="Calibri" w:eastAsia="Calibri" w:hAnsi="Calibri"/>
          <w:i w:val="1"/>
          <w:sz w:val="24"/>
          <w:szCs w:val="24"/>
        </w:rPr>
      </w:pPr>
      <w:r w:rsidDel="00000000" w:rsidR="00000000" w:rsidRPr="00000000">
        <w:rPr>
          <w:rtl w:val="0"/>
        </w:rPr>
      </w:r>
    </w:p>
    <w:p w:rsidR="00000000" w:rsidDel="00000000" w:rsidP="00000000" w:rsidRDefault="00000000" w:rsidRPr="00000000" w14:paraId="0000001A">
      <w:pPr>
        <w:spacing w:line="360" w:lineRule="auto"/>
        <w:ind w:left="0" w:firstLine="0"/>
        <w:rPr>
          <w:rFonts w:ascii="Calibri" w:cs="Calibri" w:eastAsia="Calibri" w:hAnsi="Calibri"/>
          <w:i w:val="1"/>
          <w:sz w:val="24"/>
          <w:szCs w:val="24"/>
        </w:rPr>
      </w:pPr>
      <w:r w:rsidDel="00000000" w:rsidR="00000000" w:rsidRPr="00000000">
        <w:rPr>
          <w:rFonts w:ascii="Calibri" w:cs="Calibri" w:eastAsia="Calibri" w:hAnsi="Calibri"/>
          <w:i w:val="1"/>
          <w:sz w:val="24"/>
          <w:szCs w:val="24"/>
          <w:rtl w:val="0"/>
        </w:rPr>
        <w:t xml:space="preserve">It is imperative as a practitioner to also create art for oneself. </w:t>
      </w:r>
    </w:p>
    <w:p w:rsidR="00000000" w:rsidDel="00000000" w:rsidP="00000000" w:rsidRDefault="00000000" w:rsidRPr="00000000" w14:paraId="0000001B">
      <w:pPr>
        <w:spacing w:line="360" w:lineRule="auto"/>
        <w:jc w:val="center"/>
        <w:rPr>
          <w:rFonts w:ascii="Calibri" w:cs="Calibri" w:eastAsia="Calibri" w:hAnsi="Calibri"/>
          <w:i w:val="1"/>
          <w:sz w:val="24"/>
          <w:szCs w:val="24"/>
        </w:rPr>
      </w:pPr>
      <w:r w:rsidDel="00000000" w:rsidR="00000000" w:rsidRPr="00000000">
        <w:rPr>
          <w:rtl w:val="0"/>
        </w:rPr>
      </w:r>
    </w:p>
    <w:p w:rsidR="00000000" w:rsidDel="00000000" w:rsidP="00000000" w:rsidRDefault="00000000" w:rsidRPr="00000000" w14:paraId="0000001C">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Our societal and economic structures often create a toxic environment that drains the enjoyment out of one’s craft, something necessary for the fulfilment of one’s soul. A society that prioritises compassion and the arts for their intrinsic value would prioritise them in the interest of fun and societal morale, whereas our current society runs on the basis of extrinsic motivations. Most of our lives are spent working for money, then paying for essentials like food, water, and housing.Rinse and repeat. Our society runs on monetary value. While this has its benefits, the detriments arise when people abandon their morals and principals to “get ahead” of others, either in greed or by necessity. As stated in </w:t>
      </w:r>
      <w:r w:rsidDel="00000000" w:rsidR="00000000" w:rsidRPr="00000000">
        <w:rPr>
          <w:rFonts w:ascii="Calibri" w:cs="Calibri" w:eastAsia="Calibri" w:hAnsi="Calibri"/>
          <w:i w:val="1"/>
          <w:sz w:val="24"/>
          <w:szCs w:val="24"/>
          <w:rtl w:val="0"/>
        </w:rPr>
        <w:t xml:space="preserve">The Nature of Morality</w:t>
      </w:r>
      <w:r w:rsidDel="00000000" w:rsidR="00000000" w:rsidRPr="00000000">
        <w:rPr>
          <w:rFonts w:ascii="Calibri" w:cs="Calibri" w:eastAsia="Calibri" w:hAnsi="Calibri"/>
          <w:sz w:val="24"/>
          <w:szCs w:val="24"/>
          <w:rtl w:val="0"/>
        </w:rPr>
        <w:t xml:space="preserve"> by Pearson (2015)</w:t>
      </w:r>
      <w:r w:rsidDel="00000000" w:rsidR="00000000" w:rsidRPr="00000000">
        <w:rPr>
          <w:rFonts w:ascii="Calibri" w:cs="Calibri" w:eastAsia="Calibri" w:hAnsi="Calibri"/>
          <w:sz w:val="24"/>
          <w:szCs w:val="24"/>
          <w:rtl w:val="0"/>
        </w:rPr>
        <w:t xml:space="preserve">, “The very structure of human existence dictates that we must make choices. Ethics helps us use our freedom responsibly and understand who we are.” </w:t>
      </w:r>
    </w:p>
    <w:p w:rsidR="00000000" w:rsidDel="00000000" w:rsidP="00000000" w:rsidRDefault="00000000" w:rsidRPr="00000000" w14:paraId="0000001D">
      <w:pPr>
        <w:spacing w:line="360" w:lineRule="auto"/>
        <w:rPr>
          <w:rFonts w:ascii="Calibri" w:cs="Calibri" w:eastAsia="Calibri" w:hAnsi="Calibri"/>
          <w:sz w:val="24"/>
          <w:szCs w:val="24"/>
          <w:shd w:fill="ff9900" w:val="clear"/>
        </w:rPr>
      </w:pPr>
      <w:r w:rsidDel="00000000" w:rsidR="00000000" w:rsidRPr="00000000">
        <w:rPr>
          <w:rtl w:val="0"/>
        </w:rPr>
      </w:r>
    </w:p>
    <w:p w:rsidR="00000000" w:rsidDel="00000000" w:rsidP="00000000" w:rsidRDefault="00000000" w:rsidRPr="00000000" w14:paraId="0000001E">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453646" cy="3629260"/>
            <wp:effectExtent b="0" l="0" r="0" t="0"/>
            <wp:docPr id="7"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453646" cy="3629260"/>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spacing w:line="360" w:lineRule="auto"/>
        <w:jc w:val="center"/>
        <w:rPr>
          <w:rFonts w:ascii="Calibri" w:cs="Calibri" w:eastAsia="Calibri" w:hAnsi="Calibri"/>
          <w:i w:val="1"/>
          <w:sz w:val="24"/>
          <w:szCs w:val="24"/>
        </w:rPr>
      </w:pPr>
      <w:r w:rsidDel="00000000" w:rsidR="00000000" w:rsidRPr="00000000">
        <w:rPr>
          <w:rFonts w:ascii="Calibri" w:cs="Calibri" w:eastAsia="Calibri" w:hAnsi="Calibri"/>
          <w:sz w:val="24"/>
          <w:szCs w:val="24"/>
          <w:rtl w:val="0"/>
        </w:rPr>
        <w:t xml:space="preserve">Fig. 2 Muzna Waseem/Very Well (2018) </w:t>
      </w:r>
      <w:r w:rsidDel="00000000" w:rsidR="00000000" w:rsidRPr="00000000">
        <w:rPr>
          <w:rFonts w:ascii="Calibri" w:cs="Calibri" w:eastAsia="Calibri" w:hAnsi="Calibri"/>
          <w:i w:val="1"/>
          <w:sz w:val="24"/>
          <w:szCs w:val="24"/>
          <w:rtl w:val="0"/>
        </w:rPr>
        <w:t xml:space="preserve">Intrinsic &amp; Extrinsic Motivation: Meaning and Application</w:t>
      </w:r>
    </w:p>
    <w:p w:rsidR="00000000" w:rsidDel="00000000" w:rsidP="00000000" w:rsidRDefault="00000000" w:rsidRPr="00000000" w14:paraId="00000020">
      <w:pPr>
        <w:spacing w:line="360" w:lineRule="auto"/>
        <w:jc w:val="left"/>
        <w:rPr>
          <w:rFonts w:ascii="Calibri" w:cs="Calibri" w:eastAsia="Calibri" w:hAnsi="Calibri"/>
          <w:i w:val="1"/>
          <w:sz w:val="24"/>
          <w:szCs w:val="24"/>
        </w:rPr>
      </w:pPr>
      <w:r w:rsidDel="00000000" w:rsidR="00000000" w:rsidRPr="00000000">
        <w:rPr>
          <w:rtl w:val="0"/>
        </w:rPr>
      </w:r>
    </w:p>
    <w:p w:rsidR="00000000" w:rsidDel="00000000" w:rsidP="00000000" w:rsidRDefault="00000000" w:rsidRPr="00000000" w14:paraId="00000021">
      <w:pPr>
        <w:spacing w:line="360" w:lineRule="auto"/>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2">
      <w:pPr>
        <w:spacing w:line="360" w:lineRule="auto"/>
        <w:ind w:left="0" w:firstLine="0"/>
        <w:rPr>
          <w:rFonts w:ascii="Calibri" w:cs="Calibri" w:eastAsia="Calibri" w:hAnsi="Calibri"/>
          <w:i w:val="1"/>
          <w:sz w:val="24"/>
          <w:szCs w:val="24"/>
        </w:rPr>
      </w:pPr>
      <w:r w:rsidDel="00000000" w:rsidR="00000000" w:rsidRPr="00000000">
        <w:rPr>
          <w:rFonts w:ascii="Calibri" w:cs="Calibri" w:eastAsia="Calibri" w:hAnsi="Calibri"/>
          <w:i w:val="1"/>
          <w:sz w:val="24"/>
          <w:szCs w:val="24"/>
          <w:rtl w:val="0"/>
        </w:rPr>
        <w:t xml:space="preserve">Consistent </w:t>
      </w:r>
      <w:r w:rsidDel="00000000" w:rsidR="00000000" w:rsidRPr="00000000">
        <w:rPr>
          <w:rFonts w:ascii="Calibri" w:cs="Calibri" w:eastAsia="Calibri" w:hAnsi="Calibri"/>
          <w:b w:val="1"/>
          <w:i w:val="1"/>
          <w:sz w:val="24"/>
          <w:szCs w:val="24"/>
          <w:rtl w:val="0"/>
        </w:rPr>
        <w:t xml:space="preserve">practice</w:t>
      </w:r>
      <w:r w:rsidDel="00000000" w:rsidR="00000000" w:rsidRPr="00000000">
        <w:rPr>
          <w:rFonts w:ascii="Calibri" w:cs="Calibri" w:eastAsia="Calibri" w:hAnsi="Calibri"/>
          <w:i w:val="1"/>
          <w:sz w:val="24"/>
          <w:szCs w:val="24"/>
          <w:rtl w:val="0"/>
        </w:rPr>
        <w:t xml:space="preserve"> of one’s craft leads to the desired outcome of being a skilled, well-rounded, and structured illustrator, who is able to make a living off their craft.</w:t>
      </w:r>
    </w:p>
    <w:p w:rsidR="00000000" w:rsidDel="00000000" w:rsidP="00000000" w:rsidRDefault="00000000" w:rsidRPr="00000000" w14:paraId="00000023">
      <w:pPr>
        <w:spacing w:line="360" w:lineRule="auto"/>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4">
      <w:pPr>
        <w:spacing w:line="360" w:lineRule="auto"/>
        <w:rPr>
          <w:rFonts w:ascii="Calibri" w:cs="Calibri" w:eastAsia="Calibri" w:hAnsi="Calibri"/>
          <w:sz w:val="24"/>
          <w:szCs w:val="24"/>
          <w:shd w:fill="ff9900" w:val="clear"/>
        </w:rPr>
      </w:pPr>
      <w:r w:rsidDel="00000000" w:rsidR="00000000" w:rsidRPr="00000000">
        <w:rPr>
          <w:rFonts w:ascii="Calibri" w:cs="Calibri" w:eastAsia="Calibri" w:hAnsi="Calibri"/>
          <w:sz w:val="24"/>
          <w:szCs w:val="24"/>
          <w:rtl w:val="0"/>
        </w:rPr>
        <w:t xml:space="preserve">It is my belief as a practitioner of art that artists should make it a priority to not only incorporate, but build around a central narrative in their work. It is an inherent human trait to crave connection, and one of the oldest forms or art connection is storytelling. In order to improve upon one’s skills, it is imperative to consistently practise your craft. Inconsistent practice leads to a permanent incompleteness of skills, every piece of work becoming much more straining than necessary. However, making mistakes is another inherent human trait, and should not discourage oneself from the continuation of their practice. Rather, mistakes can be an excellent opportunity to learn and grow. Learning what areas you still need to improve upon, and growing by practising not until you get it right, but until you can’t get it wrong. The health and wellness blog </w:t>
      </w:r>
      <w:r w:rsidDel="00000000" w:rsidR="00000000" w:rsidRPr="00000000">
        <w:rPr>
          <w:rFonts w:ascii="Calibri" w:cs="Calibri" w:eastAsia="Calibri" w:hAnsi="Calibri"/>
          <w:sz w:val="24"/>
          <w:szCs w:val="24"/>
          <w:rtl w:val="0"/>
        </w:rPr>
        <w:t xml:space="preserve">WellBe</w:t>
      </w:r>
      <w:r w:rsidDel="00000000" w:rsidR="00000000" w:rsidRPr="00000000">
        <w:rPr>
          <w:rFonts w:ascii="Calibri" w:cs="Calibri" w:eastAsia="Calibri" w:hAnsi="Calibri"/>
          <w:sz w:val="24"/>
          <w:szCs w:val="24"/>
          <w:rtl w:val="0"/>
        </w:rPr>
        <w:t xml:space="preserve"> (2020) follows this line of thinking, stating “We can actually learn from our failures and adapt them to future scenarios. You will be readily able to draw on previous faults so that you can problem-solve with better agility.”</w:t>
      </w:r>
      <w:r w:rsidDel="00000000" w:rsidR="00000000" w:rsidRPr="00000000">
        <w:rPr>
          <w:rtl w:val="0"/>
        </w:rPr>
      </w:r>
    </w:p>
    <w:p w:rsidR="00000000" w:rsidDel="00000000" w:rsidP="00000000" w:rsidRDefault="00000000" w:rsidRPr="00000000" w14:paraId="00000025">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6">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558935" cy="3702751"/>
            <wp:effectExtent b="0" l="0" r="0" t="0"/>
            <wp:docPr id="9"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5558935" cy="3702751"/>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spacing w:line="360" w:lineRule="auto"/>
        <w:jc w:val="center"/>
        <w:rPr>
          <w:rFonts w:ascii="Calibri" w:cs="Calibri" w:eastAsia="Calibri" w:hAnsi="Calibri"/>
          <w:i w:val="1"/>
          <w:sz w:val="24"/>
          <w:szCs w:val="24"/>
        </w:rPr>
      </w:pPr>
      <w:r w:rsidDel="00000000" w:rsidR="00000000" w:rsidRPr="00000000">
        <w:rPr>
          <w:rFonts w:ascii="Calibri" w:cs="Calibri" w:eastAsia="Calibri" w:hAnsi="Calibri"/>
          <w:sz w:val="24"/>
          <w:szCs w:val="24"/>
          <w:rtl w:val="0"/>
        </w:rPr>
        <w:t xml:space="preserve">Fig. 3 Naomi Rea/Artnet News (2020) </w:t>
      </w:r>
      <w:r w:rsidDel="00000000" w:rsidR="00000000" w:rsidRPr="00000000">
        <w:rPr>
          <w:rFonts w:ascii="Calibri" w:cs="Calibri" w:eastAsia="Calibri" w:hAnsi="Calibri"/>
          <w:i w:val="1"/>
          <w:sz w:val="24"/>
          <w:szCs w:val="24"/>
          <w:rtl w:val="0"/>
        </w:rPr>
        <w:t xml:space="preserve">Calling All London Artists! A New Reality TV Series about the City's Art Scene Is Looking for Contestants</w:t>
      </w:r>
    </w:p>
    <w:p w:rsidR="00000000" w:rsidDel="00000000" w:rsidP="00000000" w:rsidRDefault="00000000" w:rsidRPr="00000000" w14:paraId="00000028">
      <w:pPr>
        <w:spacing w:line="360" w:lineRule="auto"/>
        <w:jc w:val="center"/>
        <w:rPr>
          <w:rFonts w:ascii="Calibri" w:cs="Calibri" w:eastAsia="Calibri" w:hAnsi="Calibri"/>
          <w:i w:val="1"/>
          <w:sz w:val="24"/>
          <w:szCs w:val="24"/>
        </w:rPr>
      </w:pPr>
      <w:r w:rsidDel="00000000" w:rsidR="00000000" w:rsidRPr="00000000">
        <w:rPr>
          <w:rtl w:val="0"/>
        </w:rPr>
      </w:r>
    </w:p>
    <w:p w:rsidR="00000000" w:rsidDel="00000000" w:rsidP="00000000" w:rsidRDefault="00000000" w:rsidRPr="00000000" w14:paraId="00000029">
      <w:pPr>
        <w:spacing w:line="360" w:lineRule="auto"/>
        <w:jc w:val="cente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2A">
      <w:pPr>
        <w:spacing w:line="360" w:lineRule="auto"/>
        <w:jc w:val="cente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2B">
      <w:pPr>
        <w:spacing w:line="360" w:lineRule="auto"/>
        <w:jc w:val="cente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2C">
      <w:pPr>
        <w:pStyle w:val="Heading1"/>
        <w:spacing w:after="240" w:before="240" w:line="360" w:lineRule="auto"/>
        <w:ind w:right="560"/>
        <w:rPr>
          <w:rFonts w:ascii="Calibri" w:cs="Calibri" w:eastAsia="Calibri" w:hAnsi="Calibri"/>
          <w:b w:val="1"/>
          <w:sz w:val="24"/>
          <w:szCs w:val="24"/>
        </w:rPr>
      </w:pPr>
      <w:bookmarkStart w:colFirst="0" w:colLast="0" w:name="_qy68dmgyd85d" w:id="2"/>
      <w:bookmarkEnd w:id="2"/>
      <w:r w:rsidDel="00000000" w:rsidR="00000000" w:rsidRPr="00000000">
        <w:rPr>
          <w:rFonts w:ascii="Calibri" w:cs="Calibri" w:eastAsia="Calibri" w:hAnsi="Calibri"/>
          <w:b w:val="1"/>
          <w:sz w:val="24"/>
          <w:szCs w:val="24"/>
          <w:rtl w:val="0"/>
        </w:rPr>
        <w:t xml:space="preserve">Part Two: Observational Writing</w:t>
      </w:r>
    </w:p>
    <w:p w:rsidR="00000000" w:rsidDel="00000000" w:rsidP="00000000" w:rsidRDefault="00000000" w:rsidRPr="00000000" w14:paraId="0000002D">
      <w:pPr>
        <w:pStyle w:val="Heading1"/>
        <w:spacing w:after="240" w:before="240" w:line="360" w:lineRule="auto"/>
        <w:ind w:right="560"/>
        <w:rPr>
          <w:rFonts w:ascii="Calibri" w:cs="Calibri" w:eastAsia="Calibri" w:hAnsi="Calibri"/>
          <w:sz w:val="24"/>
          <w:szCs w:val="24"/>
        </w:rPr>
      </w:pPr>
      <w:bookmarkStart w:colFirst="0" w:colLast="0" w:name="_4et2u5jtubc" w:id="3"/>
      <w:bookmarkEnd w:id="3"/>
      <w:r w:rsidDel="00000000" w:rsidR="00000000" w:rsidRPr="00000000">
        <w:rPr>
          <w:rFonts w:ascii="Calibri" w:cs="Calibri" w:eastAsia="Calibri" w:hAnsi="Calibri"/>
          <w:sz w:val="24"/>
          <w:szCs w:val="24"/>
          <w:rtl w:val="0"/>
        </w:rPr>
        <w:t xml:space="preserve">The following is a semiotic analysis of the album cover for the band Alt-j’s (2012) debut album titled “An Awesome Wave”. The analysis will utilize Ferdinand de Saussure’s dyadic model of Semiology (UWTSD Lecture, 2021), and his three key aspects of semiotics— sign, signifier, and signified.</w:t>
      </w:r>
      <w:r w:rsidDel="00000000" w:rsidR="00000000" w:rsidRPr="00000000">
        <w:rPr>
          <w:rtl w:val="0"/>
        </w:rPr>
      </w:r>
    </w:p>
    <w:p w:rsidR="00000000" w:rsidDel="00000000" w:rsidP="00000000" w:rsidRDefault="00000000" w:rsidRPr="00000000" w14:paraId="0000002E">
      <w:pPr>
        <w:spacing w:after="160" w:line="360" w:lineRule="auto"/>
        <w:jc w:val="center"/>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692665" cy="5692665"/>
            <wp:effectExtent b="0" l="0" r="0" t="0"/>
            <wp:docPr id="10" name="image10.jpg"/>
            <a:graphic>
              <a:graphicData uri="http://schemas.openxmlformats.org/drawingml/2006/picture">
                <pic:pic>
                  <pic:nvPicPr>
                    <pic:cNvPr id="0" name="image10.jpg"/>
                    <pic:cNvPicPr preferRelativeResize="0"/>
                  </pic:nvPicPr>
                  <pic:blipFill>
                    <a:blip r:embed="rId9"/>
                    <a:srcRect b="0" l="0" r="0" t="0"/>
                    <a:stretch>
                      <a:fillRect/>
                    </a:stretch>
                  </pic:blipFill>
                  <pic:spPr>
                    <a:xfrm>
                      <a:off x="0" y="0"/>
                      <a:ext cx="5692665" cy="5692665"/>
                    </a:xfrm>
                    <a:prstGeom prst="rect"/>
                    <a:ln/>
                  </pic:spPr>
                </pic:pic>
              </a:graphicData>
            </a:graphic>
          </wp:inline>
        </w:drawing>
      </w:r>
      <w:r w:rsidDel="00000000" w:rsidR="00000000" w:rsidRPr="00000000">
        <w:rPr>
          <w:rFonts w:ascii="Calibri" w:cs="Calibri" w:eastAsia="Calibri" w:hAnsi="Calibri"/>
          <w:sz w:val="24"/>
          <w:szCs w:val="24"/>
          <w:rtl w:val="0"/>
        </w:rPr>
        <w:t xml:space="preserve">    Fig. 4 Alt-j (2012) </w:t>
      </w:r>
      <w:r w:rsidDel="00000000" w:rsidR="00000000" w:rsidRPr="00000000">
        <w:rPr>
          <w:rFonts w:ascii="Calibri" w:cs="Calibri" w:eastAsia="Calibri" w:hAnsi="Calibri"/>
          <w:i w:val="1"/>
          <w:sz w:val="24"/>
          <w:szCs w:val="24"/>
          <w:rtl w:val="0"/>
        </w:rPr>
        <w:t xml:space="preserve">An Awesome Wave</w:t>
      </w:r>
      <w:r w:rsidDel="00000000" w:rsidR="00000000" w:rsidRPr="00000000">
        <w:rPr>
          <w:rFonts w:ascii="Calibri" w:cs="Calibri" w:eastAsia="Calibri" w:hAnsi="Calibri"/>
          <w:sz w:val="24"/>
          <w:szCs w:val="24"/>
          <w:rtl w:val="0"/>
        </w:rPr>
        <w:t xml:space="preserve"> [album cover art]</w:t>
      </w:r>
    </w:p>
    <w:p w:rsidR="00000000" w:rsidDel="00000000" w:rsidP="00000000" w:rsidRDefault="00000000" w:rsidRPr="00000000" w14:paraId="0000002F">
      <w:pPr>
        <w:spacing w:after="16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0">
      <w:pPr>
        <w:spacing w:after="160"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Saussure identifies the ‘sign’ as the physical object, or “thing”, in question (UWTSD Lecture, 2021). Here, the sign is the album cover itself. It can be identified by its shape, as well as the context in which it is found. This could be on a CD case, as a digital thumbnail, on a vinyl record, or in other ways. In this context, it (the image above) is a screenshot of a digital file.</w:t>
      </w:r>
    </w:p>
    <w:p w:rsidR="00000000" w:rsidDel="00000000" w:rsidP="00000000" w:rsidRDefault="00000000" w:rsidRPr="00000000" w14:paraId="00000031">
      <w:pPr>
        <w:spacing w:after="160"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‘signified’ refers to what the sign invokes within a viewer mentally and emotionally. My first impression was that it was simply an abstract work of art, however more speculation led to the possibility of the image representing trees, or perhaps veins of an organism, manipulated in a photo-editing software. Further research concluded that the image indeed was manipulated in such software, but that it was originally taken from a satellite image of the Ganges delta, a region of the country of Bangladesh (Pejofar &amp; Egrets, 2017). This is a nod to the band’s name and self-representing symbol, the Greek letter ∆ (“delta”). An Apple Mac computer’s shortcut for the delta is alt-j.</w:t>
      </w:r>
    </w:p>
    <w:p w:rsidR="00000000" w:rsidDel="00000000" w:rsidP="00000000" w:rsidRDefault="00000000" w:rsidRPr="00000000" w14:paraId="00000032">
      <w:pPr>
        <w:spacing w:after="16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3">
      <w:pPr>
        <w:spacing w:after="160" w:line="360" w:lineRule="auto"/>
        <w:jc w:val="center"/>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731200" cy="2959100"/>
            <wp:effectExtent b="0" l="0" r="0" t="0"/>
            <wp:docPr id="3" name="image9.jpg"/>
            <a:graphic>
              <a:graphicData uri="http://schemas.openxmlformats.org/drawingml/2006/picture">
                <pic:pic>
                  <pic:nvPicPr>
                    <pic:cNvPr id="0" name="image9.jpg"/>
                    <pic:cNvPicPr preferRelativeResize="0"/>
                  </pic:nvPicPr>
                  <pic:blipFill>
                    <a:blip r:embed="rId10"/>
                    <a:srcRect b="0" l="0" r="0" t="0"/>
                    <a:stretch>
                      <a:fillRect/>
                    </a:stretch>
                  </pic:blipFill>
                  <pic:spPr>
                    <a:xfrm>
                      <a:off x="0" y="0"/>
                      <a:ext cx="5731200" cy="2959100"/>
                    </a:xfrm>
                    <a:prstGeom prst="rect"/>
                    <a:ln/>
                  </pic:spPr>
                </pic:pic>
              </a:graphicData>
            </a:graphic>
          </wp:inline>
        </w:drawing>
      </w:r>
      <w:r w:rsidDel="00000000" w:rsidR="00000000" w:rsidRPr="00000000">
        <w:rPr>
          <w:rFonts w:ascii="Calibri" w:cs="Calibri" w:eastAsia="Calibri" w:hAnsi="Calibri"/>
          <w:sz w:val="24"/>
          <w:szCs w:val="24"/>
          <w:rtl w:val="0"/>
        </w:rPr>
        <w:t xml:space="preserve">Fig. 5 Genius Annotation Contributors Pejofar &amp; Egrets (2017). </w:t>
      </w:r>
      <w:r w:rsidDel="00000000" w:rsidR="00000000" w:rsidRPr="00000000">
        <w:rPr>
          <w:rFonts w:ascii="Calibri" w:cs="Calibri" w:eastAsia="Calibri" w:hAnsi="Calibri"/>
          <w:i w:val="1"/>
          <w:sz w:val="24"/>
          <w:szCs w:val="24"/>
          <w:rtl w:val="0"/>
        </w:rPr>
        <w:t xml:space="preserve">The area represented in this photo is a satellite image of the Ganges delta, from this region of Bangladesh</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34">
      <w:pPr>
        <w:spacing w:after="16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5">
      <w:pPr>
        <w:spacing w:after="160"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third aspect is the ‘signifier’, which refers to the details within the image (such as the shapes and deliberate colours used). With the vital context of the original image, we can analyze what specific changes were made. The original image depicts a distinction between ocean and land using the corresponding colours of blue and green (Pejofar &amp; Egrets, 2017) . The album cover flips these colours, switching the perspective of the viewer and implying that the tendrils covering two thirds of the image are not the liquid of rivers and streams, but instead the solid of plant roots or vines. The inversion of these two colours completely changes the implied physical makeup of the shapes in the image. The editing software used to manipulate these colours also changed their hue and saturation, and introduced new colours (see Appendix 1). The contrast between the multicolour highly-saturated mass and the pale desaturated backdrop begins to blend as the tendrils break off into smaller and smaller lines, becoming indistinguishable from each other (Alt-j, 2012).</w:t>
      </w:r>
    </w:p>
    <w:p w:rsidR="00000000" w:rsidDel="00000000" w:rsidP="00000000" w:rsidRDefault="00000000" w:rsidRPr="00000000" w14:paraId="00000036">
      <w:pPr>
        <w:spacing w:after="160" w:line="360" w:lineRule="auto"/>
        <w:rPr>
          <w:rFonts w:ascii="Calibri" w:cs="Calibri" w:eastAsia="Calibri" w:hAnsi="Calibri"/>
          <w:sz w:val="24"/>
          <w:szCs w:val="24"/>
          <w:shd w:fill="ff9900" w:val="clear"/>
        </w:rPr>
      </w:pPr>
      <w:r w:rsidDel="00000000" w:rsidR="00000000" w:rsidRPr="00000000">
        <w:rPr>
          <w:rFonts w:ascii="Calibri" w:cs="Calibri" w:eastAsia="Calibri" w:hAnsi="Calibri"/>
          <w:sz w:val="24"/>
          <w:szCs w:val="24"/>
          <w:rtl w:val="0"/>
        </w:rPr>
        <w:t xml:space="preserve">Analyzing this image has deepened my understanding and appreciation of what it is, what it represents, and how those representations were made. For the band Alt-j, no cover art could better describe this album’s musical style and message than an image that at first appears abstract, but upon further contemplation and analysis reveals such personal intention and storytelling. The origin of the image has a personal connection by name, but none whatsoever by culture as Alt-j is an English band (Monger, 2022), using a photo originating from Bangladesh. Similar creation structures are found in their songwriting, retelling the stories of strangers through the compassionate lense of their music (As seen in the 13th song on the album, </w:t>
      </w:r>
      <w:r w:rsidDel="00000000" w:rsidR="00000000" w:rsidRPr="00000000">
        <w:rPr>
          <w:rFonts w:ascii="Calibri" w:cs="Calibri" w:eastAsia="Calibri" w:hAnsi="Calibri"/>
          <w:i w:val="1"/>
          <w:sz w:val="24"/>
          <w:szCs w:val="24"/>
          <w:rtl w:val="0"/>
        </w:rPr>
        <w:t xml:space="preserve">Taro)</w:t>
      </w:r>
      <w:r w:rsidDel="00000000" w:rsidR="00000000" w:rsidRPr="00000000">
        <w:rPr>
          <w:rFonts w:ascii="Calibri" w:cs="Calibri" w:eastAsia="Calibri" w:hAnsi="Calibri"/>
          <w:sz w:val="24"/>
          <w:szCs w:val="24"/>
          <w:rtl w:val="0"/>
        </w:rPr>
        <w:t xml:space="preserve">. The subversion and introduction of colour transforms an impersonal satellite image into an original design, depicting themes of both nature and human-made creations (radioactive green, psychedelic implications). The sounds and effects used in Alt-j’s songs come from both natural recorded sounds and instruments, as well as human made synthesizers (Inglis, 2013). In so many ways, this album cover is a perfect illustration of the album’s music. </w:t>
      </w:r>
      <w:r w:rsidDel="00000000" w:rsidR="00000000" w:rsidRPr="00000000">
        <w:rPr>
          <w:rtl w:val="0"/>
        </w:rPr>
      </w:r>
    </w:p>
    <w:p w:rsidR="00000000" w:rsidDel="00000000" w:rsidP="00000000" w:rsidRDefault="00000000" w:rsidRPr="00000000" w14:paraId="00000037">
      <w:pPr>
        <w:spacing w:line="360" w:lineRule="auto"/>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38">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9">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A">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B">
      <w:pPr>
        <w:pStyle w:val="Heading1"/>
        <w:spacing w:line="360" w:lineRule="auto"/>
        <w:rPr/>
      </w:pPr>
      <w:bookmarkStart w:colFirst="0" w:colLast="0" w:name="_jn8tqc2zbbto" w:id="4"/>
      <w:bookmarkEnd w:id="4"/>
      <w:r w:rsidDel="00000000" w:rsidR="00000000" w:rsidRPr="00000000">
        <w:rPr>
          <w:rFonts w:ascii="Calibri" w:cs="Calibri" w:eastAsia="Calibri" w:hAnsi="Calibri"/>
          <w:b w:val="1"/>
          <w:sz w:val="24"/>
          <w:szCs w:val="24"/>
          <w:rtl w:val="0"/>
        </w:rPr>
        <w:t xml:space="preserve">Part Three: Practice-based Writing</w:t>
      </w:r>
      <w:r w:rsidDel="00000000" w:rsidR="00000000" w:rsidRPr="00000000">
        <w:rPr>
          <w:rtl w:val="0"/>
        </w:rPr>
      </w:r>
    </w:p>
    <w:p w:rsidR="00000000" w:rsidDel="00000000" w:rsidP="00000000" w:rsidRDefault="00000000" w:rsidRPr="00000000" w14:paraId="0000003C">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D">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following writing will reflect upon the existence and history of poison rings. I will state my initial reactions, then challenge those reactions by conducting research and applying analysis to the findings. I will then reevaluate my perception and state my informed opinion on such artefacts.</w:t>
      </w:r>
    </w:p>
    <w:p w:rsidR="00000000" w:rsidDel="00000000" w:rsidP="00000000" w:rsidRDefault="00000000" w:rsidRPr="00000000" w14:paraId="0000003E">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F">
      <w:pPr>
        <w:spacing w:line="360" w:lineRule="auto"/>
        <w:jc w:val="center"/>
        <w:rPr>
          <w:rFonts w:ascii="Calibri" w:cs="Calibri" w:eastAsia="Calibri" w:hAnsi="Calibri"/>
          <w:i w:val="1"/>
          <w:sz w:val="24"/>
          <w:szCs w:val="24"/>
        </w:rPr>
      </w:pPr>
      <w:r w:rsidDel="00000000" w:rsidR="00000000" w:rsidRPr="00000000">
        <w:rPr>
          <w:rFonts w:ascii="Calibri" w:cs="Calibri" w:eastAsia="Calibri" w:hAnsi="Calibri"/>
          <w:sz w:val="24"/>
          <w:szCs w:val="24"/>
        </w:rPr>
        <w:drawing>
          <wp:inline distB="114300" distT="114300" distL="114300" distR="114300">
            <wp:extent cx="5454568" cy="2827306"/>
            <wp:effectExtent b="0" l="0" r="0" t="0"/>
            <wp:docPr id="4" name="image2.jpg"/>
            <a:graphic>
              <a:graphicData uri="http://schemas.openxmlformats.org/drawingml/2006/picture">
                <pic:pic>
                  <pic:nvPicPr>
                    <pic:cNvPr id="0" name="image2.jpg"/>
                    <pic:cNvPicPr preferRelativeResize="0"/>
                  </pic:nvPicPr>
                  <pic:blipFill>
                    <a:blip r:embed="rId11"/>
                    <a:srcRect b="0" l="0" r="0" t="0"/>
                    <a:stretch>
                      <a:fillRect/>
                    </a:stretch>
                  </pic:blipFill>
                  <pic:spPr>
                    <a:xfrm>
                      <a:off x="0" y="0"/>
                      <a:ext cx="5454568" cy="2827306"/>
                    </a:xfrm>
                    <a:prstGeom prst="rect"/>
                    <a:ln/>
                  </pic:spPr>
                </pic:pic>
              </a:graphicData>
            </a:graphic>
          </wp:inline>
        </w:drawing>
      </w:r>
      <w:r w:rsidDel="00000000" w:rsidR="00000000" w:rsidRPr="00000000">
        <w:rPr>
          <w:rFonts w:ascii="Calibri" w:cs="Calibri" w:eastAsia="Calibri" w:hAnsi="Calibri"/>
          <w:sz w:val="24"/>
          <w:szCs w:val="24"/>
          <w:rtl w:val="0"/>
        </w:rPr>
        <w:t xml:space="preserve">Fig. 6 GIA, 2017. </w:t>
      </w:r>
      <w:r w:rsidDel="00000000" w:rsidR="00000000" w:rsidRPr="00000000">
        <w:rPr>
          <w:rFonts w:ascii="Calibri" w:cs="Calibri" w:eastAsia="Calibri" w:hAnsi="Calibri"/>
          <w:i w:val="1"/>
          <w:sz w:val="24"/>
          <w:szCs w:val="24"/>
          <w:rtl w:val="0"/>
        </w:rPr>
        <w:t xml:space="preserve">A 1 ct rectangular emerald and delicate enameling decorates this Victorian era 18K yellow gold poison ring</w:t>
      </w:r>
    </w:p>
    <w:p w:rsidR="00000000" w:rsidDel="00000000" w:rsidP="00000000" w:rsidRDefault="00000000" w:rsidRPr="00000000" w14:paraId="00000040">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1">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Initially, the concept of poison rings seemed straightforward enough to make a few general assumptions. I assumed that they originated in the west, in a similar manner to hat pins used by Victorian women. Like Victorian hat pins (Abbott, 2014), which proved to be a socially acceptable means of self defense for women in a heavily patriarchal society, a poison ring seemed a reasonable, inconspicuous approach to both self-defense from an abuser or outright murder. The act of poisoning someone relies on the poisoner’s ability to remain subtle and undetected until the poison takes effect in the victim’s body, at which point it is often too late to be reversed. For women living in such a heavily patriarchal society, poison proved to be an effective and relatively easy method of killing. I had heard stories (McKennett, 2020) of one such woman, Giulia Tofana, who was known in her time for selling poisons to other women, with the intention of killing their husbands. </w:t>
      </w:r>
    </w:p>
    <w:p w:rsidR="00000000" w:rsidDel="00000000" w:rsidP="00000000" w:rsidRDefault="00000000" w:rsidRPr="00000000" w14:paraId="00000042">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3">
      <w:pPr>
        <w:spacing w:line="360" w:lineRule="auto"/>
        <w:jc w:val="center"/>
        <w:rPr>
          <w:rFonts w:ascii="Calibri" w:cs="Calibri" w:eastAsia="Calibri" w:hAnsi="Calibri"/>
          <w:i w:val="1"/>
          <w:sz w:val="24"/>
          <w:szCs w:val="24"/>
        </w:rPr>
      </w:pPr>
      <w:r w:rsidDel="00000000" w:rsidR="00000000" w:rsidRPr="00000000">
        <w:rPr>
          <w:rFonts w:ascii="Calibri" w:cs="Calibri" w:eastAsia="Calibri" w:hAnsi="Calibri"/>
          <w:sz w:val="24"/>
          <w:szCs w:val="24"/>
        </w:rPr>
        <w:drawing>
          <wp:inline distB="114300" distT="114300" distL="114300" distR="114300">
            <wp:extent cx="5285420" cy="2554912"/>
            <wp:effectExtent b="0" l="0" r="0" t="0"/>
            <wp:docPr id="5" name="image5.jpg"/>
            <a:graphic>
              <a:graphicData uri="http://schemas.openxmlformats.org/drawingml/2006/picture">
                <pic:pic>
                  <pic:nvPicPr>
                    <pic:cNvPr id="0" name="image5.jpg"/>
                    <pic:cNvPicPr preferRelativeResize="0"/>
                  </pic:nvPicPr>
                  <pic:blipFill>
                    <a:blip r:embed="rId12"/>
                    <a:srcRect b="0" l="0" r="0" t="0"/>
                    <a:stretch>
                      <a:fillRect/>
                    </a:stretch>
                  </pic:blipFill>
                  <pic:spPr>
                    <a:xfrm>
                      <a:off x="0" y="0"/>
                      <a:ext cx="5285420" cy="2554912"/>
                    </a:xfrm>
                    <a:prstGeom prst="rect"/>
                    <a:ln/>
                  </pic:spPr>
                </pic:pic>
              </a:graphicData>
            </a:graphic>
          </wp:inline>
        </w:drawing>
      </w:r>
      <w:r w:rsidDel="00000000" w:rsidR="00000000" w:rsidRPr="00000000">
        <w:rPr>
          <w:rFonts w:ascii="Calibri" w:cs="Calibri" w:eastAsia="Calibri" w:hAnsi="Calibri"/>
          <w:sz w:val="24"/>
          <w:szCs w:val="24"/>
          <w:rtl w:val="0"/>
        </w:rPr>
        <w:t xml:space="preserve">Fig. 7 The Cleveland Plain Dealer, March 3, 1907. </w:t>
      </w:r>
      <w:r w:rsidDel="00000000" w:rsidR="00000000" w:rsidRPr="00000000">
        <w:rPr>
          <w:rFonts w:ascii="Calibri" w:cs="Calibri" w:eastAsia="Calibri" w:hAnsi="Calibri"/>
          <w:i w:val="1"/>
          <w:sz w:val="24"/>
          <w:szCs w:val="24"/>
          <w:rtl w:val="0"/>
        </w:rPr>
        <w:t xml:space="preserve">The Hat Pin Peril</w:t>
      </w:r>
    </w:p>
    <w:p w:rsidR="00000000" w:rsidDel="00000000" w:rsidP="00000000" w:rsidRDefault="00000000" w:rsidRPr="00000000" w14:paraId="00000044">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5">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my following research, I found evidence quite to the contrary of the origin, purpose, and demographic I had assumed (see Appendix 2). The use of poison rings originated in Ancient India and made its way over to Ancient Rome, and </w:t>
      </w:r>
      <w:r w:rsidDel="00000000" w:rsidR="00000000" w:rsidRPr="00000000">
        <w:rPr>
          <w:rFonts w:ascii="Calibri" w:cs="Calibri" w:eastAsia="Calibri" w:hAnsi="Calibri"/>
          <w:i w:val="1"/>
          <w:sz w:val="24"/>
          <w:szCs w:val="24"/>
          <w:rtl w:val="0"/>
        </w:rPr>
        <w:t xml:space="preserve">then</w:t>
      </w:r>
      <w:r w:rsidDel="00000000" w:rsidR="00000000" w:rsidRPr="00000000">
        <w:rPr>
          <w:rFonts w:ascii="Calibri" w:cs="Calibri" w:eastAsia="Calibri" w:hAnsi="Calibri"/>
          <w:sz w:val="24"/>
          <w:szCs w:val="24"/>
          <w:rtl w:val="0"/>
        </w:rPr>
        <w:t xml:space="preserve"> to the rest of Europe (Heitner, 2022). There are dozens of historical accounts of these rings being used for both homicidal and suicidal purposes, by people of any gender, usually of the upper class of their societies. Their use ranges from high ranking political figures slipping poison into an adversary’s cup of wine, to prisoners of war ingesting poison to escape torture or a painful death. As it stands, rings with the aforementioned description are still used and worn today, most commonly among goth and alternative subcultures.</w:t>
      </w:r>
    </w:p>
    <w:p w:rsidR="00000000" w:rsidDel="00000000" w:rsidP="00000000" w:rsidRDefault="00000000" w:rsidRPr="00000000" w14:paraId="00000046">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7">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4094481" cy="5366355"/>
            <wp:effectExtent b="0" l="0" r="0" t="0"/>
            <wp:docPr id="6" name="image8.jpg"/>
            <a:graphic>
              <a:graphicData uri="http://schemas.openxmlformats.org/drawingml/2006/picture">
                <pic:pic>
                  <pic:nvPicPr>
                    <pic:cNvPr id="0" name="image8.jpg"/>
                    <pic:cNvPicPr preferRelativeResize="0"/>
                  </pic:nvPicPr>
                  <pic:blipFill>
                    <a:blip r:embed="rId13"/>
                    <a:srcRect b="0" l="0" r="0" t="0"/>
                    <a:stretch>
                      <a:fillRect/>
                    </a:stretch>
                  </pic:blipFill>
                  <pic:spPr>
                    <a:xfrm>
                      <a:off x="0" y="0"/>
                      <a:ext cx="4094481" cy="5366355"/>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spacing w:line="360" w:lineRule="auto"/>
        <w:jc w:val="cente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 8 David, Gerard (c.1510) </w:t>
      </w:r>
      <w:r w:rsidDel="00000000" w:rsidR="00000000" w:rsidRPr="00000000">
        <w:rPr>
          <w:rFonts w:ascii="Calibri" w:cs="Calibri" w:eastAsia="Calibri" w:hAnsi="Calibri"/>
          <w:i w:val="1"/>
          <w:sz w:val="24"/>
          <w:szCs w:val="24"/>
          <w:rtl w:val="0"/>
        </w:rPr>
        <w:t xml:space="preserve">Portrait of a Goldsmith</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rtl w:val="0"/>
        </w:rPr>
        <w:t xml:space="preserve">Location: Kunsthistorisches Museum, Vienna, Austria Source: wikiart.org Public Domain</w:t>
      </w:r>
    </w:p>
    <w:p w:rsidR="00000000" w:rsidDel="00000000" w:rsidP="00000000" w:rsidRDefault="00000000" w:rsidRPr="00000000" w14:paraId="00000049">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A">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After conducting research into the origin, purpose, and demographic of poison rings, I have been able to confront some of my own cognitive biases. For one, the assumption that poison rings originated in Europe, which reflects my euro-centric view of mind. It is important for me to stop and consider all possible origins, not just those I’ve been conditioned to expect. Secondly, the assumption that poison rings were used by women only, reinforcing a modern gender role of only women wearing jewelry (outside of a marital ring). This not only enforces the harmful societal expectation, but also applies modern gender roles to a relic of the past. Recognizing that gender roles and gendered fashion shift over time is imperative to understanding the role that gender plays in human history, not just euro-centric history. </w:t>
      </w:r>
    </w:p>
    <w:p w:rsidR="00000000" w:rsidDel="00000000" w:rsidP="00000000" w:rsidRDefault="00000000" w:rsidRPr="00000000" w14:paraId="0000004B">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C">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731200" cy="4203700"/>
            <wp:effectExtent b="0" l="0" r="0" t="0"/>
            <wp:docPr id="2" name="image7.jpg"/>
            <a:graphic>
              <a:graphicData uri="http://schemas.openxmlformats.org/drawingml/2006/picture">
                <pic:pic>
                  <pic:nvPicPr>
                    <pic:cNvPr id="0" name="image7.jpg"/>
                    <pic:cNvPicPr preferRelativeResize="0"/>
                  </pic:nvPicPr>
                  <pic:blipFill>
                    <a:blip r:embed="rId14"/>
                    <a:srcRect b="0" l="0" r="0" t="0"/>
                    <a:stretch>
                      <a:fillRect/>
                    </a:stretch>
                  </pic:blipFill>
                  <pic:spPr>
                    <a:xfrm>
                      <a:off x="0" y="0"/>
                      <a:ext cx="5731200" cy="4203700"/>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spacing w:line="360" w:lineRule="auto"/>
        <w:jc w:val="center"/>
        <w:rPr>
          <w:rFonts w:ascii="Calibri" w:cs="Calibri" w:eastAsia="Calibri" w:hAnsi="Calibri"/>
          <w:i w:val="1"/>
          <w:sz w:val="24"/>
          <w:szCs w:val="24"/>
        </w:rPr>
      </w:pPr>
      <w:r w:rsidDel="00000000" w:rsidR="00000000" w:rsidRPr="00000000">
        <w:rPr>
          <w:rFonts w:ascii="Calibri" w:cs="Calibri" w:eastAsia="Calibri" w:hAnsi="Calibri"/>
          <w:sz w:val="24"/>
          <w:szCs w:val="24"/>
          <w:rtl w:val="0"/>
        </w:rPr>
        <w:t xml:space="preserve">Fig. 9 Hardman (2022) </w:t>
      </w:r>
      <w:r w:rsidDel="00000000" w:rsidR="00000000" w:rsidRPr="00000000">
        <w:rPr>
          <w:rFonts w:ascii="Calibri" w:cs="Calibri" w:eastAsia="Calibri" w:hAnsi="Calibri"/>
          <w:i w:val="1"/>
          <w:sz w:val="24"/>
          <w:szCs w:val="24"/>
          <w:rtl w:val="0"/>
        </w:rPr>
        <w:t xml:space="preserve">Poison Ring Design Research</w:t>
      </w:r>
    </w:p>
    <w:p w:rsidR="00000000" w:rsidDel="00000000" w:rsidP="00000000" w:rsidRDefault="00000000" w:rsidRPr="00000000" w14:paraId="0000004E">
      <w:pPr>
        <w:spacing w:line="360" w:lineRule="auto"/>
        <w:rPr>
          <w:rFonts w:ascii="Calibri" w:cs="Calibri" w:eastAsia="Calibri" w:hAnsi="Calibri"/>
          <w:i w:val="1"/>
          <w:sz w:val="24"/>
          <w:szCs w:val="24"/>
        </w:rPr>
      </w:pPr>
      <w:r w:rsidDel="00000000" w:rsidR="00000000" w:rsidRPr="00000000">
        <w:rPr>
          <w:rtl w:val="0"/>
        </w:rPr>
      </w:r>
    </w:p>
    <w:p w:rsidR="00000000" w:rsidDel="00000000" w:rsidP="00000000" w:rsidRDefault="00000000" w:rsidRPr="00000000" w14:paraId="0000004F">
      <w:pPr>
        <w:spacing w:line="360" w:lineRule="auto"/>
        <w:rPr>
          <w:rFonts w:ascii="Calibri" w:cs="Calibri" w:eastAsia="Calibri" w:hAnsi="Calibri"/>
          <w:i w:val="1"/>
          <w:sz w:val="24"/>
          <w:szCs w:val="24"/>
        </w:rPr>
      </w:pPr>
      <w:r w:rsidDel="00000000" w:rsidR="00000000" w:rsidRPr="00000000">
        <w:rPr>
          <w:rFonts w:ascii="Calibri" w:cs="Calibri" w:eastAsia="Calibri" w:hAnsi="Calibri"/>
          <w:i w:val="1"/>
          <w:sz w:val="24"/>
          <w:szCs w:val="24"/>
        </w:rPr>
        <w:drawing>
          <wp:inline distB="114300" distT="114300" distL="114300" distR="114300">
            <wp:extent cx="5731200" cy="4356100"/>
            <wp:effectExtent b="0" l="0" r="0" t="0"/>
            <wp:docPr id="8" name="image6.jpg"/>
            <a:graphic>
              <a:graphicData uri="http://schemas.openxmlformats.org/drawingml/2006/picture">
                <pic:pic>
                  <pic:nvPicPr>
                    <pic:cNvPr id="0" name="image6.jpg"/>
                    <pic:cNvPicPr preferRelativeResize="0"/>
                  </pic:nvPicPr>
                  <pic:blipFill>
                    <a:blip r:embed="rId15"/>
                    <a:srcRect b="0" l="0" r="0" t="0"/>
                    <a:stretch>
                      <a:fillRect/>
                    </a:stretch>
                  </pic:blipFill>
                  <pic:spPr>
                    <a:xfrm>
                      <a:off x="0" y="0"/>
                      <a:ext cx="5731200" cy="435610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spacing w:line="360" w:lineRule="auto"/>
        <w:jc w:val="center"/>
        <w:rPr>
          <w:rFonts w:ascii="Calibri" w:cs="Calibri" w:eastAsia="Calibri" w:hAnsi="Calibri"/>
          <w:i w:val="1"/>
          <w:sz w:val="24"/>
          <w:szCs w:val="24"/>
        </w:rPr>
      </w:pPr>
      <w:r w:rsidDel="00000000" w:rsidR="00000000" w:rsidRPr="00000000">
        <w:rPr>
          <w:rFonts w:ascii="Calibri" w:cs="Calibri" w:eastAsia="Calibri" w:hAnsi="Calibri"/>
          <w:sz w:val="24"/>
          <w:szCs w:val="24"/>
          <w:rtl w:val="0"/>
        </w:rPr>
        <w:t xml:space="preserve">Fig. 10 Hardman (2022) </w:t>
      </w:r>
      <w:r w:rsidDel="00000000" w:rsidR="00000000" w:rsidRPr="00000000">
        <w:rPr>
          <w:rFonts w:ascii="Calibri" w:cs="Calibri" w:eastAsia="Calibri" w:hAnsi="Calibri"/>
          <w:i w:val="1"/>
          <w:sz w:val="24"/>
          <w:szCs w:val="24"/>
          <w:rtl w:val="0"/>
        </w:rPr>
        <w:t xml:space="preserve">Poison Ring Design: Personal Design</w:t>
      </w:r>
    </w:p>
    <w:p w:rsidR="00000000" w:rsidDel="00000000" w:rsidP="00000000" w:rsidRDefault="00000000" w:rsidRPr="00000000" w14:paraId="00000051">
      <w:pPr>
        <w:spacing w:line="360" w:lineRule="auto"/>
        <w:rPr>
          <w:rFonts w:ascii="Calibri" w:cs="Calibri" w:eastAsia="Calibri" w:hAnsi="Calibri"/>
          <w:i w:val="1"/>
          <w:sz w:val="24"/>
          <w:szCs w:val="24"/>
        </w:rPr>
      </w:pPr>
      <w:r w:rsidDel="00000000" w:rsidR="00000000" w:rsidRPr="00000000">
        <w:rPr>
          <w:rtl w:val="0"/>
        </w:rPr>
      </w:r>
    </w:p>
    <w:p w:rsidR="00000000" w:rsidDel="00000000" w:rsidP="00000000" w:rsidRDefault="00000000" w:rsidRPr="00000000" w14:paraId="00000052">
      <w:pPr>
        <w:spacing w:line="360" w:lineRule="auto"/>
        <w:ind w:right="567"/>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53">
      <w:pPr>
        <w:spacing w:line="360" w:lineRule="auto"/>
        <w:ind w:right="567"/>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54">
      <w:pPr>
        <w:spacing w:line="360" w:lineRule="auto"/>
        <w:ind w:right="567"/>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5">
      <w:pPr>
        <w:spacing w:line="360" w:lineRule="auto"/>
        <w:ind w:right="567"/>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6">
      <w:pPr>
        <w:spacing w:line="360" w:lineRule="auto"/>
        <w:ind w:right="567"/>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7">
      <w:pPr>
        <w:spacing w:line="360" w:lineRule="auto"/>
        <w:ind w:right="567"/>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List of Figures:</w:t>
      </w:r>
    </w:p>
    <w:p w:rsidR="00000000" w:rsidDel="00000000" w:rsidP="00000000" w:rsidRDefault="00000000" w:rsidRPr="00000000" w14:paraId="00000058">
      <w:pPr>
        <w:spacing w:line="360" w:lineRule="auto"/>
        <w:ind w:right="567"/>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59">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Figure 1: Waseem, Muzna. “Intrinsic &amp; Extrinsic Motivation: Meaning and Application.” Advergize, 27 Aug. 2018, </w:t>
      </w:r>
    </w:p>
    <w:p w:rsidR="00000000" w:rsidDel="00000000" w:rsidP="00000000" w:rsidRDefault="00000000" w:rsidRPr="00000000" w14:paraId="0000005A">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B">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Figure 2: Loewen, David. “‘Tip of the Icebergs’: Clichéd Metaphors in Education.” David Lowen, David Loewen Research Blog, 25 May 2017, </w:t>
      </w:r>
    </w:p>
    <w:p w:rsidR="00000000" w:rsidDel="00000000" w:rsidP="00000000" w:rsidRDefault="00000000" w:rsidRPr="00000000" w14:paraId="0000005C">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D">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Figure 3. Rea, Naomi. “Calling All London Artists! A New Reality TV Series about the City's Art Scene Is Looking for Contestants.” Artnet News, Artnet News, 16 Dec. 2020, </w:t>
      </w:r>
    </w:p>
    <w:p w:rsidR="00000000" w:rsidDel="00000000" w:rsidP="00000000" w:rsidRDefault="00000000" w:rsidRPr="00000000" w14:paraId="0000005E">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F">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Figure 4. Alt-j. “</w:t>
      </w:r>
      <w:r w:rsidDel="00000000" w:rsidR="00000000" w:rsidRPr="00000000">
        <w:rPr>
          <w:rFonts w:ascii="Calibri" w:cs="Calibri" w:eastAsia="Calibri" w:hAnsi="Calibri"/>
          <w:sz w:val="24"/>
          <w:szCs w:val="24"/>
          <w:rtl w:val="0"/>
        </w:rPr>
        <w:t xml:space="preserve">An Awesome Wave” [album] Infectious Music. 25 May 2012</w:t>
      </w:r>
      <w:r w:rsidDel="00000000" w:rsidR="00000000" w:rsidRPr="00000000">
        <w:rPr>
          <w:rtl w:val="0"/>
        </w:rPr>
      </w:r>
    </w:p>
    <w:p w:rsidR="00000000" w:rsidDel="00000000" w:rsidP="00000000" w:rsidRDefault="00000000" w:rsidRPr="00000000" w14:paraId="00000060">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1">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Figure 5. Pejofar &amp; Egrets, Genius Annotation Contributors. “The area represented in this photo is a satellite image of the Ganges delta, from this region of Bangladesh.” An Awesome Wave Genius Annotated Cover, 2017</w:t>
      </w:r>
    </w:p>
    <w:p w:rsidR="00000000" w:rsidDel="00000000" w:rsidP="00000000" w:rsidRDefault="00000000" w:rsidRPr="00000000" w14:paraId="00000062">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3">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Figure 6. GIA, Unknown. “</w:t>
      </w:r>
      <w:r w:rsidDel="00000000" w:rsidR="00000000" w:rsidRPr="00000000">
        <w:rPr>
          <w:rFonts w:ascii="Calibri" w:cs="Calibri" w:eastAsia="Calibri" w:hAnsi="Calibri"/>
          <w:sz w:val="24"/>
          <w:szCs w:val="24"/>
          <w:rtl w:val="0"/>
        </w:rPr>
        <w:t xml:space="preserve">A 1 ct rectangular emerald and delicate enameling decorates this Victorian era 18K yellow gold poison ring” GIA.edu, 2017</w:t>
      </w:r>
      <w:r w:rsidDel="00000000" w:rsidR="00000000" w:rsidRPr="00000000">
        <w:rPr>
          <w:rtl w:val="0"/>
        </w:rPr>
      </w:r>
    </w:p>
    <w:p w:rsidR="00000000" w:rsidDel="00000000" w:rsidP="00000000" w:rsidRDefault="00000000" w:rsidRPr="00000000" w14:paraId="00000064">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5">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Figure 7. Abbott, Karen. “The Cleveland Plain Dealer, March 3, 1907.” Smithsonian Magazine, 24 Apr. 2014</w:t>
      </w:r>
    </w:p>
    <w:p w:rsidR="00000000" w:rsidDel="00000000" w:rsidP="00000000" w:rsidRDefault="00000000" w:rsidRPr="00000000" w14:paraId="00000066">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7">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Figure 8. Gerard David Date. </w:t>
      </w:r>
      <w:r w:rsidDel="00000000" w:rsidR="00000000" w:rsidRPr="00000000">
        <w:rPr>
          <w:rFonts w:ascii="Calibri" w:cs="Calibri" w:eastAsia="Calibri" w:hAnsi="Calibri"/>
          <w:sz w:val="24"/>
          <w:szCs w:val="24"/>
          <w:rtl w:val="0"/>
        </w:rPr>
        <w:t xml:space="preserve">“Portrait of a Goldsmith” Kunsthistorisches Museum, Vienna, Austria, wikiart.org Public Domain, c.1510</w:t>
      </w:r>
    </w:p>
    <w:p w:rsidR="00000000" w:rsidDel="00000000" w:rsidP="00000000" w:rsidRDefault="00000000" w:rsidRPr="00000000" w14:paraId="00000068">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9">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Figure 9. Hardman, Brooks. “Poison Ring Design Research” Procreate, 2022</w:t>
      </w:r>
    </w:p>
    <w:p w:rsidR="00000000" w:rsidDel="00000000" w:rsidP="00000000" w:rsidRDefault="00000000" w:rsidRPr="00000000" w14:paraId="0000006A">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B">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Figure 10. Hardman, Brooks. “Poison Ring Design: Personal Design” Procreate, 2022</w:t>
      </w:r>
    </w:p>
    <w:p w:rsidR="00000000" w:rsidDel="00000000" w:rsidP="00000000" w:rsidRDefault="00000000" w:rsidRPr="00000000" w14:paraId="0000006C">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D">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E">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F">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0">
      <w:pPr>
        <w:pStyle w:val="Heading1"/>
        <w:spacing w:line="360" w:lineRule="auto"/>
        <w:rPr>
          <w:rFonts w:ascii="Calibri" w:cs="Calibri" w:eastAsia="Calibri" w:hAnsi="Calibri"/>
          <w:b w:val="1"/>
          <w:sz w:val="24"/>
          <w:szCs w:val="24"/>
        </w:rPr>
      </w:pPr>
      <w:bookmarkStart w:colFirst="0" w:colLast="0" w:name="_7odz7nh7e7k3" w:id="5"/>
      <w:bookmarkEnd w:id="5"/>
      <w:r w:rsidDel="00000000" w:rsidR="00000000" w:rsidRPr="00000000">
        <w:rPr>
          <w:rFonts w:ascii="Calibri" w:cs="Calibri" w:eastAsia="Calibri" w:hAnsi="Calibri"/>
          <w:b w:val="1"/>
          <w:sz w:val="24"/>
          <w:szCs w:val="24"/>
          <w:rtl w:val="0"/>
        </w:rPr>
        <w:t xml:space="preserve">Referencing List:</w:t>
      </w:r>
    </w:p>
    <w:p w:rsidR="00000000" w:rsidDel="00000000" w:rsidP="00000000" w:rsidRDefault="00000000" w:rsidRPr="00000000" w14:paraId="00000071">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2">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Manifesto-</w:t>
      </w:r>
    </w:p>
    <w:p w:rsidR="00000000" w:rsidDel="00000000" w:rsidP="00000000" w:rsidRDefault="00000000" w:rsidRPr="00000000" w14:paraId="00000073">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4">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Duignan, B. (N.D.) </w:t>
      </w:r>
      <w:r w:rsidDel="00000000" w:rsidR="00000000" w:rsidRPr="00000000">
        <w:rPr>
          <w:rFonts w:ascii="Calibri" w:cs="Calibri" w:eastAsia="Calibri" w:hAnsi="Calibri"/>
          <w:i w:val="1"/>
          <w:sz w:val="24"/>
          <w:szCs w:val="24"/>
          <w:rtl w:val="0"/>
        </w:rPr>
        <w:t xml:space="preserve">Aestheticism</w:t>
      </w:r>
      <w:r w:rsidDel="00000000" w:rsidR="00000000" w:rsidRPr="00000000">
        <w:rPr>
          <w:rFonts w:ascii="Calibri" w:cs="Calibri" w:eastAsia="Calibri" w:hAnsi="Calibri"/>
          <w:sz w:val="24"/>
          <w:szCs w:val="24"/>
          <w:rtl w:val="0"/>
        </w:rPr>
        <w:t xml:space="preserve"> [online] available at: </w:t>
      </w:r>
      <w:hyperlink r:id="rId16">
        <w:r w:rsidDel="00000000" w:rsidR="00000000" w:rsidRPr="00000000">
          <w:rPr>
            <w:rFonts w:ascii="Calibri" w:cs="Calibri" w:eastAsia="Calibri" w:hAnsi="Calibri"/>
            <w:color w:val="1155cc"/>
            <w:sz w:val="24"/>
            <w:szCs w:val="24"/>
            <w:u w:val="single"/>
            <w:rtl w:val="0"/>
          </w:rPr>
          <w:t xml:space="preserve">https://www.britannica.com/art/Aestheticism</w:t>
        </w:r>
      </w:hyperlink>
      <w:r w:rsidDel="00000000" w:rsidR="00000000" w:rsidRPr="00000000">
        <w:rPr>
          <w:rFonts w:ascii="Calibri" w:cs="Calibri" w:eastAsia="Calibri" w:hAnsi="Calibri"/>
          <w:sz w:val="24"/>
          <w:szCs w:val="24"/>
          <w:rtl w:val="0"/>
        </w:rPr>
        <w:t xml:space="preserve"> [accessed 20th April 2022]</w:t>
      </w:r>
    </w:p>
    <w:p w:rsidR="00000000" w:rsidDel="00000000" w:rsidP="00000000" w:rsidRDefault="00000000" w:rsidRPr="00000000" w14:paraId="00000075">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6">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Eco, U. (1976) </w:t>
      </w:r>
      <w:r w:rsidDel="00000000" w:rsidR="00000000" w:rsidRPr="00000000">
        <w:rPr>
          <w:rFonts w:ascii="Calibri" w:cs="Calibri" w:eastAsia="Calibri" w:hAnsi="Calibri"/>
          <w:i w:val="1"/>
          <w:sz w:val="24"/>
          <w:szCs w:val="24"/>
          <w:rtl w:val="0"/>
        </w:rPr>
        <w:t xml:space="preserve">A Theory of Semiotics,</w:t>
      </w:r>
      <w:r w:rsidDel="00000000" w:rsidR="00000000" w:rsidRPr="00000000">
        <w:rPr>
          <w:rFonts w:ascii="Calibri" w:cs="Calibri" w:eastAsia="Calibri" w:hAnsi="Calibri"/>
          <w:sz w:val="24"/>
          <w:szCs w:val="24"/>
          <w:rtl w:val="0"/>
        </w:rPr>
        <w:t xml:space="preserve"> Bloomington: Indiana University Press</w:t>
      </w:r>
    </w:p>
    <w:p w:rsidR="00000000" w:rsidDel="00000000" w:rsidP="00000000" w:rsidRDefault="00000000" w:rsidRPr="00000000" w14:paraId="00000077">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8">
      <w:pPr>
        <w:spacing w:line="360" w:lineRule="auto"/>
        <w:rPr>
          <w:rFonts w:ascii="Calibri" w:cs="Calibri" w:eastAsia="Calibri" w:hAnsi="Calibri"/>
          <w:sz w:val="24"/>
          <w:szCs w:val="24"/>
        </w:rPr>
      </w:pPr>
      <w:hyperlink r:id="rId17">
        <w:r w:rsidDel="00000000" w:rsidR="00000000" w:rsidRPr="00000000">
          <w:rPr>
            <w:rFonts w:ascii="Calibri" w:cs="Calibri" w:eastAsia="Calibri" w:hAnsi="Calibri"/>
            <w:color w:val="3c4043"/>
            <w:sz w:val="24"/>
            <w:szCs w:val="24"/>
            <w:rtl w:val="0"/>
          </w:rPr>
          <w:t xml:space="preserve">Hébert</w:t>
        </w:r>
      </w:hyperlink>
      <w:r w:rsidDel="00000000" w:rsidR="00000000" w:rsidRPr="00000000">
        <w:rPr>
          <w:rFonts w:ascii="Calibri" w:cs="Calibri" w:eastAsia="Calibri" w:hAnsi="Calibri"/>
          <w:color w:val="3c4043"/>
          <w:sz w:val="24"/>
          <w:szCs w:val="24"/>
          <w:rtl w:val="0"/>
        </w:rPr>
        <w:t xml:space="preserve">, L </w:t>
      </w:r>
      <w:r w:rsidDel="00000000" w:rsidR="00000000" w:rsidRPr="00000000">
        <w:rPr>
          <w:rFonts w:ascii="Calibri" w:cs="Calibri" w:eastAsia="Calibri" w:hAnsi="Calibri"/>
          <w:sz w:val="24"/>
          <w:szCs w:val="24"/>
          <w:rtl w:val="0"/>
        </w:rPr>
        <w:t xml:space="preserve">(2019) </w:t>
      </w:r>
      <w:r w:rsidDel="00000000" w:rsidR="00000000" w:rsidRPr="00000000">
        <w:rPr>
          <w:rFonts w:ascii="Calibri" w:cs="Calibri" w:eastAsia="Calibri" w:hAnsi="Calibri"/>
          <w:i w:val="1"/>
          <w:sz w:val="24"/>
          <w:szCs w:val="24"/>
          <w:rtl w:val="0"/>
        </w:rPr>
        <w:t xml:space="preserve">An Introduction to Applied Semiotics: Tools for Text and Image Analysis, </w:t>
      </w:r>
      <w:r w:rsidDel="00000000" w:rsidR="00000000" w:rsidRPr="00000000">
        <w:rPr>
          <w:rFonts w:ascii="Calibri" w:cs="Calibri" w:eastAsia="Calibri" w:hAnsi="Calibri"/>
          <w:sz w:val="24"/>
          <w:szCs w:val="24"/>
          <w:rtl w:val="0"/>
        </w:rPr>
        <w:t xml:space="preserve">Oxon &amp; New York: Taylor &amp; Francis </w:t>
      </w:r>
    </w:p>
    <w:p w:rsidR="00000000" w:rsidDel="00000000" w:rsidP="00000000" w:rsidRDefault="00000000" w:rsidRPr="00000000" w14:paraId="00000079">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A">
      <w:pPr>
        <w:spacing w:line="360" w:lineRule="auto"/>
        <w:rPr>
          <w:rFonts w:ascii="Calibri" w:cs="Calibri" w:eastAsia="Calibri" w:hAnsi="Calibri"/>
          <w:color w:val="3c4043"/>
          <w:sz w:val="24"/>
          <w:szCs w:val="24"/>
        </w:rPr>
      </w:pPr>
      <w:r w:rsidDel="00000000" w:rsidR="00000000" w:rsidRPr="00000000">
        <w:rPr>
          <w:rFonts w:ascii="Calibri" w:cs="Calibri" w:eastAsia="Calibri" w:hAnsi="Calibri"/>
          <w:sz w:val="24"/>
          <w:szCs w:val="24"/>
          <w:rtl w:val="0"/>
        </w:rPr>
        <w:t xml:space="preserve">Mancoff, D.N. (2021) </w:t>
      </w:r>
      <w:r w:rsidDel="00000000" w:rsidR="00000000" w:rsidRPr="00000000">
        <w:rPr>
          <w:rFonts w:ascii="Calibri" w:cs="Calibri" w:eastAsia="Calibri" w:hAnsi="Calibri"/>
          <w:i w:val="1"/>
          <w:sz w:val="24"/>
          <w:szCs w:val="24"/>
          <w:rtl w:val="0"/>
        </w:rPr>
        <w:t xml:space="preserve">The Secrets of Art: Uncovering the Mysteries and Messages of Great Works of Art, </w:t>
      </w:r>
      <w:r w:rsidDel="00000000" w:rsidR="00000000" w:rsidRPr="00000000">
        <w:rPr>
          <w:rFonts w:ascii="Calibri" w:cs="Calibri" w:eastAsia="Calibri" w:hAnsi="Calibri"/>
          <w:sz w:val="24"/>
          <w:szCs w:val="24"/>
          <w:rtl w:val="0"/>
        </w:rPr>
        <w:t xml:space="preserve">London:</w:t>
      </w:r>
      <w:r w:rsidDel="00000000" w:rsidR="00000000" w:rsidRPr="00000000">
        <w:rPr>
          <w:rFonts w:ascii="Calibri" w:cs="Calibri" w:eastAsia="Calibri" w:hAnsi="Calibri"/>
          <w:i w:val="1"/>
          <w:sz w:val="24"/>
          <w:szCs w:val="24"/>
          <w:rtl w:val="0"/>
        </w:rPr>
        <w:t xml:space="preserve"> </w:t>
      </w:r>
      <w:r w:rsidDel="00000000" w:rsidR="00000000" w:rsidRPr="00000000">
        <w:rPr>
          <w:rFonts w:ascii="Calibri" w:cs="Calibri" w:eastAsia="Calibri" w:hAnsi="Calibri"/>
          <w:sz w:val="24"/>
          <w:szCs w:val="24"/>
          <w:rtl w:val="0"/>
        </w:rPr>
        <w:t xml:space="preserve">Frances Lincoln</w:t>
      </w:r>
      <w:r w:rsidDel="00000000" w:rsidR="00000000" w:rsidRPr="00000000">
        <w:rPr>
          <w:rtl w:val="0"/>
        </w:rPr>
      </w:r>
    </w:p>
    <w:p w:rsidR="00000000" w:rsidDel="00000000" w:rsidP="00000000" w:rsidRDefault="00000000" w:rsidRPr="00000000" w14:paraId="0000007B">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C">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Pearson Higher Ed (2015) </w:t>
      </w:r>
      <w:r w:rsidDel="00000000" w:rsidR="00000000" w:rsidRPr="00000000">
        <w:rPr>
          <w:rFonts w:ascii="Calibri" w:cs="Calibri" w:eastAsia="Calibri" w:hAnsi="Calibri"/>
          <w:i w:val="1"/>
          <w:sz w:val="24"/>
          <w:szCs w:val="24"/>
          <w:rtl w:val="0"/>
        </w:rPr>
        <w:t xml:space="preserve">Chapter 1: The Nature of Morality</w:t>
      </w:r>
      <w:r w:rsidDel="00000000" w:rsidR="00000000" w:rsidRPr="00000000">
        <w:rPr>
          <w:rFonts w:ascii="Calibri" w:cs="Calibri" w:eastAsia="Calibri" w:hAnsi="Calibri"/>
          <w:sz w:val="24"/>
          <w:szCs w:val="24"/>
          <w:rtl w:val="0"/>
        </w:rPr>
        <w:t xml:space="preserve"> [online] Available at: </w:t>
      </w:r>
      <w:hyperlink r:id="rId18">
        <w:r w:rsidDel="00000000" w:rsidR="00000000" w:rsidRPr="00000000">
          <w:rPr>
            <w:rFonts w:ascii="Calibri" w:cs="Calibri" w:eastAsia="Calibri" w:hAnsi="Calibri"/>
            <w:color w:val="1155cc"/>
            <w:sz w:val="24"/>
            <w:szCs w:val="24"/>
            <w:u w:val="single"/>
            <w:rtl w:val="0"/>
          </w:rPr>
          <w:t xml:space="preserve">https://www.pearsonhighered.com/assets/samplechapter/0/2/0/5/0205053149.pdf</w:t>
        </w:r>
      </w:hyperlink>
      <w:r w:rsidDel="00000000" w:rsidR="00000000" w:rsidRPr="00000000">
        <w:rPr>
          <w:rFonts w:ascii="Calibri" w:cs="Calibri" w:eastAsia="Calibri" w:hAnsi="Calibri"/>
          <w:sz w:val="24"/>
          <w:szCs w:val="24"/>
          <w:rtl w:val="0"/>
        </w:rPr>
        <w:t xml:space="preserve">. [accessed 30th March 2022]</w:t>
      </w:r>
    </w:p>
    <w:p w:rsidR="00000000" w:rsidDel="00000000" w:rsidP="00000000" w:rsidRDefault="00000000" w:rsidRPr="00000000" w14:paraId="0000007D">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E">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WellBe (2020) </w:t>
      </w:r>
      <w:r w:rsidDel="00000000" w:rsidR="00000000" w:rsidRPr="00000000">
        <w:rPr>
          <w:rFonts w:ascii="Calibri" w:cs="Calibri" w:eastAsia="Calibri" w:hAnsi="Calibri"/>
          <w:i w:val="1"/>
          <w:sz w:val="24"/>
          <w:szCs w:val="24"/>
          <w:rtl w:val="0"/>
        </w:rPr>
        <w:t xml:space="preserve">The Benefits of Making Mistakes</w:t>
      </w:r>
      <w:r w:rsidDel="00000000" w:rsidR="00000000" w:rsidRPr="00000000">
        <w:rPr>
          <w:rFonts w:ascii="Calibri" w:cs="Calibri" w:eastAsia="Calibri" w:hAnsi="Calibri"/>
          <w:sz w:val="24"/>
          <w:szCs w:val="24"/>
          <w:rtl w:val="0"/>
        </w:rPr>
        <w:t xml:space="preserve"> [online] available at: </w:t>
      </w:r>
      <w:hyperlink r:id="rId19">
        <w:r w:rsidDel="00000000" w:rsidR="00000000" w:rsidRPr="00000000">
          <w:rPr>
            <w:rFonts w:ascii="Calibri" w:cs="Calibri" w:eastAsia="Calibri" w:hAnsi="Calibri"/>
            <w:color w:val="1155cc"/>
            <w:sz w:val="24"/>
            <w:szCs w:val="24"/>
            <w:u w:val="single"/>
            <w:rtl w:val="0"/>
          </w:rPr>
          <w:t xml:space="preserve">https://wellbe-global.medium.com/the-benefits-of-making-mistakes-a6b05300ff49</w:t>
        </w:r>
      </w:hyperlink>
      <w:r w:rsidDel="00000000" w:rsidR="00000000" w:rsidRPr="00000000">
        <w:rPr>
          <w:rFonts w:ascii="Calibri" w:cs="Calibri" w:eastAsia="Calibri" w:hAnsi="Calibri"/>
          <w:sz w:val="24"/>
          <w:szCs w:val="24"/>
          <w:rtl w:val="0"/>
        </w:rPr>
        <w:t xml:space="preserve">.[accessed 3rd March 2022]</w:t>
      </w:r>
    </w:p>
    <w:p w:rsidR="00000000" w:rsidDel="00000000" w:rsidP="00000000" w:rsidRDefault="00000000" w:rsidRPr="00000000" w14:paraId="0000007F">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0">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1">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Semiotics-</w:t>
      </w:r>
    </w:p>
    <w:p w:rsidR="00000000" w:rsidDel="00000000" w:rsidP="00000000" w:rsidRDefault="00000000" w:rsidRPr="00000000" w14:paraId="00000082">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3">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UWTSD Lecture (2021) </w:t>
      </w:r>
      <w:r w:rsidDel="00000000" w:rsidR="00000000" w:rsidRPr="00000000">
        <w:rPr>
          <w:rFonts w:ascii="Calibri" w:cs="Calibri" w:eastAsia="Calibri" w:hAnsi="Calibri"/>
          <w:i w:val="1"/>
          <w:sz w:val="24"/>
          <w:szCs w:val="24"/>
          <w:rtl w:val="0"/>
        </w:rPr>
        <w:t xml:space="preserve">Semiotics 1, </w:t>
      </w:r>
      <w:r w:rsidDel="00000000" w:rsidR="00000000" w:rsidRPr="00000000">
        <w:rPr>
          <w:rFonts w:ascii="Calibri" w:cs="Calibri" w:eastAsia="Calibri" w:hAnsi="Calibri"/>
          <w:sz w:val="24"/>
          <w:szCs w:val="24"/>
          <w:rtl w:val="0"/>
        </w:rPr>
        <w:t xml:space="preserve">09.11.21 Swansea: UWTSD</w:t>
      </w:r>
    </w:p>
    <w:p w:rsidR="00000000" w:rsidDel="00000000" w:rsidP="00000000" w:rsidRDefault="00000000" w:rsidRPr="00000000" w14:paraId="00000084">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5">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Alt-j. (2012) </w:t>
      </w:r>
      <w:r w:rsidDel="00000000" w:rsidR="00000000" w:rsidRPr="00000000">
        <w:rPr>
          <w:rFonts w:ascii="Calibri" w:cs="Calibri" w:eastAsia="Calibri" w:hAnsi="Calibri"/>
          <w:i w:val="1"/>
          <w:sz w:val="24"/>
          <w:szCs w:val="24"/>
          <w:rtl w:val="0"/>
        </w:rPr>
        <w:t xml:space="preserve">An Awesome Wave</w:t>
      </w:r>
      <w:r w:rsidDel="00000000" w:rsidR="00000000" w:rsidRPr="00000000">
        <w:rPr>
          <w:rFonts w:ascii="Calibri" w:cs="Calibri" w:eastAsia="Calibri" w:hAnsi="Calibri"/>
          <w:sz w:val="24"/>
          <w:szCs w:val="24"/>
          <w:rtl w:val="0"/>
        </w:rPr>
        <w:t xml:space="preserve"> [album] Infectious Music. 25 May 2012</w:t>
      </w:r>
    </w:p>
    <w:p w:rsidR="00000000" w:rsidDel="00000000" w:rsidP="00000000" w:rsidRDefault="00000000" w:rsidRPr="00000000" w14:paraId="00000086">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7">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Pejofar &amp; Egrets, Genius Annotation Contributors. (2017) </w:t>
      </w:r>
      <w:r w:rsidDel="00000000" w:rsidR="00000000" w:rsidRPr="00000000">
        <w:rPr>
          <w:rFonts w:ascii="Calibri" w:cs="Calibri" w:eastAsia="Calibri" w:hAnsi="Calibri"/>
          <w:i w:val="1"/>
          <w:sz w:val="24"/>
          <w:szCs w:val="24"/>
          <w:rtl w:val="0"/>
        </w:rPr>
        <w:t xml:space="preserve">The area represented in this photo is a satellite image of the Ganges delta, from this region of Bangladesh.</w:t>
      </w:r>
      <w:r w:rsidDel="00000000" w:rsidR="00000000" w:rsidRPr="00000000">
        <w:rPr>
          <w:rFonts w:ascii="Calibri" w:cs="Calibri" w:eastAsia="Calibri" w:hAnsi="Calibri"/>
          <w:sz w:val="24"/>
          <w:szCs w:val="24"/>
          <w:rtl w:val="0"/>
        </w:rPr>
        <w:t xml:space="preserve"> An Awesome Wave Genius Annotated Cover [online] available at: </w:t>
      </w:r>
      <w:hyperlink r:id="rId20">
        <w:r w:rsidDel="00000000" w:rsidR="00000000" w:rsidRPr="00000000">
          <w:rPr>
            <w:rFonts w:ascii="Calibri" w:cs="Calibri" w:eastAsia="Calibri" w:hAnsi="Calibri"/>
            <w:color w:val="1155cc"/>
            <w:sz w:val="24"/>
            <w:szCs w:val="24"/>
            <w:u w:val="single"/>
            <w:rtl w:val="0"/>
          </w:rPr>
          <w:t xml:space="preserve">https://genius.com/album_cover_arts/7656</w:t>
        </w:r>
      </w:hyperlink>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rtl w:val="0"/>
        </w:rPr>
        <w:t xml:space="preserve">[accessed 2nd September 2022]</w:t>
      </w:r>
    </w:p>
    <w:p w:rsidR="00000000" w:rsidDel="00000000" w:rsidP="00000000" w:rsidRDefault="00000000" w:rsidRPr="00000000" w14:paraId="00000088">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9">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Monger, Timothy. (2022) </w:t>
      </w:r>
      <w:r w:rsidDel="00000000" w:rsidR="00000000" w:rsidRPr="00000000">
        <w:rPr>
          <w:rFonts w:ascii="Calibri" w:cs="Calibri" w:eastAsia="Calibri" w:hAnsi="Calibri"/>
          <w:i w:val="1"/>
          <w:sz w:val="24"/>
          <w:szCs w:val="24"/>
          <w:rtl w:val="0"/>
        </w:rPr>
        <w:t xml:space="preserve">Alt-J Biography by Timothy Monger </w:t>
      </w:r>
      <w:r w:rsidDel="00000000" w:rsidR="00000000" w:rsidRPr="00000000">
        <w:rPr>
          <w:rFonts w:ascii="Calibri" w:cs="Calibri" w:eastAsia="Calibri" w:hAnsi="Calibri"/>
          <w:sz w:val="24"/>
          <w:szCs w:val="24"/>
          <w:rtl w:val="0"/>
        </w:rPr>
        <w:t xml:space="preserve">[online] available at:</w:t>
      </w:r>
    </w:p>
    <w:p w:rsidR="00000000" w:rsidDel="00000000" w:rsidP="00000000" w:rsidRDefault="00000000" w:rsidRPr="00000000" w14:paraId="0000008A">
      <w:pPr>
        <w:spacing w:line="360" w:lineRule="auto"/>
        <w:rPr>
          <w:rFonts w:ascii="Calibri" w:cs="Calibri" w:eastAsia="Calibri" w:hAnsi="Calibri"/>
          <w:sz w:val="24"/>
          <w:szCs w:val="24"/>
        </w:rPr>
      </w:pPr>
      <w:hyperlink r:id="rId21">
        <w:r w:rsidDel="00000000" w:rsidR="00000000" w:rsidRPr="00000000">
          <w:rPr>
            <w:rFonts w:ascii="Calibri" w:cs="Calibri" w:eastAsia="Calibri" w:hAnsi="Calibri"/>
            <w:color w:val="1155cc"/>
            <w:sz w:val="24"/>
            <w:szCs w:val="24"/>
            <w:u w:val="single"/>
            <w:rtl w:val="0"/>
          </w:rPr>
          <w:t xml:space="preserve">https://www.allmusic.com/artist/alt-j-mn0002867436/biography</w:t>
        </w:r>
      </w:hyperlink>
      <w:r w:rsidDel="00000000" w:rsidR="00000000" w:rsidRPr="00000000">
        <w:rPr>
          <w:rFonts w:ascii="Calibri" w:cs="Calibri" w:eastAsia="Calibri" w:hAnsi="Calibri"/>
          <w:sz w:val="24"/>
          <w:szCs w:val="24"/>
          <w:rtl w:val="0"/>
        </w:rPr>
        <w:t xml:space="preserve"> [accessed 2nd September 2022]</w:t>
      </w:r>
      <w:r w:rsidDel="00000000" w:rsidR="00000000" w:rsidRPr="00000000">
        <w:rPr>
          <w:rtl w:val="0"/>
        </w:rPr>
      </w:r>
    </w:p>
    <w:p w:rsidR="00000000" w:rsidDel="00000000" w:rsidP="00000000" w:rsidRDefault="00000000" w:rsidRPr="00000000" w14:paraId="0000008B">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C">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Inglis, Sam. (2013) </w:t>
      </w:r>
      <w:r w:rsidDel="00000000" w:rsidR="00000000" w:rsidRPr="00000000">
        <w:rPr>
          <w:rFonts w:ascii="Calibri" w:cs="Calibri" w:eastAsia="Calibri" w:hAnsi="Calibri"/>
          <w:i w:val="1"/>
          <w:sz w:val="24"/>
          <w:szCs w:val="24"/>
          <w:rtl w:val="0"/>
        </w:rPr>
        <w:t xml:space="preserve">Producing Alt-J &amp; Madness: Interview with Charlie Andrew </w:t>
      </w:r>
      <w:r w:rsidDel="00000000" w:rsidR="00000000" w:rsidRPr="00000000">
        <w:rPr>
          <w:rFonts w:ascii="Calibri" w:cs="Calibri" w:eastAsia="Calibri" w:hAnsi="Calibri"/>
          <w:sz w:val="24"/>
          <w:szCs w:val="24"/>
          <w:rtl w:val="0"/>
        </w:rPr>
        <w:t xml:space="preserve">[online] available at: </w:t>
      </w:r>
      <w:hyperlink r:id="rId22">
        <w:r w:rsidDel="00000000" w:rsidR="00000000" w:rsidRPr="00000000">
          <w:rPr>
            <w:rFonts w:ascii="Calibri" w:cs="Calibri" w:eastAsia="Calibri" w:hAnsi="Calibri"/>
            <w:color w:val="1155cc"/>
            <w:sz w:val="24"/>
            <w:szCs w:val="24"/>
            <w:u w:val="single"/>
            <w:rtl w:val="0"/>
          </w:rPr>
          <w:t xml:space="preserve">https://www.soundonsound.com/people/producing-alt-j-madness</w:t>
        </w:r>
      </w:hyperlink>
      <w:r w:rsidDel="00000000" w:rsidR="00000000" w:rsidRPr="00000000">
        <w:rPr>
          <w:rFonts w:ascii="Calibri" w:cs="Calibri" w:eastAsia="Calibri" w:hAnsi="Calibri"/>
          <w:sz w:val="24"/>
          <w:szCs w:val="24"/>
          <w:rtl w:val="0"/>
        </w:rPr>
        <w:t xml:space="preserve"> [accessed 2nd September 2022]</w:t>
      </w:r>
      <w:r w:rsidDel="00000000" w:rsidR="00000000" w:rsidRPr="00000000">
        <w:rPr>
          <w:rtl w:val="0"/>
        </w:rPr>
      </w:r>
    </w:p>
    <w:p w:rsidR="00000000" w:rsidDel="00000000" w:rsidP="00000000" w:rsidRDefault="00000000" w:rsidRPr="00000000" w14:paraId="0000008D">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E">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F">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Practice-Based-</w:t>
      </w:r>
    </w:p>
    <w:p w:rsidR="00000000" w:rsidDel="00000000" w:rsidP="00000000" w:rsidRDefault="00000000" w:rsidRPr="00000000" w14:paraId="00000090">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1">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GIA, Unknown. (2017) </w:t>
      </w:r>
      <w:r w:rsidDel="00000000" w:rsidR="00000000" w:rsidRPr="00000000">
        <w:rPr>
          <w:rFonts w:ascii="Calibri" w:cs="Calibri" w:eastAsia="Calibri" w:hAnsi="Calibri"/>
          <w:i w:val="1"/>
          <w:sz w:val="24"/>
          <w:szCs w:val="24"/>
          <w:rtl w:val="0"/>
        </w:rPr>
        <w:t xml:space="preserve">The Murky History of Poison Rings </w:t>
      </w:r>
      <w:r w:rsidDel="00000000" w:rsidR="00000000" w:rsidRPr="00000000">
        <w:rPr>
          <w:rFonts w:ascii="Calibri" w:cs="Calibri" w:eastAsia="Calibri" w:hAnsi="Calibri"/>
          <w:sz w:val="24"/>
          <w:szCs w:val="24"/>
          <w:rtl w:val="0"/>
        </w:rPr>
        <w:t xml:space="preserve">[online] available at: </w:t>
      </w:r>
      <w:hyperlink r:id="rId23">
        <w:r w:rsidDel="00000000" w:rsidR="00000000" w:rsidRPr="00000000">
          <w:rPr>
            <w:rFonts w:ascii="Calibri" w:cs="Calibri" w:eastAsia="Calibri" w:hAnsi="Calibri"/>
            <w:color w:val="1155cc"/>
            <w:sz w:val="24"/>
            <w:szCs w:val="24"/>
            <w:u w:val="single"/>
            <w:rtl w:val="0"/>
          </w:rPr>
          <w:t xml:space="preserve">https://4cs.gia.edu/en-us/blog/murky-history-poison-rings/</w:t>
        </w:r>
      </w:hyperlink>
      <w:r w:rsidDel="00000000" w:rsidR="00000000" w:rsidRPr="00000000">
        <w:rPr>
          <w:rFonts w:ascii="Calibri" w:cs="Calibri" w:eastAsia="Calibri" w:hAnsi="Calibri"/>
          <w:sz w:val="24"/>
          <w:szCs w:val="24"/>
          <w:rtl w:val="0"/>
        </w:rPr>
        <w:t xml:space="preserve">. [accessed 2nd September 2022]</w:t>
      </w:r>
    </w:p>
    <w:p w:rsidR="00000000" w:rsidDel="00000000" w:rsidP="00000000" w:rsidRDefault="00000000" w:rsidRPr="00000000" w14:paraId="00000092">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3">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Abbott, Karen. (2014) </w:t>
      </w:r>
      <w:r w:rsidDel="00000000" w:rsidR="00000000" w:rsidRPr="00000000">
        <w:rPr>
          <w:rFonts w:ascii="Calibri" w:cs="Calibri" w:eastAsia="Calibri" w:hAnsi="Calibri"/>
          <w:i w:val="1"/>
          <w:sz w:val="24"/>
          <w:szCs w:val="24"/>
          <w:rtl w:val="0"/>
        </w:rPr>
        <w:t xml:space="preserve">‘The Hatpin Peril’ Terrorized Men Who Couldn't Handle the 20th-Century Woman</w:t>
      </w:r>
      <w:r w:rsidDel="00000000" w:rsidR="00000000" w:rsidRPr="00000000">
        <w:rPr>
          <w:rFonts w:ascii="Calibri" w:cs="Calibri" w:eastAsia="Calibri" w:hAnsi="Calibri"/>
          <w:sz w:val="24"/>
          <w:szCs w:val="24"/>
          <w:rtl w:val="0"/>
        </w:rPr>
        <w:t xml:space="preserve"> [online] available at: </w:t>
      </w:r>
      <w:hyperlink r:id="rId24">
        <w:r w:rsidDel="00000000" w:rsidR="00000000" w:rsidRPr="00000000">
          <w:rPr>
            <w:rFonts w:ascii="Calibri" w:cs="Calibri" w:eastAsia="Calibri" w:hAnsi="Calibri"/>
            <w:color w:val="1155cc"/>
            <w:sz w:val="24"/>
            <w:szCs w:val="24"/>
            <w:u w:val="single"/>
            <w:rtl w:val="0"/>
          </w:rPr>
          <w:t xml:space="preserve">https://www.smithsonianmag.com/history/hatpin-peril-terrorized-men-who-couldnt-handle-20th-century-woman-180951219/</w:t>
        </w:r>
      </w:hyperlink>
      <w:r w:rsidDel="00000000" w:rsidR="00000000" w:rsidRPr="00000000">
        <w:rPr>
          <w:rFonts w:ascii="Calibri" w:cs="Calibri" w:eastAsia="Calibri" w:hAnsi="Calibri"/>
          <w:sz w:val="24"/>
          <w:szCs w:val="24"/>
          <w:rtl w:val="0"/>
        </w:rPr>
        <w:t xml:space="preserve">. [accessed 2nd September 2022]</w:t>
      </w:r>
    </w:p>
    <w:p w:rsidR="00000000" w:rsidDel="00000000" w:rsidP="00000000" w:rsidRDefault="00000000" w:rsidRPr="00000000" w14:paraId="00000094">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5">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McKennett, Hannah. (2020) </w:t>
      </w:r>
      <w:r w:rsidDel="00000000" w:rsidR="00000000" w:rsidRPr="00000000">
        <w:rPr>
          <w:rFonts w:ascii="Calibri" w:cs="Calibri" w:eastAsia="Calibri" w:hAnsi="Calibri"/>
          <w:i w:val="1"/>
          <w:sz w:val="24"/>
          <w:szCs w:val="24"/>
          <w:rtl w:val="0"/>
        </w:rPr>
        <w:t xml:space="preserve">Meet Giulia Tofana: The 17th-Century Professional Poisoner Said To Have Killed 600 Men</w:t>
      </w:r>
      <w:r w:rsidDel="00000000" w:rsidR="00000000" w:rsidRPr="00000000">
        <w:rPr>
          <w:rFonts w:ascii="Calibri" w:cs="Calibri" w:eastAsia="Calibri" w:hAnsi="Calibri"/>
          <w:sz w:val="24"/>
          <w:szCs w:val="24"/>
          <w:rtl w:val="0"/>
        </w:rPr>
        <w:t xml:space="preserve"> [online] available at: </w:t>
      </w:r>
      <w:hyperlink r:id="rId25">
        <w:r w:rsidDel="00000000" w:rsidR="00000000" w:rsidRPr="00000000">
          <w:rPr>
            <w:rFonts w:ascii="Calibri" w:cs="Calibri" w:eastAsia="Calibri" w:hAnsi="Calibri"/>
            <w:color w:val="1155cc"/>
            <w:sz w:val="24"/>
            <w:szCs w:val="24"/>
            <w:u w:val="single"/>
            <w:rtl w:val="0"/>
          </w:rPr>
          <w:t xml:space="preserve">https://allthatsinteresting.com/giulia-tofana</w:t>
        </w:r>
      </w:hyperlink>
      <w:r w:rsidDel="00000000" w:rsidR="00000000" w:rsidRPr="00000000">
        <w:rPr>
          <w:rFonts w:ascii="Calibri" w:cs="Calibri" w:eastAsia="Calibri" w:hAnsi="Calibri"/>
          <w:sz w:val="24"/>
          <w:szCs w:val="24"/>
          <w:rtl w:val="0"/>
        </w:rPr>
        <w:t xml:space="preserve">. [accessed 2nd September 2022]</w:t>
      </w:r>
      <w:r w:rsidDel="00000000" w:rsidR="00000000" w:rsidRPr="00000000">
        <w:rPr>
          <w:rtl w:val="0"/>
        </w:rPr>
      </w:r>
    </w:p>
    <w:p w:rsidR="00000000" w:rsidDel="00000000" w:rsidP="00000000" w:rsidRDefault="00000000" w:rsidRPr="00000000" w14:paraId="00000096">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7">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Mazzella, Julia. (2020) </w:t>
      </w:r>
      <w:r w:rsidDel="00000000" w:rsidR="00000000" w:rsidRPr="00000000">
        <w:rPr>
          <w:rFonts w:ascii="Calibri" w:cs="Calibri" w:eastAsia="Calibri" w:hAnsi="Calibri"/>
          <w:i w:val="1"/>
          <w:sz w:val="24"/>
          <w:szCs w:val="24"/>
          <w:rtl w:val="0"/>
        </w:rPr>
        <w:t xml:space="preserve">Poison Ring History: How Deadly Rings Became Fashion Jewelry Pieces </w:t>
      </w:r>
      <w:r w:rsidDel="00000000" w:rsidR="00000000" w:rsidRPr="00000000">
        <w:rPr>
          <w:rFonts w:ascii="Calibri" w:cs="Calibri" w:eastAsia="Calibri" w:hAnsi="Calibri"/>
          <w:sz w:val="24"/>
          <w:szCs w:val="24"/>
          <w:rtl w:val="0"/>
        </w:rPr>
        <w:t xml:space="preserve">[online] available at: </w:t>
      </w:r>
      <w:hyperlink r:id="rId26">
        <w:r w:rsidDel="00000000" w:rsidR="00000000" w:rsidRPr="00000000">
          <w:rPr>
            <w:rFonts w:ascii="Calibri" w:cs="Calibri" w:eastAsia="Calibri" w:hAnsi="Calibri"/>
            <w:color w:val="1155cc"/>
            <w:sz w:val="24"/>
            <w:szCs w:val="24"/>
            <w:u w:val="single"/>
            <w:rtl w:val="0"/>
          </w:rPr>
          <w:t xml:space="preserve">https://fortuneandframe.com/blogs/news/the-history-of-poison-jewelry</w:t>
        </w:r>
      </w:hyperlink>
      <w:r w:rsidDel="00000000" w:rsidR="00000000" w:rsidRPr="00000000">
        <w:rPr>
          <w:rFonts w:ascii="Calibri" w:cs="Calibri" w:eastAsia="Calibri" w:hAnsi="Calibri"/>
          <w:sz w:val="24"/>
          <w:szCs w:val="24"/>
          <w:rtl w:val="0"/>
        </w:rPr>
        <w:t xml:space="preserve"> [accessed 3rd September 2022]</w:t>
      </w:r>
    </w:p>
    <w:p w:rsidR="00000000" w:rsidDel="00000000" w:rsidP="00000000" w:rsidRDefault="00000000" w:rsidRPr="00000000" w14:paraId="00000098">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9">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Heitner, Bess. (2022) </w:t>
      </w:r>
      <w:r w:rsidDel="00000000" w:rsidR="00000000" w:rsidRPr="00000000">
        <w:rPr>
          <w:rFonts w:ascii="Calibri" w:cs="Calibri" w:eastAsia="Calibri" w:hAnsi="Calibri"/>
          <w:i w:val="1"/>
          <w:sz w:val="24"/>
          <w:szCs w:val="24"/>
          <w:rtl w:val="0"/>
        </w:rPr>
        <w:t xml:space="preserve">Pick Your Poison: A Brief History Of Deadly Jewelry </w:t>
      </w:r>
      <w:r w:rsidDel="00000000" w:rsidR="00000000" w:rsidRPr="00000000">
        <w:rPr>
          <w:rFonts w:ascii="Calibri" w:cs="Calibri" w:eastAsia="Calibri" w:hAnsi="Calibri"/>
          <w:sz w:val="24"/>
          <w:szCs w:val="24"/>
          <w:rtl w:val="0"/>
        </w:rPr>
        <w:t xml:space="preserve">[online] available at: </w:t>
      </w:r>
      <w:hyperlink r:id="rId27">
        <w:r w:rsidDel="00000000" w:rsidR="00000000" w:rsidRPr="00000000">
          <w:rPr>
            <w:rFonts w:ascii="Calibri" w:cs="Calibri" w:eastAsia="Calibri" w:hAnsi="Calibri"/>
            <w:color w:val="1155cc"/>
            <w:sz w:val="24"/>
            <w:szCs w:val="24"/>
            <w:u w:val="single"/>
            <w:rtl w:val="0"/>
          </w:rPr>
          <w:t xml:space="preserve">https://bessheitner.com/blog/pick-your-poison-a-brief-history-of-deadly-jewelry/</w:t>
        </w:r>
      </w:hyperlink>
      <w:r w:rsidDel="00000000" w:rsidR="00000000" w:rsidRPr="00000000">
        <w:rPr>
          <w:rFonts w:ascii="Calibri" w:cs="Calibri" w:eastAsia="Calibri" w:hAnsi="Calibri"/>
          <w:sz w:val="24"/>
          <w:szCs w:val="24"/>
          <w:rtl w:val="0"/>
        </w:rPr>
        <w:t xml:space="preserve">. [accessed 3rd September 2022]</w:t>
      </w:r>
    </w:p>
    <w:p w:rsidR="00000000" w:rsidDel="00000000" w:rsidP="00000000" w:rsidRDefault="00000000" w:rsidRPr="00000000" w14:paraId="0000009A">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B">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Scarisbrick, Diana. (2007) </w:t>
      </w:r>
      <w:r w:rsidDel="00000000" w:rsidR="00000000" w:rsidRPr="00000000">
        <w:rPr>
          <w:rFonts w:ascii="Calibri" w:cs="Calibri" w:eastAsia="Calibri" w:hAnsi="Calibri"/>
          <w:i w:val="1"/>
          <w:sz w:val="24"/>
          <w:szCs w:val="24"/>
          <w:rtl w:val="0"/>
        </w:rPr>
        <w:t xml:space="preserve">Rings: Jewelry of Power, Love and Loyalty, </w:t>
      </w:r>
      <w:r w:rsidDel="00000000" w:rsidR="00000000" w:rsidRPr="00000000">
        <w:rPr>
          <w:rFonts w:ascii="Calibri" w:cs="Calibri" w:eastAsia="Calibri" w:hAnsi="Calibri"/>
          <w:sz w:val="24"/>
          <w:szCs w:val="24"/>
          <w:rtl w:val="0"/>
        </w:rPr>
        <w:t xml:space="preserve">United Kingdom: </w:t>
      </w:r>
      <w:r w:rsidDel="00000000" w:rsidR="00000000" w:rsidRPr="00000000">
        <w:rPr>
          <w:rFonts w:ascii="Calibri" w:cs="Calibri" w:eastAsia="Calibri" w:hAnsi="Calibri"/>
          <w:sz w:val="24"/>
          <w:szCs w:val="24"/>
          <w:rtl w:val="0"/>
        </w:rPr>
        <w:t xml:space="preserve">Thames Hudson Publishing</w:t>
      </w:r>
    </w:p>
    <w:p w:rsidR="00000000" w:rsidDel="00000000" w:rsidP="00000000" w:rsidRDefault="00000000" w:rsidRPr="00000000" w14:paraId="0000009C">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D">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E">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F">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0">
      <w:pPr>
        <w:spacing w:line="36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Appendix 1: Observational Writing</w:t>
      </w:r>
    </w:p>
    <w:p w:rsidR="00000000" w:rsidDel="00000000" w:rsidP="00000000" w:rsidRDefault="00000000" w:rsidRPr="00000000" w14:paraId="000000A1">
      <w:pPr>
        <w:spacing w:line="36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A2">
      <w:pPr>
        <w:spacing w:after="160"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bright blue ocean and pale tan of the rivers in the original image have changed into a blended assortment of dark greens. Hot pink, bright yellow, dark blues and purples, a few dashes of orange, and radioactive bright green course through the bottom mass and slightly up into the weaving branches, almost psychedelic in appearance. The dark green land mass of the original image has been manipulated into a pale, almost grayish blue backdrop.</w:t>
      </w:r>
    </w:p>
    <w:p w:rsidR="00000000" w:rsidDel="00000000" w:rsidP="00000000" w:rsidRDefault="00000000" w:rsidRPr="00000000" w14:paraId="000000A3">
      <w:pPr>
        <w:spacing w:after="16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4">
      <w:pPr>
        <w:spacing w:line="36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Appendix 2: Practice-based Writing</w:t>
      </w:r>
    </w:p>
    <w:p w:rsidR="00000000" w:rsidDel="00000000" w:rsidP="00000000" w:rsidRDefault="00000000" w:rsidRPr="00000000" w14:paraId="000000A5">
      <w:pPr>
        <w:spacing w:line="36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A6">
      <w:pPr>
        <w:spacing w:line="360" w:lineRule="auto"/>
        <w:rPr>
          <w:rFonts w:ascii="Calibri" w:cs="Calibri" w:eastAsia="Calibri" w:hAnsi="Calibri"/>
          <w:b w:val="1"/>
          <w:sz w:val="24"/>
          <w:szCs w:val="24"/>
        </w:rPr>
      </w:pPr>
      <w:r w:rsidDel="00000000" w:rsidR="00000000" w:rsidRPr="00000000">
        <w:rPr>
          <w:rFonts w:ascii="Calibri" w:cs="Calibri" w:eastAsia="Calibri" w:hAnsi="Calibri"/>
          <w:sz w:val="24"/>
          <w:szCs w:val="24"/>
          <w:rtl w:val="0"/>
        </w:rPr>
        <w:t xml:space="preserve">The rings can be identified as a ring that has a hidden compartment, usually under a hinged or locked cover (GIA, 2017).</w:t>
      </w:r>
      <w:r w:rsidDel="00000000" w:rsidR="00000000" w:rsidRPr="00000000">
        <w:rPr>
          <w:rtl w:val="0"/>
        </w:rPr>
      </w:r>
    </w:p>
    <w:p w:rsidR="00000000" w:rsidDel="00000000" w:rsidP="00000000" w:rsidRDefault="00000000" w:rsidRPr="00000000" w14:paraId="000000A7">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Though I will be referring to them as poison rings for the purpose of this writing, it is important to note that poison was not and is not the only possible use for these rings. They’re also called pillbox rings, compartments, or lockets. The term “poison ring” was coined in Europe in the Middle Ages. Before then, the rings were of a much broader use, concealing medicines, perfumes, or relics of a passed loved one (bits of bone, locks of hair, that sort of memento). In the book </w:t>
      </w:r>
      <w:r w:rsidDel="00000000" w:rsidR="00000000" w:rsidRPr="00000000">
        <w:rPr>
          <w:rFonts w:ascii="Calibri" w:cs="Calibri" w:eastAsia="Calibri" w:hAnsi="Calibri"/>
          <w:i w:val="1"/>
          <w:sz w:val="24"/>
          <w:szCs w:val="24"/>
          <w:rtl w:val="0"/>
        </w:rPr>
        <w:t xml:space="preserve">Rings: Jewelry of Power, Love and Loyalty</w:t>
      </w:r>
      <w:r w:rsidDel="00000000" w:rsidR="00000000" w:rsidRPr="00000000">
        <w:rPr>
          <w:rFonts w:ascii="Calibri" w:cs="Calibri" w:eastAsia="Calibri" w:hAnsi="Calibri"/>
          <w:sz w:val="24"/>
          <w:szCs w:val="24"/>
          <w:rtl w:val="0"/>
        </w:rPr>
        <w:t xml:space="preserve"> by Diana Scarisbrick, she writes that, “for centuries, rings… have been adapted for functions other than the sealing of documents with signets. They might be attached to perfume flaçons, spy-glasses and handkerchiefs; they might measure time, safeguard property and conceal poison.” (2007). While these other uses didn’t die out completely (and have become some of the more common uses in modern day), the use of concealing poison within such a ring became commonplace enough in Europe to birth the nickname “poison rings” (Mazzella, 2020).</w:t>
      </w:r>
    </w:p>
    <w:p w:rsidR="00000000" w:rsidDel="00000000" w:rsidP="00000000" w:rsidRDefault="00000000" w:rsidRPr="00000000" w14:paraId="000000A8">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9">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A">
      <w:pPr>
        <w:spacing w:line="360" w:lineRule="auto"/>
        <w:rPr>
          <w:rFonts w:ascii="Calibri" w:cs="Calibri" w:eastAsia="Calibri" w:hAnsi="Calibri"/>
          <w:b w:val="1"/>
          <w:color w:val="980000"/>
          <w:sz w:val="24"/>
          <w:szCs w:val="24"/>
        </w:rPr>
      </w:pPr>
      <w:r w:rsidDel="00000000" w:rsidR="00000000" w:rsidRPr="00000000">
        <w:rPr>
          <w:rtl w:val="0"/>
        </w:rPr>
      </w:r>
    </w:p>
    <w:p w:rsidR="00000000" w:rsidDel="00000000" w:rsidP="00000000" w:rsidRDefault="00000000" w:rsidRPr="00000000" w14:paraId="000000AB">
      <w:pPr>
        <w:spacing w:line="360" w:lineRule="auto"/>
        <w:rPr>
          <w:rFonts w:ascii="Calibri" w:cs="Calibri" w:eastAsia="Calibri" w:hAnsi="Calibri"/>
          <w:b w:val="1"/>
          <w:color w:val="980000"/>
          <w:sz w:val="24"/>
          <w:szCs w:val="24"/>
        </w:rPr>
      </w:pPr>
      <w:r w:rsidDel="00000000" w:rsidR="00000000" w:rsidRPr="00000000">
        <w:rPr>
          <w:rtl w:val="0"/>
        </w:rPr>
      </w:r>
    </w:p>
    <w:p w:rsidR="00000000" w:rsidDel="00000000" w:rsidP="00000000" w:rsidRDefault="00000000" w:rsidRPr="00000000" w14:paraId="000000AC">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D">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E">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F">
      <w:pPr>
        <w:spacing w:line="360" w:lineRule="auto"/>
        <w:rPr>
          <w:rFonts w:ascii="Calibri" w:cs="Calibri" w:eastAsia="Calibri" w:hAnsi="Calibri"/>
          <w:sz w:val="24"/>
          <w:szCs w:val="24"/>
        </w:rPr>
      </w:pPr>
      <w:r w:rsidDel="00000000" w:rsidR="00000000" w:rsidRPr="00000000">
        <w:rPr>
          <w:rtl w:val="0"/>
        </w:rPr>
      </w:r>
    </w:p>
    <w:sectPr>
      <w:headerReference r:id="rId28" w:type="default"/>
      <w:footerReference r:id="rId2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0">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51"/>
        <w:szCs w:val="51"/>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genius.com/album_cover_arts/7656" TargetMode="External"/><Relationship Id="rId22" Type="http://schemas.openxmlformats.org/officeDocument/2006/relationships/hyperlink" Target="https://www.soundonsound.com/people/producing-alt-j-madness" TargetMode="External"/><Relationship Id="rId21" Type="http://schemas.openxmlformats.org/officeDocument/2006/relationships/hyperlink" Target="https://www.allmusic.com/artist/alt-j-mn0002867436/biography" TargetMode="External"/><Relationship Id="rId24" Type="http://schemas.openxmlformats.org/officeDocument/2006/relationships/hyperlink" Target="https://www.smithsonianmag.com/history/hatpin-peril-terrorized-men-who-couldnt-handle-20th-century-woman-180951219/" TargetMode="External"/><Relationship Id="rId23" Type="http://schemas.openxmlformats.org/officeDocument/2006/relationships/hyperlink" Target="https://4cs.gia.edu/en-us/blog/murky-history-poison-ring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0.jpg"/><Relationship Id="rId26" Type="http://schemas.openxmlformats.org/officeDocument/2006/relationships/hyperlink" Target="https://fortuneandframe.com/blogs/news/the-history-of-poison-jewelry" TargetMode="External"/><Relationship Id="rId25" Type="http://schemas.openxmlformats.org/officeDocument/2006/relationships/hyperlink" Target="https://allthatsinteresting.com/giulia-tofana" TargetMode="External"/><Relationship Id="rId28" Type="http://schemas.openxmlformats.org/officeDocument/2006/relationships/header" Target="header1.xml"/><Relationship Id="rId27" Type="http://schemas.openxmlformats.org/officeDocument/2006/relationships/hyperlink" Target="https://bessheitner.com/blog/pick-your-poison-a-brief-history-of-deadly-jewelry/" TargetMode="External"/><Relationship Id="rId5" Type="http://schemas.openxmlformats.org/officeDocument/2006/relationships/styles" Target="styles.xml"/><Relationship Id="rId6" Type="http://schemas.openxmlformats.org/officeDocument/2006/relationships/image" Target="media/image4.jpg"/><Relationship Id="rId29" Type="http://schemas.openxmlformats.org/officeDocument/2006/relationships/footer" Target="footer1.xml"/><Relationship Id="rId7" Type="http://schemas.openxmlformats.org/officeDocument/2006/relationships/image" Target="media/image3.png"/><Relationship Id="rId8" Type="http://schemas.openxmlformats.org/officeDocument/2006/relationships/image" Target="media/image1.jpg"/><Relationship Id="rId11" Type="http://schemas.openxmlformats.org/officeDocument/2006/relationships/image" Target="media/image2.jpg"/><Relationship Id="rId10" Type="http://schemas.openxmlformats.org/officeDocument/2006/relationships/image" Target="media/image9.jpg"/><Relationship Id="rId13" Type="http://schemas.openxmlformats.org/officeDocument/2006/relationships/image" Target="media/image8.jpg"/><Relationship Id="rId12" Type="http://schemas.openxmlformats.org/officeDocument/2006/relationships/image" Target="media/image5.jpg"/><Relationship Id="rId15" Type="http://schemas.openxmlformats.org/officeDocument/2006/relationships/image" Target="media/image6.jpg"/><Relationship Id="rId14" Type="http://schemas.openxmlformats.org/officeDocument/2006/relationships/image" Target="media/image7.jpg"/><Relationship Id="rId17" Type="http://schemas.openxmlformats.org/officeDocument/2006/relationships/hyperlink" Target="https://www.google.co.uk/search?hl=en&amp;q=inauthor:%22Louis+H%C3%A9bert%22&amp;tbm=bks" TargetMode="External"/><Relationship Id="rId16" Type="http://schemas.openxmlformats.org/officeDocument/2006/relationships/hyperlink" Target="https://www.britannica.com/art/Aestheticism" TargetMode="External"/><Relationship Id="rId19" Type="http://schemas.openxmlformats.org/officeDocument/2006/relationships/hyperlink" Target="https://wellbe-global.medium.com/the-benefits-of-making-mistakes-a6b05300ff49" TargetMode="External"/><Relationship Id="rId18" Type="http://schemas.openxmlformats.org/officeDocument/2006/relationships/hyperlink" Target="https://www.pearsonhighered.com/assets/samplechapter/0/2/0/5/020505314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