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04DAF" w14:textId="142375CB" w:rsidR="002D24DC" w:rsidRDefault="002D24DC" w:rsidP="002D24DC">
      <w:pPr>
        <w:pStyle w:val="Heading2"/>
        <w:spacing w:line="360" w:lineRule="auto"/>
        <w:jc w:val="both"/>
        <w:rPr>
          <w:rFonts w:ascii="Arial" w:hAnsi="Arial" w:cs="Arial"/>
          <w:b/>
          <w:sz w:val="40"/>
          <w:szCs w:val="40"/>
        </w:rPr>
      </w:pPr>
      <w:bookmarkStart w:id="0" w:name="_GoBack"/>
      <w:bookmarkEnd w:id="0"/>
      <w:r>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 xml:space="preserve"> </w:t>
      </w:r>
      <w:r>
        <w:rPr>
          <w:rFonts w:ascii="Arial" w:hAnsi="Arial" w:cs="Arial"/>
          <w:b/>
          <w:color w:val="000000" w:themeColor="text1"/>
          <w:sz w:val="40"/>
          <w:szCs w:val="40"/>
        </w:rPr>
        <w:t xml:space="preserve">Student Journal </w:t>
      </w:r>
      <w:r>
        <w:rPr>
          <w:rFonts w:ascii="Arial" w:hAnsi="Arial" w:cs="Arial"/>
          <w:b/>
          <w:color w:val="000000" w:themeColor="text1"/>
          <w:sz w:val="40"/>
          <w:szCs w:val="40"/>
        </w:rPr>
        <w:t xml:space="preserve">      </w:t>
      </w:r>
    </w:p>
    <w:p w14:paraId="3CC12D59" w14:textId="77777777" w:rsidR="002D24DC" w:rsidRDefault="002D24DC" w:rsidP="002D24DC">
      <w:r>
        <w:t xml:space="preserve">                        </w:t>
      </w:r>
      <w:r>
        <w:rPr>
          <w:rFonts w:ascii="Calibri" w:eastAsia="Calibri" w:hAnsi="Calibri" w:cs="Calibri"/>
          <w:b/>
          <w:bCs/>
          <w:sz w:val="40"/>
          <w:szCs w:val="40"/>
        </w:rPr>
        <w:t xml:space="preserve">Student Name: </w:t>
      </w:r>
      <w:proofErr w:type="spellStart"/>
      <w:r>
        <w:rPr>
          <w:rFonts w:ascii="Calibri" w:eastAsia="Calibri" w:hAnsi="Calibri" w:cs="Calibri"/>
          <w:b/>
          <w:bCs/>
          <w:sz w:val="40"/>
          <w:szCs w:val="40"/>
        </w:rPr>
        <w:t>Sharmin</w:t>
      </w:r>
      <w:proofErr w:type="spellEnd"/>
      <w:r>
        <w:rPr>
          <w:rFonts w:ascii="Calibri" w:eastAsia="Calibri" w:hAnsi="Calibri" w:cs="Calibri"/>
          <w:b/>
          <w:bCs/>
          <w:sz w:val="40"/>
          <w:szCs w:val="40"/>
        </w:rPr>
        <w:t xml:space="preserve"> </w:t>
      </w:r>
      <w:proofErr w:type="spellStart"/>
      <w:r>
        <w:rPr>
          <w:rFonts w:ascii="Calibri" w:eastAsia="Calibri" w:hAnsi="Calibri" w:cs="Calibri"/>
          <w:b/>
          <w:bCs/>
          <w:sz w:val="40"/>
          <w:szCs w:val="40"/>
        </w:rPr>
        <w:t>Akter</w:t>
      </w:r>
      <w:proofErr w:type="spellEnd"/>
      <w:r>
        <w:rPr>
          <w:rFonts w:ascii="Calibri" w:eastAsia="Calibri" w:hAnsi="Calibri" w:cs="Calibri"/>
          <w:b/>
          <w:bCs/>
          <w:sz w:val="40"/>
          <w:szCs w:val="40"/>
        </w:rPr>
        <w:t xml:space="preserve"> </w:t>
      </w:r>
      <w:proofErr w:type="spellStart"/>
      <w:r>
        <w:rPr>
          <w:rFonts w:ascii="Calibri" w:eastAsia="Calibri" w:hAnsi="Calibri" w:cs="Calibri"/>
          <w:b/>
          <w:bCs/>
          <w:sz w:val="40"/>
          <w:szCs w:val="40"/>
        </w:rPr>
        <w:t>Miah</w:t>
      </w:r>
      <w:proofErr w:type="spellEnd"/>
    </w:p>
    <w:p w14:paraId="59F59276" w14:textId="77777777" w:rsidR="002D24DC" w:rsidRDefault="002D24DC" w:rsidP="002D24DC">
      <w:r>
        <w:rPr>
          <w:rFonts w:ascii="Calibri" w:eastAsia="Calibri" w:hAnsi="Calibri" w:cs="Calibri"/>
          <w:b/>
          <w:bCs/>
          <w:sz w:val="40"/>
          <w:szCs w:val="40"/>
        </w:rPr>
        <w:t xml:space="preserve">              Student number: 2209262</w:t>
      </w:r>
    </w:p>
    <w:p w14:paraId="3D009E9F" w14:textId="77777777" w:rsidR="002D24DC" w:rsidRDefault="002D24DC" w:rsidP="002D24DC">
      <w:pPr>
        <w:jc w:val="center"/>
      </w:pPr>
      <w:r>
        <w:rPr>
          <w:rFonts w:ascii="Calibri" w:eastAsia="Calibri" w:hAnsi="Calibri" w:cs="Calibri"/>
          <w:b/>
          <w:bCs/>
          <w:sz w:val="40"/>
          <w:szCs w:val="40"/>
        </w:rPr>
        <w:t xml:space="preserve">      Module name: Food &amp; Beverage Operations BMIH4002</w:t>
      </w:r>
    </w:p>
    <w:p w14:paraId="5BD206DD" w14:textId="77777777" w:rsidR="002D24DC" w:rsidRDefault="002D24DC" w:rsidP="002D24DC">
      <w:r>
        <w:rPr>
          <w:rFonts w:ascii="Calibri" w:eastAsia="Calibri" w:hAnsi="Calibri" w:cs="Calibri"/>
          <w:b/>
          <w:bCs/>
          <w:sz w:val="40"/>
          <w:szCs w:val="40"/>
        </w:rPr>
        <w:t xml:space="preserve">              Name of lecturer: </w:t>
      </w:r>
      <w:proofErr w:type="spellStart"/>
      <w:r>
        <w:rPr>
          <w:rFonts w:ascii="Calibri" w:eastAsia="Calibri" w:hAnsi="Calibri" w:cs="Calibri"/>
          <w:b/>
          <w:bCs/>
          <w:sz w:val="40"/>
          <w:szCs w:val="40"/>
        </w:rPr>
        <w:t>Ffion</w:t>
      </w:r>
      <w:proofErr w:type="spellEnd"/>
      <w:r>
        <w:rPr>
          <w:rFonts w:ascii="Calibri" w:eastAsia="Calibri" w:hAnsi="Calibri" w:cs="Calibri"/>
          <w:b/>
          <w:bCs/>
          <w:sz w:val="40"/>
          <w:szCs w:val="40"/>
        </w:rPr>
        <w:t xml:space="preserve"> </w:t>
      </w:r>
      <w:proofErr w:type="spellStart"/>
      <w:r>
        <w:rPr>
          <w:rFonts w:ascii="Calibri" w:eastAsia="Calibri" w:hAnsi="Calibri" w:cs="Calibri"/>
          <w:b/>
          <w:bCs/>
          <w:sz w:val="40"/>
          <w:szCs w:val="40"/>
        </w:rPr>
        <w:t>Cumberpatch</w:t>
      </w:r>
      <w:proofErr w:type="spellEnd"/>
    </w:p>
    <w:p w14:paraId="235E229B" w14:textId="7E88CF3A" w:rsidR="002D24DC" w:rsidRDefault="002D24DC" w:rsidP="002D24DC">
      <w:r>
        <w:rPr>
          <w:rFonts w:ascii="Calibri" w:eastAsia="Calibri" w:hAnsi="Calibri" w:cs="Calibri"/>
          <w:b/>
          <w:bCs/>
          <w:sz w:val="40"/>
          <w:szCs w:val="40"/>
        </w:rPr>
        <w:t xml:space="preserve">              Word count: </w:t>
      </w:r>
      <w:r w:rsidR="00555869">
        <w:rPr>
          <w:rFonts w:ascii="Calibri" w:eastAsia="Calibri" w:hAnsi="Calibri" w:cs="Calibri"/>
          <w:b/>
          <w:bCs/>
          <w:sz w:val="40"/>
          <w:szCs w:val="40"/>
        </w:rPr>
        <w:t>743</w:t>
      </w:r>
    </w:p>
    <w:p w14:paraId="2370E90D" w14:textId="77777777" w:rsidR="002D24DC" w:rsidRDefault="002D24DC" w:rsidP="002D24DC"/>
    <w:p w14:paraId="3DA94D39" w14:textId="77777777" w:rsidR="002D24DC" w:rsidRDefault="002D24DC" w:rsidP="002D24DC"/>
    <w:p w14:paraId="230451B6" w14:textId="77777777" w:rsidR="002D24DC" w:rsidRDefault="002D24DC" w:rsidP="002D24DC"/>
    <w:p w14:paraId="77BF69F6" w14:textId="77777777" w:rsidR="002D24DC" w:rsidRDefault="002D24DC" w:rsidP="002D24DC">
      <w:pPr>
        <w:rPr>
          <w:rFonts w:ascii="Calibri" w:eastAsia="Calibri" w:hAnsi="Calibri" w:cs="Calibri"/>
          <w:b/>
          <w:bCs/>
          <w:sz w:val="40"/>
          <w:szCs w:val="40"/>
        </w:rPr>
      </w:pPr>
      <w:r>
        <w:rPr>
          <w:rFonts w:ascii="Calibri" w:eastAsia="Calibri" w:hAnsi="Calibri" w:cs="Calibri"/>
          <w:b/>
          <w:bCs/>
          <w:sz w:val="40"/>
          <w:szCs w:val="40"/>
        </w:rPr>
        <w:t xml:space="preserve">            </w:t>
      </w:r>
    </w:p>
    <w:p w14:paraId="05510113" w14:textId="00774BE0" w:rsidR="002D24DC" w:rsidRDefault="002D24DC" w:rsidP="002D24DC">
      <w:pPr>
        <w:rPr>
          <w:rFonts w:ascii="Calibri" w:eastAsia="Calibri" w:hAnsi="Calibri" w:cs="Calibri"/>
          <w:b/>
          <w:bCs/>
          <w:sz w:val="40"/>
          <w:szCs w:val="40"/>
        </w:rPr>
      </w:pPr>
      <w:r>
        <w:rPr>
          <w:rFonts w:ascii="Calibri" w:eastAsia="Calibri" w:hAnsi="Calibri" w:cs="Calibri"/>
          <w:b/>
          <w:bCs/>
          <w:sz w:val="40"/>
          <w:szCs w:val="40"/>
        </w:rPr>
        <w:t xml:space="preserve">             </w:t>
      </w:r>
    </w:p>
    <w:p w14:paraId="597BA2CA" w14:textId="2B39F960" w:rsidR="002D24DC" w:rsidRDefault="002D24DC" w:rsidP="002D24DC">
      <w:pPr>
        <w:tabs>
          <w:tab w:val="center" w:pos="4680"/>
        </w:tabs>
      </w:pPr>
      <w:r>
        <w:rPr>
          <w:rFonts w:ascii="Calibri" w:eastAsia="Calibri" w:hAnsi="Calibri" w:cs="Calibri"/>
          <w:b/>
          <w:bCs/>
          <w:sz w:val="40"/>
          <w:szCs w:val="40"/>
        </w:rPr>
        <w:tab/>
      </w:r>
    </w:p>
    <w:p w14:paraId="3F9AC3B3"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2F5288AA"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0C51A50C"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3335752F"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24DD4BEA"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58B6208E"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5E0BCB8A"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058C52D0"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7351BBB1"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219A761B"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3DB1A693" w14:textId="77777777" w:rsidR="002D24DC" w:rsidRDefault="002D24DC" w:rsidP="00D61FA8">
      <w:pPr>
        <w:spacing w:after="0" w:line="360" w:lineRule="auto"/>
        <w:jc w:val="both"/>
        <w:rPr>
          <w:rFonts w:ascii="Arial" w:eastAsia="Times New Roman" w:hAnsi="Arial" w:cs="Arial"/>
          <w:color w:val="000000"/>
          <w:sz w:val="24"/>
          <w:szCs w:val="24"/>
          <w:lang w:eastAsia="en-GB"/>
        </w:rPr>
      </w:pPr>
    </w:p>
    <w:p w14:paraId="42B8968B" w14:textId="77777777" w:rsidR="00D61FA8" w:rsidRPr="00D61FA8" w:rsidRDefault="00D61FA8" w:rsidP="00D61FA8">
      <w:pPr>
        <w:spacing w:after="0" w:line="360" w:lineRule="auto"/>
        <w:jc w:val="both"/>
        <w:rPr>
          <w:rFonts w:ascii="Arial" w:eastAsia="Times New Roman" w:hAnsi="Arial" w:cs="Arial"/>
          <w:sz w:val="24"/>
          <w:szCs w:val="24"/>
          <w:lang w:eastAsia="en-GB"/>
        </w:rPr>
      </w:pPr>
      <w:r w:rsidRPr="00D61FA8">
        <w:rPr>
          <w:rFonts w:ascii="Arial" w:eastAsia="Times New Roman" w:hAnsi="Arial" w:cs="Arial"/>
          <w:color w:val="000000"/>
          <w:sz w:val="24"/>
          <w:szCs w:val="24"/>
          <w:lang w:eastAsia="en-GB"/>
        </w:rPr>
        <w:lastRenderedPageBreak/>
        <w:t>The food and beverage serving methodology is the method by which clients at a restaurant, café, bar, or other facility are provided food and drink. Institutional type offered, cuisine, and service quality may all affect how food is presented to the customer (Hospit, 2019).</w:t>
      </w:r>
    </w:p>
    <w:p w14:paraId="0A5CCAD7" w14:textId="2787ACDF" w:rsidR="00D61FA8" w:rsidRPr="00D61FA8" w:rsidRDefault="00D61FA8" w:rsidP="00D61FA8">
      <w:pPr>
        <w:spacing w:after="0" w:line="360" w:lineRule="auto"/>
        <w:jc w:val="both"/>
        <w:rPr>
          <w:rFonts w:ascii="Arial" w:eastAsia="Times New Roman" w:hAnsi="Arial" w:cs="Arial"/>
          <w:color w:val="000000"/>
          <w:sz w:val="24"/>
          <w:szCs w:val="24"/>
          <w:lang w:eastAsia="en-GB"/>
        </w:rPr>
      </w:pPr>
      <w:r w:rsidRPr="00D61FA8">
        <w:rPr>
          <w:rFonts w:ascii="Arial" w:eastAsia="Times New Roman" w:hAnsi="Arial" w:cs="Arial"/>
          <w:color w:val="000000"/>
          <w:sz w:val="24"/>
          <w:szCs w:val="24"/>
          <w:lang w:eastAsia="en-GB"/>
        </w:rPr>
        <w:t xml:space="preserve">The kind of business and service a food and beverage company uses may dictate the competencies necessary for a particular position </w:t>
      </w:r>
      <w:r w:rsidRPr="00D61FA8">
        <w:rPr>
          <w:rFonts w:ascii="Arial" w:eastAsia="Times New Roman" w:hAnsi="Arial" w:cs="Arial"/>
          <w:color w:val="000000"/>
          <w:sz w:val="24"/>
          <w:szCs w:val="24"/>
          <w:shd w:val="clear" w:color="auto" w:fill="FFFFFF"/>
          <w:lang w:eastAsia="en-GB"/>
        </w:rPr>
        <w:t>(Li &amp; Li, 2021)</w:t>
      </w:r>
      <w:r w:rsidRPr="00D61FA8">
        <w:rPr>
          <w:rFonts w:ascii="Arial" w:eastAsia="Times New Roman" w:hAnsi="Arial" w:cs="Arial"/>
          <w:color w:val="000000"/>
          <w:sz w:val="24"/>
          <w:szCs w:val="24"/>
          <w:lang w:eastAsia="en-GB"/>
        </w:rPr>
        <w:t>. Fast food establishments may place more focus on efficiency and quickness in customer service, whereas fine dining establishments may place more emphasis on expertise in wine and food pairings and tableside service (Cousins, 2020).</w:t>
      </w:r>
    </w:p>
    <w:p w14:paraId="75CF5E70" w14:textId="77777777" w:rsidR="00D61FA8" w:rsidRPr="00D61FA8" w:rsidRDefault="00D61FA8" w:rsidP="00D61FA8">
      <w:pPr>
        <w:spacing w:after="0" w:line="360" w:lineRule="auto"/>
        <w:jc w:val="both"/>
        <w:rPr>
          <w:rFonts w:ascii="Arial" w:eastAsia="Times New Roman" w:hAnsi="Arial" w:cs="Arial"/>
          <w:sz w:val="24"/>
          <w:szCs w:val="24"/>
          <w:lang w:eastAsia="en-GB"/>
        </w:rPr>
      </w:pPr>
    </w:p>
    <w:p w14:paraId="7EFA02CE" w14:textId="55F8E970" w:rsidR="00D61FA8" w:rsidRPr="00D61FA8" w:rsidRDefault="00D61FA8" w:rsidP="00D61FA8">
      <w:pPr>
        <w:spacing w:after="0" w:line="360" w:lineRule="auto"/>
        <w:jc w:val="both"/>
        <w:rPr>
          <w:rFonts w:ascii="Arial" w:eastAsia="Times New Roman" w:hAnsi="Arial" w:cs="Arial"/>
          <w:color w:val="000000"/>
          <w:sz w:val="24"/>
          <w:szCs w:val="24"/>
          <w:lang w:eastAsia="en-GB"/>
        </w:rPr>
      </w:pPr>
      <w:r w:rsidRPr="00D61FA8">
        <w:rPr>
          <w:rFonts w:ascii="Arial" w:eastAsia="Times New Roman" w:hAnsi="Arial" w:cs="Arial"/>
          <w:color w:val="000000"/>
          <w:sz w:val="24"/>
          <w:szCs w:val="24"/>
          <w:lang w:eastAsia="en-GB"/>
        </w:rPr>
        <w:t xml:space="preserve">As someone who has worked in the hospitality sector for some time, I can attest to the importance of providing guests with food and drink. Understanding the nuances of each mode is crucial for delivering outstanding service to the customers </w:t>
      </w:r>
      <w:r w:rsidRPr="00D61FA8">
        <w:rPr>
          <w:rFonts w:ascii="Arial" w:eastAsia="Times New Roman" w:hAnsi="Arial" w:cs="Arial"/>
          <w:color w:val="000000"/>
          <w:sz w:val="24"/>
          <w:szCs w:val="24"/>
          <w:shd w:val="clear" w:color="auto" w:fill="FFFFFF"/>
          <w:lang w:eastAsia="en-GB"/>
        </w:rPr>
        <w:t>(Xie &amp; Ma, 2021)</w:t>
      </w:r>
      <w:r w:rsidRPr="00D61FA8">
        <w:rPr>
          <w:rFonts w:ascii="Arial" w:eastAsia="Times New Roman" w:hAnsi="Arial" w:cs="Arial"/>
          <w:color w:val="000000"/>
          <w:sz w:val="24"/>
          <w:szCs w:val="24"/>
          <w:lang w:eastAsia="en-GB"/>
        </w:rPr>
        <w:t>. I'll give an example of each service type based on my personal experience.</w:t>
      </w:r>
    </w:p>
    <w:p w14:paraId="1874CEC5" w14:textId="77777777" w:rsidR="00D61FA8" w:rsidRPr="00D61FA8" w:rsidRDefault="00D61FA8" w:rsidP="00D61FA8">
      <w:pPr>
        <w:spacing w:after="0" w:line="360" w:lineRule="auto"/>
        <w:jc w:val="both"/>
        <w:rPr>
          <w:rFonts w:ascii="Arial" w:eastAsia="Times New Roman" w:hAnsi="Arial" w:cs="Arial"/>
          <w:sz w:val="24"/>
          <w:szCs w:val="24"/>
          <w:lang w:eastAsia="en-GB"/>
        </w:rPr>
      </w:pPr>
    </w:p>
    <w:p w14:paraId="584AA540" w14:textId="77777777" w:rsidR="00D61FA8" w:rsidRPr="00D61FA8" w:rsidRDefault="00D61FA8" w:rsidP="00D61FA8">
      <w:pPr>
        <w:spacing w:after="0" w:line="360" w:lineRule="auto"/>
        <w:jc w:val="both"/>
        <w:rPr>
          <w:rFonts w:ascii="Arial" w:eastAsia="Times New Roman" w:hAnsi="Arial" w:cs="Arial"/>
          <w:sz w:val="24"/>
          <w:szCs w:val="24"/>
          <w:lang w:eastAsia="en-GB"/>
        </w:rPr>
      </w:pPr>
      <w:r w:rsidRPr="00D61FA8">
        <w:rPr>
          <w:rFonts w:ascii="Arial" w:eastAsia="Times New Roman" w:hAnsi="Arial" w:cs="Arial"/>
          <w:color w:val="000000"/>
          <w:sz w:val="24"/>
          <w:szCs w:val="24"/>
          <w:lang w:eastAsia="en-GB"/>
        </w:rPr>
        <w:t>Table service is a common and time-honoured method of serving in which customers are seated and their food and drink orders are brought directly to them at their tables (Cousins, 2011). This approach lets us talk to clients one-on-one, so we can give them specific recommendations and cater to their specific requirements (Walker, 2017). I once had a job as a server in a fancy restaurant. It was my job to welcome guests, hand out menus, and assist them during their meal. By showing off my familiarity with the menu, recommending wine pairings, and serving the guests with a smile, I was able to provide them a memorable night.</w:t>
      </w:r>
    </w:p>
    <w:p w14:paraId="42B27160" w14:textId="77777777" w:rsidR="00D61FA8" w:rsidRPr="00D61FA8" w:rsidRDefault="00D61FA8" w:rsidP="00D61FA8">
      <w:pPr>
        <w:spacing w:after="0" w:line="360" w:lineRule="auto"/>
        <w:jc w:val="both"/>
        <w:rPr>
          <w:rFonts w:ascii="Arial" w:eastAsia="Times New Roman" w:hAnsi="Arial" w:cs="Arial"/>
          <w:sz w:val="24"/>
          <w:szCs w:val="24"/>
          <w:lang w:eastAsia="en-GB"/>
        </w:rPr>
      </w:pPr>
    </w:p>
    <w:p w14:paraId="52B443A5" w14:textId="77777777" w:rsidR="00D61FA8" w:rsidRPr="00D61FA8" w:rsidRDefault="00D61FA8" w:rsidP="00D61FA8">
      <w:pPr>
        <w:spacing w:after="0" w:line="360" w:lineRule="auto"/>
        <w:jc w:val="both"/>
        <w:rPr>
          <w:rFonts w:ascii="Arial" w:eastAsia="Times New Roman" w:hAnsi="Arial" w:cs="Arial"/>
          <w:sz w:val="24"/>
          <w:szCs w:val="24"/>
          <w:lang w:eastAsia="en-GB"/>
        </w:rPr>
      </w:pPr>
      <w:r w:rsidRPr="00D61FA8">
        <w:rPr>
          <w:rFonts w:ascii="Arial" w:eastAsia="Times New Roman" w:hAnsi="Arial" w:cs="Arial"/>
          <w:color w:val="000000"/>
          <w:sz w:val="24"/>
          <w:szCs w:val="24"/>
          <w:lang w:eastAsia="en-GB"/>
        </w:rPr>
        <w:t xml:space="preserve">The phrase "assisted service" describes a practice that incorporates features of both traditional table service and self-service </w:t>
      </w:r>
      <w:r w:rsidRPr="00D61FA8">
        <w:rPr>
          <w:rFonts w:ascii="Arial" w:eastAsia="Times New Roman" w:hAnsi="Arial" w:cs="Arial"/>
          <w:color w:val="000000"/>
          <w:sz w:val="24"/>
          <w:szCs w:val="24"/>
          <w:shd w:val="clear" w:color="auto" w:fill="FFFFFF"/>
          <w:lang w:eastAsia="en-GB"/>
        </w:rPr>
        <w:t>(Johnston, 2012)</w:t>
      </w:r>
      <w:r w:rsidRPr="00D61FA8">
        <w:rPr>
          <w:rFonts w:ascii="Arial" w:eastAsia="Times New Roman" w:hAnsi="Arial" w:cs="Arial"/>
          <w:color w:val="000000"/>
          <w:sz w:val="24"/>
          <w:szCs w:val="24"/>
          <w:lang w:eastAsia="en-GB"/>
        </w:rPr>
        <w:t xml:space="preserve">. The personnel help prepare and serve the food and drinks after customers place their orders at a counter or service point (Wood, 2013). This is often the case at establishments like cafes, where customers place orders at the counter and personnel prepare and deliver the food to the patrons' tables (Morris, 2021). I've had jobs where I had to accept orders from people </w:t>
      </w:r>
      <w:r w:rsidRPr="00D61FA8">
        <w:rPr>
          <w:rFonts w:ascii="Arial" w:eastAsia="Times New Roman" w:hAnsi="Arial" w:cs="Arial"/>
          <w:color w:val="000000"/>
          <w:sz w:val="24"/>
          <w:szCs w:val="24"/>
          <w:lang w:eastAsia="en-GB"/>
        </w:rPr>
        <w:lastRenderedPageBreak/>
        <w:t>and bring them their merchandise. This system allows for the efficient servicing of many consumers while guaranteeing personalized delivery (Boussard, 2021).</w:t>
      </w:r>
    </w:p>
    <w:p w14:paraId="6893EDA0" w14:textId="77777777" w:rsidR="00D61FA8" w:rsidRPr="00D61FA8" w:rsidRDefault="00D61FA8" w:rsidP="00D61FA8">
      <w:pPr>
        <w:spacing w:after="0" w:line="360" w:lineRule="auto"/>
        <w:jc w:val="both"/>
        <w:rPr>
          <w:rFonts w:ascii="Arial" w:eastAsia="Times New Roman" w:hAnsi="Arial" w:cs="Arial"/>
          <w:sz w:val="24"/>
          <w:szCs w:val="24"/>
          <w:lang w:eastAsia="en-GB"/>
        </w:rPr>
      </w:pPr>
    </w:p>
    <w:p w14:paraId="0E10076B" w14:textId="77777777" w:rsidR="00D61FA8" w:rsidRPr="00D61FA8" w:rsidRDefault="00D61FA8" w:rsidP="00D61FA8">
      <w:pPr>
        <w:spacing w:after="0" w:line="360" w:lineRule="auto"/>
        <w:jc w:val="both"/>
        <w:rPr>
          <w:rFonts w:ascii="Arial" w:eastAsia="Times New Roman" w:hAnsi="Arial" w:cs="Arial"/>
          <w:sz w:val="24"/>
          <w:szCs w:val="24"/>
          <w:lang w:eastAsia="en-GB"/>
        </w:rPr>
      </w:pPr>
      <w:r w:rsidRPr="00D61FA8">
        <w:rPr>
          <w:rFonts w:ascii="Arial" w:eastAsia="Times New Roman" w:hAnsi="Arial" w:cs="Arial"/>
          <w:color w:val="000000"/>
          <w:sz w:val="24"/>
          <w:szCs w:val="24"/>
          <w:lang w:eastAsia="en-GB"/>
        </w:rPr>
        <w:t>In a self-service restaurant, diners help themselves to anything they choose from a buffet, a food station, or a display counter (Brown &amp; TotalBoox, 2013). The cafeteria, buffet, and quick food restaurant all employ this design. The eating room still needs regular cleaning and organization, regardless of the frequency of staff and customer contact. It's also important to keep the storefront clean and have enough food available at all times (Davis, 2018). I've worked in a self-service restaurant before, so I know how to maintain the buffet area tidy, replenish supplies, and assist patrons with their inquiries. Making sure the customers were satisfied with their food needed constant monitoring.</w:t>
      </w:r>
    </w:p>
    <w:p w14:paraId="17F943C1" w14:textId="77777777" w:rsidR="00D61FA8" w:rsidRPr="00D61FA8" w:rsidRDefault="00D61FA8" w:rsidP="00D61FA8">
      <w:pPr>
        <w:spacing w:after="0" w:line="360" w:lineRule="auto"/>
        <w:jc w:val="both"/>
        <w:rPr>
          <w:rFonts w:ascii="Arial" w:eastAsia="Times New Roman" w:hAnsi="Arial" w:cs="Arial"/>
          <w:sz w:val="24"/>
          <w:szCs w:val="24"/>
          <w:lang w:eastAsia="en-GB"/>
        </w:rPr>
      </w:pPr>
    </w:p>
    <w:p w14:paraId="50A8F936" w14:textId="77777777" w:rsidR="00D61FA8" w:rsidRPr="00D61FA8" w:rsidRDefault="00D61FA8" w:rsidP="00D61FA8">
      <w:pPr>
        <w:spacing w:after="0" w:line="360" w:lineRule="auto"/>
        <w:jc w:val="both"/>
        <w:rPr>
          <w:rFonts w:ascii="Arial" w:eastAsia="Times New Roman" w:hAnsi="Arial" w:cs="Arial"/>
          <w:sz w:val="24"/>
          <w:szCs w:val="24"/>
          <w:lang w:eastAsia="en-GB"/>
        </w:rPr>
      </w:pPr>
      <w:r w:rsidRPr="00D61FA8">
        <w:rPr>
          <w:rFonts w:ascii="Arial" w:eastAsia="Times New Roman" w:hAnsi="Arial" w:cs="Arial"/>
          <w:color w:val="000000"/>
          <w:sz w:val="24"/>
          <w:szCs w:val="24"/>
          <w:lang w:eastAsia="en-GB"/>
        </w:rPr>
        <w:t xml:space="preserve">The term "single point of service" refers to the practice of having consumers place their orders and pick up their meals and drinks at the same counter or kiosk (Motarjemi and Lelieveld, 2014). This design aesthetic is typically found in fast food restaurants and other takeout establishments (Pearce &amp; Wu, 2021). When I was younger, I worked in a fast food restaurant, where I was responsible for collecting orders, processing payments, and preparing customers' food. Quick and precise work was required to satisfy customers and keep them coming back </w:t>
      </w:r>
      <w:r w:rsidRPr="00D61FA8">
        <w:rPr>
          <w:rFonts w:ascii="Arial" w:eastAsia="Times New Roman" w:hAnsi="Arial" w:cs="Arial"/>
          <w:color w:val="000000"/>
          <w:sz w:val="24"/>
          <w:szCs w:val="24"/>
          <w:shd w:val="clear" w:color="auto" w:fill="FFFFFF"/>
          <w:lang w:eastAsia="en-GB"/>
        </w:rPr>
        <w:t>(Foskett, 2021)</w:t>
      </w:r>
      <w:r w:rsidRPr="00D61FA8">
        <w:rPr>
          <w:rFonts w:ascii="Arial" w:eastAsia="Times New Roman" w:hAnsi="Arial" w:cs="Arial"/>
          <w:color w:val="000000"/>
          <w:sz w:val="24"/>
          <w:szCs w:val="24"/>
          <w:lang w:eastAsia="en-GB"/>
        </w:rPr>
        <w:t>.</w:t>
      </w:r>
    </w:p>
    <w:p w14:paraId="7D6D6BFF" w14:textId="77777777" w:rsidR="00D61FA8" w:rsidRPr="00D61FA8" w:rsidRDefault="00D61FA8" w:rsidP="00D61FA8">
      <w:pPr>
        <w:spacing w:after="0" w:line="360" w:lineRule="auto"/>
        <w:jc w:val="both"/>
        <w:rPr>
          <w:rFonts w:ascii="Arial" w:eastAsia="Times New Roman" w:hAnsi="Arial" w:cs="Arial"/>
          <w:sz w:val="24"/>
          <w:szCs w:val="24"/>
          <w:lang w:eastAsia="en-GB"/>
        </w:rPr>
      </w:pPr>
    </w:p>
    <w:p w14:paraId="69D51E9A" w14:textId="77777777" w:rsidR="00D61FA8" w:rsidRPr="00D61FA8" w:rsidRDefault="00D61FA8" w:rsidP="00D61FA8">
      <w:pPr>
        <w:spacing w:after="0" w:line="360" w:lineRule="auto"/>
        <w:jc w:val="both"/>
        <w:rPr>
          <w:rFonts w:ascii="Arial" w:eastAsia="Times New Roman" w:hAnsi="Arial" w:cs="Arial"/>
          <w:sz w:val="24"/>
          <w:szCs w:val="24"/>
          <w:lang w:eastAsia="en-GB"/>
        </w:rPr>
      </w:pPr>
      <w:r w:rsidRPr="00D61FA8">
        <w:rPr>
          <w:rFonts w:ascii="Arial" w:eastAsia="Times New Roman" w:hAnsi="Arial" w:cs="Arial"/>
          <w:color w:val="000000"/>
          <w:sz w:val="24"/>
          <w:szCs w:val="24"/>
          <w:lang w:eastAsia="en-GB"/>
        </w:rPr>
        <w:t>Specialized service refers to assistance that is tailored to the individual needs and preferences of a client (Ahluwalia &amp; Taute, 2021). Wine sampling, cocktail making, and even dessert assembly at your seat might be among the optional extras. While working at a trendy cocktail lounge, I was exposed to this aesthetic ​​</w:t>
      </w:r>
      <w:r w:rsidRPr="00D61FA8">
        <w:rPr>
          <w:rFonts w:ascii="Arial" w:eastAsia="Times New Roman" w:hAnsi="Arial" w:cs="Arial"/>
          <w:color w:val="000000"/>
          <w:sz w:val="24"/>
          <w:szCs w:val="24"/>
          <w:shd w:val="clear" w:color="auto" w:fill="FFFFFF"/>
          <w:lang w:eastAsia="en-GB"/>
        </w:rPr>
        <w:t>(Wang, Wang &amp; Li, 2021)</w:t>
      </w:r>
      <w:r w:rsidRPr="00D61FA8">
        <w:rPr>
          <w:rFonts w:ascii="Arial" w:eastAsia="Times New Roman" w:hAnsi="Arial" w:cs="Arial"/>
          <w:color w:val="000000"/>
          <w:sz w:val="24"/>
          <w:szCs w:val="24"/>
          <w:lang w:eastAsia="en-GB"/>
        </w:rPr>
        <w:t>. I used to work as a bartender, where I got to know customers, learn about their interests, and tailor drinks to them (Tasci &amp; Iraz, 2021). This personalized and engaging experience enriched the customer's stay and left a lasting impression (Zutshi, 2019).</w:t>
      </w:r>
    </w:p>
    <w:p w14:paraId="3003FBA6" w14:textId="77777777" w:rsidR="00D61FA8" w:rsidRPr="00D61FA8" w:rsidRDefault="00D61FA8" w:rsidP="00D61FA8">
      <w:pPr>
        <w:spacing w:after="0" w:line="360" w:lineRule="auto"/>
        <w:jc w:val="both"/>
        <w:rPr>
          <w:rFonts w:ascii="Arial" w:eastAsia="Times New Roman" w:hAnsi="Arial" w:cs="Arial"/>
          <w:sz w:val="24"/>
          <w:szCs w:val="24"/>
          <w:lang w:eastAsia="en-GB"/>
        </w:rPr>
      </w:pPr>
    </w:p>
    <w:p w14:paraId="23D9D2E4" w14:textId="77777777" w:rsidR="00D61FA8" w:rsidRPr="00D61FA8" w:rsidRDefault="00D61FA8" w:rsidP="00D61FA8">
      <w:pPr>
        <w:spacing w:after="0" w:line="360" w:lineRule="auto"/>
        <w:jc w:val="both"/>
        <w:rPr>
          <w:rFonts w:ascii="Arial" w:eastAsia="Times New Roman" w:hAnsi="Arial" w:cs="Arial"/>
          <w:sz w:val="24"/>
          <w:szCs w:val="24"/>
          <w:lang w:eastAsia="en-GB"/>
        </w:rPr>
      </w:pPr>
      <w:r w:rsidRPr="00D61FA8">
        <w:rPr>
          <w:rFonts w:ascii="Arial" w:eastAsia="Times New Roman" w:hAnsi="Arial" w:cs="Arial"/>
          <w:color w:val="000000"/>
          <w:sz w:val="24"/>
          <w:szCs w:val="24"/>
          <w:lang w:eastAsia="en-GB"/>
        </w:rPr>
        <w:t xml:space="preserve">There are a variety of service models available in the food and beverage industry, each with its own set of advantages. Looking back, I can see how crucial it is to </w:t>
      </w:r>
      <w:r w:rsidRPr="00D61FA8">
        <w:rPr>
          <w:rFonts w:ascii="Arial" w:eastAsia="Times New Roman" w:hAnsi="Arial" w:cs="Arial"/>
          <w:color w:val="000000"/>
          <w:sz w:val="24"/>
          <w:szCs w:val="24"/>
          <w:lang w:eastAsia="en-GB"/>
        </w:rPr>
        <w:lastRenderedPageBreak/>
        <w:t>accommodate different service philosophies and deliver outstanding customer service. The objective is to provide a pleasant and memorable eating experience for clients regardless of whether table service, assisted service, self-service, a single point of service, or specialized treatment is employed (Spiller, 2021).</w:t>
      </w:r>
    </w:p>
    <w:p w14:paraId="767C4885" w14:textId="77777777" w:rsidR="00D61FA8" w:rsidRPr="00D61FA8" w:rsidRDefault="00D61FA8" w:rsidP="00D61FA8">
      <w:pPr>
        <w:spacing w:after="0" w:line="360" w:lineRule="auto"/>
        <w:jc w:val="both"/>
        <w:rPr>
          <w:rFonts w:ascii="Arial" w:eastAsia="Times New Roman" w:hAnsi="Arial" w:cs="Arial"/>
          <w:sz w:val="24"/>
          <w:szCs w:val="24"/>
          <w:lang w:eastAsia="en-GB"/>
        </w:rPr>
      </w:pPr>
    </w:p>
    <w:p w14:paraId="74255BE8" w14:textId="77777777" w:rsidR="00B764B1" w:rsidRPr="00D61FA8" w:rsidRDefault="00B764B1" w:rsidP="00D61FA8">
      <w:pPr>
        <w:spacing w:before="40" w:after="0" w:line="360" w:lineRule="auto"/>
        <w:jc w:val="both"/>
        <w:rPr>
          <w:rFonts w:ascii="Arial" w:hAnsi="Arial" w:cs="Arial"/>
          <w:color w:val="0E101A"/>
          <w:sz w:val="24"/>
          <w:szCs w:val="24"/>
        </w:rPr>
      </w:pPr>
    </w:p>
    <w:p w14:paraId="5843D7C1" w14:textId="77777777" w:rsidR="00B764B1" w:rsidRPr="00D61FA8" w:rsidRDefault="00B764B1" w:rsidP="00D61FA8">
      <w:pPr>
        <w:spacing w:before="40" w:after="0" w:line="360" w:lineRule="auto"/>
        <w:jc w:val="both"/>
        <w:rPr>
          <w:rFonts w:ascii="Arial" w:hAnsi="Arial" w:cs="Arial"/>
          <w:color w:val="0E101A"/>
          <w:sz w:val="24"/>
          <w:szCs w:val="24"/>
        </w:rPr>
      </w:pPr>
    </w:p>
    <w:p w14:paraId="0BF2B1C3" w14:textId="77777777" w:rsidR="00D05AFB" w:rsidRPr="00D61FA8" w:rsidRDefault="00D05AFB" w:rsidP="00D61FA8">
      <w:pPr>
        <w:spacing w:before="40" w:after="0" w:line="360" w:lineRule="auto"/>
        <w:jc w:val="both"/>
        <w:rPr>
          <w:rFonts w:ascii="Arial" w:hAnsi="Arial" w:cs="Arial"/>
          <w:color w:val="0E101A"/>
          <w:sz w:val="24"/>
          <w:szCs w:val="24"/>
        </w:rPr>
      </w:pPr>
    </w:p>
    <w:p w14:paraId="789A2D53" w14:textId="77777777" w:rsidR="00D05AFB" w:rsidRPr="00D61FA8" w:rsidRDefault="00D05AFB" w:rsidP="00D61FA8">
      <w:pPr>
        <w:spacing w:before="40" w:after="0" w:line="360" w:lineRule="auto"/>
        <w:jc w:val="both"/>
        <w:rPr>
          <w:rFonts w:ascii="Arial" w:hAnsi="Arial" w:cs="Arial"/>
          <w:color w:val="0E101A"/>
          <w:sz w:val="24"/>
          <w:szCs w:val="24"/>
        </w:rPr>
      </w:pPr>
    </w:p>
    <w:p w14:paraId="32C985A3" w14:textId="040924A3" w:rsidR="00D05AFB" w:rsidRPr="00D61FA8" w:rsidRDefault="00D05AFB" w:rsidP="00D61FA8">
      <w:pPr>
        <w:tabs>
          <w:tab w:val="left" w:pos="2194"/>
        </w:tabs>
        <w:spacing w:before="40" w:after="0" w:line="360" w:lineRule="auto"/>
        <w:jc w:val="both"/>
        <w:rPr>
          <w:rFonts w:ascii="Arial" w:hAnsi="Arial" w:cs="Arial"/>
          <w:sz w:val="24"/>
          <w:szCs w:val="24"/>
        </w:rPr>
      </w:pPr>
    </w:p>
    <w:p w14:paraId="75607065" w14:textId="77777777" w:rsidR="008737FB" w:rsidRPr="00D61FA8" w:rsidRDefault="008737FB" w:rsidP="00D61FA8">
      <w:pPr>
        <w:tabs>
          <w:tab w:val="left" w:pos="2194"/>
        </w:tabs>
        <w:spacing w:before="40" w:after="0" w:line="360" w:lineRule="auto"/>
        <w:jc w:val="both"/>
        <w:rPr>
          <w:rFonts w:ascii="Arial" w:hAnsi="Arial" w:cs="Arial"/>
          <w:sz w:val="24"/>
          <w:szCs w:val="24"/>
        </w:rPr>
      </w:pPr>
    </w:p>
    <w:p w14:paraId="23D74C7D" w14:textId="77777777" w:rsidR="00D61FA8" w:rsidRPr="00D61FA8" w:rsidRDefault="00D61FA8" w:rsidP="00D61FA8">
      <w:pPr>
        <w:pStyle w:val="Heading1"/>
        <w:spacing w:before="40" w:line="360" w:lineRule="auto"/>
        <w:jc w:val="both"/>
        <w:rPr>
          <w:rFonts w:ascii="Arial" w:hAnsi="Arial" w:cs="Arial"/>
          <w:sz w:val="24"/>
          <w:szCs w:val="24"/>
          <w:lang w:val="en-GB"/>
        </w:rPr>
      </w:pPr>
      <w:bookmarkStart w:id="1" w:name="_Toc134028734"/>
    </w:p>
    <w:p w14:paraId="606413FE" w14:textId="77777777" w:rsidR="00D61FA8" w:rsidRPr="00D61FA8" w:rsidRDefault="00D61FA8" w:rsidP="00D61FA8">
      <w:pPr>
        <w:spacing w:line="360" w:lineRule="auto"/>
        <w:jc w:val="both"/>
        <w:rPr>
          <w:rFonts w:ascii="Arial" w:hAnsi="Arial" w:cs="Arial"/>
          <w:sz w:val="24"/>
          <w:szCs w:val="24"/>
          <w:lang w:val="en-GB"/>
        </w:rPr>
      </w:pPr>
    </w:p>
    <w:p w14:paraId="48E8F714" w14:textId="77777777" w:rsidR="00D61FA8" w:rsidRPr="00D61FA8" w:rsidRDefault="00D61FA8" w:rsidP="00D61FA8">
      <w:pPr>
        <w:spacing w:line="360" w:lineRule="auto"/>
        <w:jc w:val="both"/>
        <w:rPr>
          <w:rFonts w:ascii="Arial" w:hAnsi="Arial" w:cs="Arial"/>
          <w:sz w:val="24"/>
          <w:szCs w:val="24"/>
          <w:lang w:val="en-GB"/>
        </w:rPr>
      </w:pPr>
    </w:p>
    <w:p w14:paraId="4FA1293D" w14:textId="77777777" w:rsidR="00D61FA8" w:rsidRPr="00D61FA8" w:rsidRDefault="00D61FA8" w:rsidP="00D61FA8">
      <w:pPr>
        <w:spacing w:line="360" w:lineRule="auto"/>
        <w:jc w:val="both"/>
        <w:rPr>
          <w:rFonts w:ascii="Arial" w:hAnsi="Arial" w:cs="Arial"/>
          <w:sz w:val="24"/>
          <w:szCs w:val="24"/>
          <w:lang w:val="en-GB"/>
        </w:rPr>
      </w:pPr>
    </w:p>
    <w:p w14:paraId="500A6BF6" w14:textId="77777777" w:rsidR="00D61FA8" w:rsidRPr="00D61FA8" w:rsidRDefault="00D61FA8" w:rsidP="00D61FA8">
      <w:pPr>
        <w:spacing w:line="360" w:lineRule="auto"/>
        <w:jc w:val="both"/>
        <w:rPr>
          <w:rFonts w:ascii="Arial" w:hAnsi="Arial" w:cs="Arial"/>
          <w:sz w:val="24"/>
          <w:szCs w:val="24"/>
          <w:lang w:val="en-GB"/>
        </w:rPr>
      </w:pPr>
    </w:p>
    <w:p w14:paraId="3C4A379D" w14:textId="77777777" w:rsidR="00D61FA8" w:rsidRPr="00D61FA8" w:rsidRDefault="00D61FA8" w:rsidP="00D61FA8">
      <w:pPr>
        <w:spacing w:line="360" w:lineRule="auto"/>
        <w:jc w:val="both"/>
        <w:rPr>
          <w:rFonts w:ascii="Arial" w:hAnsi="Arial" w:cs="Arial"/>
          <w:sz w:val="24"/>
          <w:szCs w:val="24"/>
          <w:lang w:val="en-GB"/>
        </w:rPr>
      </w:pPr>
    </w:p>
    <w:p w14:paraId="08FB213D" w14:textId="77777777" w:rsidR="00D61FA8" w:rsidRPr="00D61FA8" w:rsidRDefault="00D61FA8" w:rsidP="00D61FA8">
      <w:pPr>
        <w:spacing w:line="360" w:lineRule="auto"/>
        <w:jc w:val="both"/>
        <w:rPr>
          <w:rFonts w:ascii="Arial" w:hAnsi="Arial" w:cs="Arial"/>
          <w:sz w:val="24"/>
          <w:szCs w:val="24"/>
          <w:lang w:val="en-GB"/>
        </w:rPr>
      </w:pPr>
    </w:p>
    <w:p w14:paraId="43AAC156" w14:textId="77777777" w:rsidR="00D61FA8" w:rsidRPr="00D61FA8" w:rsidRDefault="00D61FA8" w:rsidP="00D61FA8">
      <w:pPr>
        <w:spacing w:line="360" w:lineRule="auto"/>
        <w:jc w:val="both"/>
        <w:rPr>
          <w:rFonts w:ascii="Arial" w:hAnsi="Arial" w:cs="Arial"/>
          <w:sz w:val="24"/>
          <w:szCs w:val="24"/>
          <w:lang w:val="en-GB"/>
        </w:rPr>
      </w:pPr>
    </w:p>
    <w:p w14:paraId="744B7D37" w14:textId="77777777" w:rsidR="00D61FA8" w:rsidRPr="00D61FA8" w:rsidRDefault="00D61FA8" w:rsidP="00D61FA8">
      <w:pPr>
        <w:spacing w:line="360" w:lineRule="auto"/>
        <w:jc w:val="both"/>
        <w:rPr>
          <w:rFonts w:ascii="Arial" w:hAnsi="Arial" w:cs="Arial"/>
          <w:sz w:val="24"/>
          <w:szCs w:val="24"/>
          <w:lang w:val="en-GB"/>
        </w:rPr>
      </w:pPr>
    </w:p>
    <w:p w14:paraId="63DBA6DB" w14:textId="77777777" w:rsidR="00D61FA8" w:rsidRPr="00D61FA8" w:rsidRDefault="00D61FA8" w:rsidP="00D61FA8">
      <w:pPr>
        <w:spacing w:line="360" w:lineRule="auto"/>
        <w:jc w:val="both"/>
        <w:rPr>
          <w:rFonts w:ascii="Arial" w:hAnsi="Arial" w:cs="Arial"/>
          <w:sz w:val="24"/>
          <w:szCs w:val="24"/>
          <w:lang w:val="en-GB"/>
        </w:rPr>
      </w:pPr>
    </w:p>
    <w:p w14:paraId="329070BF" w14:textId="77777777" w:rsidR="00D61FA8" w:rsidRPr="00D61FA8" w:rsidRDefault="00D61FA8" w:rsidP="00D61FA8">
      <w:pPr>
        <w:spacing w:line="360" w:lineRule="auto"/>
        <w:jc w:val="both"/>
        <w:rPr>
          <w:rFonts w:ascii="Arial" w:hAnsi="Arial" w:cs="Arial"/>
          <w:sz w:val="24"/>
          <w:szCs w:val="24"/>
          <w:lang w:val="en-GB"/>
        </w:rPr>
      </w:pPr>
    </w:p>
    <w:p w14:paraId="05573D37" w14:textId="77777777" w:rsidR="00D61FA8" w:rsidRPr="00D61FA8" w:rsidRDefault="00D61FA8" w:rsidP="00D61FA8">
      <w:pPr>
        <w:spacing w:line="360" w:lineRule="auto"/>
        <w:jc w:val="both"/>
        <w:rPr>
          <w:rFonts w:ascii="Arial" w:hAnsi="Arial" w:cs="Arial"/>
          <w:sz w:val="24"/>
          <w:szCs w:val="24"/>
          <w:lang w:val="en-GB"/>
        </w:rPr>
      </w:pPr>
    </w:p>
    <w:p w14:paraId="361CB93B" w14:textId="77777777" w:rsidR="00D61FA8" w:rsidRDefault="00D61FA8" w:rsidP="00D61FA8">
      <w:pPr>
        <w:pStyle w:val="Heading1"/>
        <w:spacing w:before="40" w:line="360" w:lineRule="auto"/>
        <w:jc w:val="both"/>
        <w:rPr>
          <w:rFonts w:ascii="Arial" w:hAnsi="Arial" w:cs="Arial"/>
          <w:sz w:val="24"/>
          <w:szCs w:val="24"/>
          <w:lang w:val="en-GB"/>
        </w:rPr>
      </w:pPr>
    </w:p>
    <w:p w14:paraId="0BA08EDF" w14:textId="77777777" w:rsidR="00D61FA8" w:rsidRPr="00D61FA8" w:rsidRDefault="00D61FA8" w:rsidP="00D61FA8">
      <w:pPr>
        <w:rPr>
          <w:lang w:val="en-GB"/>
        </w:rPr>
      </w:pPr>
    </w:p>
    <w:p w14:paraId="289EA336" w14:textId="05CA1F3A" w:rsidR="008737FB" w:rsidRPr="00D61FA8" w:rsidRDefault="008737FB" w:rsidP="00D61FA8">
      <w:pPr>
        <w:pStyle w:val="Heading1"/>
        <w:spacing w:before="40" w:line="360" w:lineRule="auto"/>
        <w:jc w:val="both"/>
        <w:rPr>
          <w:rFonts w:ascii="Arial" w:hAnsi="Arial" w:cs="Arial"/>
          <w:sz w:val="24"/>
          <w:szCs w:val="24"/>
          <w:lang w:val="en-GB"/>
        </w:rPr>
      </w:pPr>
      <w:r w:rsidRPr="00D61FA8">
        <w:rPr>
          <w:rFonts w:ascii="Arial" w:hAnsi="Arial" w:cs="Arial"/>
          <w:sz w:val="24"/>
          <w:szCs w:val="24"/>
          <w:lang w:val="en-GB"/>
        </w:rPr>
        <w:lastRenderedPageBreak/>
        <w:t>Reference list</w:t>
      </w:r>
      <w:bookmarkEnd w:id="1"/>
    </w:p>
    <w:p w14:paraId="74ACC36A"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Ahluwalia, S., &amp; </w:t>
      </w:r>
      <w:proofErr w:type="spellStart"/>
      <w:r w:rsidRPr="00D61FA8">
        <w:rPr>
          <w:rFonts w:ascii="Arial" w:hAnsi="Arial" w:cs="Arial"/>
          <w:sz w:val="24"/>
          <w:szCs w:val="24"/>
          <w:lang w:val="en-GB"/>
        </w:rPr>
        <w:t>Taute</w:t>
      </w:r>
      <w:proofErr w:type="spellEnd"/>
      <w:r w:rsidRPr="00D61FA8">
        <w:rPr>
          <w:rFonts w:ascii="Arial" w:hAnsi="Arial" w:cs="Arial"/>
          <w:sz w:val="24"/>
          <w:szCs w:val="24"/>
          <w:lang w:val="en-GB"/>
        </w:rPr>
        <w:t xml:space="preserve">, H. (2021). Emerging trends in food and beverage industry: a review. International Journal of Gastronomy and Food Science, 24, 100316. </w:t>
      </w:r>
    </w:p>
    <w:p w14:paraId="22D1B358"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proofErr w:type="spellStart"/>
      <w:r w:rsidRPr="00D61FA8">
        <w:rPr>
          <w:rFonts w:ascii="Arial" w:hAnsi="Arial" w:cs="Arial"/>
          <w:sz w:val="24"/>
          <w:szCs w:val="24"/>
          <w:lang w:val="en-GB"/>
        </w:rPr>
        <w:t>Boussard</w:t>
      </w:r>
      <w:proofErr w:type="spellEnd"/>
      <w:r w:rsidRPr="00D61FA8">
        <w:rPr>
          <w:rFonts w:ascii="Arial" w:hAnsi="Arial" w:cs="Arial"/>
          <w:sz w:val="24"/>
          <w:szCs w:val="24"/>
          <w:lang w:val="en-GB"/>
        </w:rPr>
        <w:t xml:space="preserve">, S (2021) Food and Beverage Management in the Luxury Hotel Industry. New York: </w:t>
      </w:r>
      <w:proofErr w:type="spellStart"/>
      <w:r w:rsidRPr="00D61FA8">
        <w:rPr>
          <w:rFonts w:ascii="Arial" w:hAnsi="Arial" w:cs="Arial"/>
          <w:sz w:val="24"/>
          <w:szCs w:val="24"/>
          <w:lang w:val="en-GB"/>
        </w:rPr>
        <w:t>BusinessExpert</w:t>
      </w:r>
      <w:proofErr w:type="spellEnd"/>
      <w:r w:rsidRPr="00D61FA8">
        <w:rPr>
          <w:rFonts w:ascii="Arial" w:hAnsi="Arial" w:cs="Arial"/>
          <w:sz w:val="24"/>
          <w:szCs w:val="24"/>
          <w:lang w:val="en-GB"/>
        </w:rPr>
        <w:t xml:space="preserve"> Press </w:t>
      </w:r>
    </w:p>
    <w:p w14:paraId="61D9F7EE" w14:textId="43AC60E9"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Brown, D. R., </w:t>
      </w:r>
      <w:proofErr w:type="spellStart"/>
      <w:r w:rsidRPr="00D61FA8">
        <w:rPr>
          <w:rFonts w:ascii="Arial" w:hAnsi="Arial" w:cs="Arial"/>
          <w:sz w:val="24"/>
          <w:szCs w:val="24"/>
          <w:lang w:val="en-GB"/>
        </w:rPr>
        <w:t>TotalBoox</w:t>
      </w:r>
      <w:proofErr w:type="spellEnd"/>
      <w:r w:rsidRPr="00D61FA8">
        <w:rPr>
          <w:rFonts w:ascii="Arial" w:hAnsi="Arial" w:cs="Arial"/>
          <w:sz w:val="24"/>
          <w:szCs w:val="24"/>
          <w:lang w:val="en-GB"/>
        </w:rPr>
        <w:t xml:space="preserve"> and TBX (2013) The Restaurant Manager’s Handbook: How to Set Up, </w:t>
      </w:r>
      <w:proofErr w:type="spellStart"/>
      <w:r w:rsidRPr="00D61FA8">
        <w:rPr>
          <w:rFonts w:ascii="Arial" w:hAnsi="Arial" w:cs="Arial"/>
          <w:sz w:val="24"/>
          <w:szCs w:val="24"/>
          <w:lang w:val="en-GB"/>
        </w:rPr>
        <w:t>Operate</w:t>
      </w:r>
      <w:proofErr w:type="gramStart"/>
      <w:r w:rsidRPr="00D61FA8">
        <w:rPr>
          <w:rFonts w:ascii="Arial" w:hAnsi="Arial" w:cs="Arial"/>
          <w:sz w:val="24"/>
          <w:szCs w:val="24"/>
          <w:lang w:val="en-GB"/>
        </w:rPr>
        <w:t>,and</w:t>
      </w:r>
      <w:proofErr w:type="spellEnd"/>
      <w:proofErr w:type="gramEnd"/>
      <w:r w:rsidRPr="00D61FA8">
        <w:rPr>
          <w:rFonts w:ascii="Arial" w:hAnsi="Arial" w:cs="Arial"/>
          <w:sz w:val="24"/>
          <w:szCs w:val="24"/>
          <w:lang w:val="en-GB"/>
        </w:rPr>
        <w:t xml:space="preserve"> Manage a Financially Successful Food Service Operation. 4th Edition. Atlantic Publishing Group </w:t>
      </w:r>
    </w:p>
    <w:p w14:paraId="020951D0"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Cousins et al. (2011) Food and beverage management: For the hospitality, tourism and </w:t>
      </w:r>
      <w:proofErr w:type="spellStart"/>
      <w:r w:rsidRPr="00D61FA8">
        <w:rPr>
          <w:rFonts w:ascii="Arial" w:hAnsi="Arial" w:cs="Arial"/>
          <w:sz w:val="24"/>
          <w:szCs w:val="24"/>
          <w:lang w:val="en-GB"/>
        </w:rPr>
        <w:t>eventindustries</w:t>
      </w:r>
      <w:proofErr w:type="spellEnd"/>
      <w:r w:rsidRPr="00D61FA8">
        <w:rPr>
          <w:rFonts w:ascii="Arial" w:hAnsi="Arial" w:cs="Arial"/>
          <w:sz w:val="24"/>
          <w:szCs w:val="24"/>
          <w:lang w:val="en-GB"/>
        </w:rPr>
        <w:t xml:space="preserve">. 3rd </w:t>
      </w:r>
      <w:proofErr w:type="spellStart"/>
      <w:r w:rsidRPr="00D61FA8">
        <w:rPr>
          <w:rFonts w:ascii="Arial" w:hAnsi="Arial" w:cs="Arial"/>
          <w:sz w:val="24"/>
          <w:szCs w:val="24"/>
          <w:lang w:val="en-GB"/>
        </w:rPr>
        <w:t>edn</w:t>
      </w:r>
      <w:proofErr w:type="spellEnd"/>
      <w:r w:rsidRPr="00D61FA8">
        <w:rPr>
          <w:rFonts w:ascii="Arial" w:hAnsi="Arial" w:cs="Arial"/>
          <w:sz w:val="24"/>
          <w:szCs w:val="24"/>
          <w:lang w:val="en-GB"/>
        </w:rPr>
        <w:t xml:space="preserve">. Oxford: Goodfellow </w:t>
      </w:r>
    </w:p>
    <w:p w14:paraId="3A943EB4"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Cousins, J. (2020) Food and beverage service. 9th ed. London: Hodder Education Group </w:t>
      </w:r>
    </w:p>
    <w:p w14:paraId="64364453"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Davis, B et al. (2018) Food and Beverage Management. 6 </w:t>
      </w:r>
      <w:proofErr w:type="spellStart"/>
      <w:r w:rsidRPr="00D61FA8">
        <w:rPr>
          <w:rFonts w:ascii="Arial" w:hAnsi="Arial" w:cs="Arial"/>
          <w:sz w:val="24"/>
          <w:szCs w:val="24"/>
          <w:lang w:val="en-GB"/>
        </w:rPr>
        <w:t>edn</w:t>
      </w:r>
      <w:proofErr w:type="spellEnd"/>
      <w:r w:rsidRPr="00D61FA8">
        <w:rPr>
          <w:rFonts w:ascii="Arial" w:hAnsi="Arial" w:cs="Arial"/>
          <w:sz w:val="24"/>
          <w:szCs w:val="24"/>
          <w:lang w:val="en-GB"/>
        </w:rPr>
        <w:t xml:space="preserve"> London: </w:t>
      </w:r>
      <w:proofErr w:type="spellStart"/>
      <w:r w:rsidRPr="00D61FA8">
        <w:rPr>
          <w:rFonts w:ascii="Arial" w:hAnsi="Arial" w:cs="Arial"/>
          <w:sz w:val="24"/>
          <w:szCs w:val="24"/>
          <w:lang w:val="en-GB"/>
        </w:rPr>
        <w:t>Routledge</w:t>
      </w:r>
      <w:proofErr w:type="spellEnd"/>
      <w:r w:rsidRPr="00D61FA8">
        <w:rPr>
          <w:rFonts w:ascii="Arial" w:hAnsi="Arial" w:cs="Arial"/>
          <w:sz w:val="24"/>
          <w:szCs w:val="24"/>
          <w:lang w:val="en-GB"/>
        </w:rPr>
        <w:t xml:space="preserve"> </w:t>
      </w:r>
    </w:p>
    <w:p w14:paraId="10E81932"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proofErr w:type="spellStart"/>
      <w:r w:rsidRPr="00D61FA8">
        <w:rPr>
          <w:rFonts w:ascii="Arial" w:hAnsi="Arial" w:cs="Arial"/>
          <w:sz w:val="24"/>
          <w:szCs w:val="24"/>
          <w:lang w:val="en-GB"/>
        </w:rPr>
        <w:t>Foskett</w:t>
      </w:r>
      <w:proofErr w:type="spellEnd"/>
      <w:r w:rsidRPr="00D61FA8">
        <w:rPr>
          <w:rFonts w:ascii="Arial" w:hAnsi="Arial" w:cs="Arial"/>
          <w:sz w:val="24"/>
          <w:szCs w:val="24"/>
          <w:lang w:val="en-GB"/>
        </w:rPr>
        <w:t xml:space="preserve">, D. et al. (2021) The Theory of Hospitality and Catering. 14th Edition. London: </w:t>
      </w:r>
      <w:proofErr w:type="spellStart"/>
      <w:r w:rsidRPr="00D61FA8">
        <w:rPr>
          <w:rFonts w:ascii="Arial" w:hAnsi="Arial" w:cs="Arial"/>
          <w:sz w:val="24"/>
          <w:szCs w:val="24"/>
          <w:lang w:val="en-GB"/>
        </w:rPr>
        <w:t>Hodder</w:t>
      </w:r>
      <w:proofErr w:type="spellEnd"/>
      <w:r w:rsidRPr="00D61FA8">
        <w:rPr>
          <w:rFonts w:ascii="Arial" w:hAnsi="Arial" w:cs="Arial"/>
          <w:sz w:val="24"/>
          <w:szCs w:val="24"/>
          <w:lang w:val="en-GB"/>
        </w:rPr>
        <w:t xml:space="preserve"> </w:t>
      </w:r>
      <w:proofErr w:type="spellStart"/>
      <w:r w:rsidRPr="00D61FA8">
        <w:rPr>
          <w:rFonts w:ascii="Arial" w:hAnsi="Arial" w:cs="Arial"/>
          <w:sz w:val="24"/>
          <w:szCs w:val="24"/>
          <w:lang w:val="en-GB"/>
        </w:rPr>
        <w:t>EducationGroup</w:t>
      </w:r>
      <w:proofErr w:type="spellEnd"/>
      <w:r w:rsidRPr="00D61FA8">
        <w:rPr>
          <w:rFonts w:ascii="Arial" w:hAnsi="Arial" w:cs="Arial"/>
          <w:sz w:val="24"/>
          <w:szCs w:val="24"/>
          <w:lang w:val="en-GB"/>
        </w:rPr>
        <w:t xml:space="preserve"> </w:t>
      </w:r>
    </w:p>
    <w:p w14:paraId="331B3C00"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proofErr w:type="spellStart"/>
      <w:r w:rsidRPr="00D61FA8">
        <w:rPr>
          <w:rFonts w:ascii="Arial" w:hAnsi="Arial" w:cs="Arial"/>
          <w:sz w:val="24"/>
          <w:szCs w:val="24"/>
          <w:lang w:val="en-GB"/>
        </w:rPr>
        <w:t>Hospit</w:t>
      </w:r>
      <w:proofErr w:type="spellEnd"/>
      <w:r w:rsidRPr="00D61FA8">
        <w:rPr>
          <w:rFonts w:ascii="Arial" w:hAnsi="Arial" w:cs="Arial"/>
          <w:sz w:val="24"/>
          <w:szCs w:val="24"/>
          <w:lang w:val="en-GB"/>
        </w:rPr>
        <w:t xml:space="preserve">, J.T. (2019). Journal of Tourism &amp; Hospitality. </w:t>
      </w:r>
      <w:r w:rsidRPr="00D61FA8">
        <w:rPr>
          <w:rFonts w:ascii="Arial" w:hAnsi="Arial" w:cs="Arial"/>
          <w:i/>
          <w:iCs/>
          <w:sz w:val="24"/>
          <w:szCs w:val="24"/>
          <w:lang w:val="en-GB"/>
        </w:rPr>
        <w:t>Journal of Tourism &amp; Hospitality</w:t>
      </w:r>
      <w:r w:rsidRPr="00D61FA8">
        <w:rPr>
          <w:rFonts w:ascii="Arial" w:hAnsi="Arial" w:cs="Arial"/>
          <w:sz w:val="24"/>
          <w:szCs w:val="24"/>
          <w:lang w:val="en-GB"/>
        </w:rPr>
        <w:t xml:space="preserve">, 06(05). </w:t>
      </w:r>
    </w:p>
    <w:p w14:paraId="36D9A59D" w14:textId="00AB38BD"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Johnston, R. (2012) Service operations management: improving service delivery. 4th ed. Harlow, </w:t>
      </w:r>
      <w:proofErr w:type="spellStart"/>
      <w:r w:rsidRPr="00D61FA8">
        <w:rPr>
          <w:rFonts w:ascii="Arial" w:hAnsi="Arial" w:cs="Arial"/>
          <w:sz w:val="24"/>
          <w:szCs w:val="24"/>
          <w:lang w:val="en-GB"/>
        </w:rPr>
        <w:t>England</w:t>
      </w:r>
      <w:proofErr w:type="gramStart"/>
      <w:r w:rsidRPr="00D61FA8">
        <w:rPr>
          <w:rFonts w:ascii="Arial" w:hAnsi="Arial" w:cs="Arial"/>
          <w:sz w:val="24"/>
          <w:szCs w:val="24"/>
          <w:lang w:val="en-GB"/>
        </w:rPr>
        <w:t>:Pearson</w:t>
      </w:r>
      <w:proofErr w:type="spellEnd"/>
      <w:proofErr w:type="gramEnd"/>
      <w:r w:rsidRPr="00D61FA8">
        <w:rPr>
          <w:rFonts w:ascii="Arial" w:hAnsi="Arial" w:cs="Arial"/>
          <w:sz w:val="24"/>
          <w:szCs w:val="24"/>
          <w:lang w:val="en-GB"/>
        </w:rPr>
        <w:t xml:space="preserve"> </w:t>
      </w:r>
    </w:p>
    <w:p w14:paraId="56B35B2A"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Li, Y., &amp; Li, Y. (2021). </w:t>
      </w:r>
      <w:proofErr w:type="spellStart"/>
      <w:r w:rsidRPr="00D61FA8">
        <w:rPr>
          <w:rFonts w:ascii="Arial" w:hAnsi="Arial" w:cs="Arial"/>
          <w:sz w:val="24"/>
          <w:szCs w:val="24"/>
          <w:lang w:val="en-GB"/>
        </w:rPr>
        <w:t>Analyzing</w:t>
      </w:r>
      <w:proofErr w:type="spellEnd"/>
      <w:r w:rsidRPr="00D61FA8">
        <w:rPr>
          <w:rFonts w:ascii="Arial" w:hAnsi="Arial" w:cs="Arial"/>
          <w:sz w:val="24"/>
          <w:szCs w:val="24"/>
          <w:lang w:val="en-GB"/>
        </w:rPr>
        <w:t xml:space="preserve"> the determinants of customer satisfaction with the food and beverage industry in the era of the sharing economy: A PLS-SEM approach. International Journal of Hospitality Management, 94, 102895. </w:t>
      </w:r>
    </w:p>
    <w:p w14:paraId="39BD4003"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Morris, J. (2021). Food and beverage management: Theory and practice. Routledge. </w:t>
      </w:r>
    </w:p>
    <w:p w14:paraId="2C4D8031" w14:textId="470E919A"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proofErr w:type="spellStart"/>
      <w:r w:rsidRPr="00D61FA8">
        <w:rPr>
          <w:rFonts w:ascii="Arial" w:hAnsi="Arial" w:cs="Arial"/>
          <w:sz w:val="24"/>
          <w:szCs w:val="24"/>
          <w:lang w:val="en-GB"/>
        </w:rPr>
        <w:t>Motarjemi</w:t>
      </w:r>
      <w:proofErr w:type="spellEnd"/>
      <w:r w:rsidRPr="00D61FA8">
        <w:rPr>
          <w:rFonts w:ascii="Arial" w:hAnsi="Arial" w:cs="Arial"/>
          <w:sz w:val="24"/>
          <w:szCs w:val="24"/>
          <w:lang w:val="en-GB"/>
        </w:rPr>
        <w:t xml:space="preserve">, Y and </w:t>
      </w:r>
      <w:proofErr w:type="spellStart"/>
      <w:r w:rsidRPr="00D61FA8">
        <w:rPr>
          <w:rFonts w:ascii="Arial" w:hAnsi="Arial" w:cs="Arial"/>
          <w:sz w:val="24"/>
          <w:szCs w:val="24"/>
          <w:lang w:val="en-GB"/>
        </w:rPr>
        <w:t>Lelieveld</w:t>
      </w:r>
      <w:proofErr w:type="spellEnd"/>
      <w:r w:rsidRPr="00D61FA8">
        <w:rPr>
          <w:rFonts w:ascii="Arial" w:hAnsi="Arial" w:cs="Arial"/>
          <w:sz w:val="24"/>
          <w:szCs w:val="24"/>
          <w:lang w:val="en-GB"/>
        </w:rPr>
        <w:t xml:space="preserve">, H (2014) Food safety management: a practical guide for the food </w:t>
      </w:r>
      <w:proofErr w:type="spellStart"/>
      <w:r w:rsidRPr="00D61FA8">
        <w:rPr>
          <w:rFonts w:ascii="Arial" w:hAnsi="Arial" w:cs="Arial"/>
          <w:sz w:val="24"/>
          <w:szCs w:val="24"/>
          <w:lang w:val="en-GB"/>
        </w:rPr>
        <w:t>industry.Illustrated</w:t>
      </w:r>
      <w:proofErr w:type="spellEnd"/>
      <w:r w:rsidRPr="00D61FA8">
        <w:rPr>
          <w:rFonts w:ascii="Arial" w:hAnsi="Arial" w:cs="Arial"/>
          <w:sz w:val="24"/>
          <w:szCs w:val="24"/>
          <w:lang w:val="en-GB"/>
        </w:rPr>
        <w:t xml:space="preserve"> edition. Amsterdam: Academic Press </w:t>
      </w:r>
    </w:p>
    <w:p w14:paraId="343BAE1F"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Pearce, J. A., &amp; Wu, C. (2021). Food and beverage management: A review of change drivers, implications, and recommendations for future research. International Journal of Hospitality Management, 96, 102981 </w:t>
      </w:r>
    </w:p>
    <w:p w14:paraId="70939853"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Spiller, A. (2021). Trends and challenges in the food and beverage sector. Journal of Foodservice Business Research, 24(4), 310-315. </w:t>
      </w:r>
    </w:p>
    <w:p w14:paraId="6947A9C7"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proofErr w:type="spellStart"/>
      <w:r w:rsidRPr="00D61FA8">
        <w:rPr>
          <w:rFonts w:ascii="Arial" w:hAnsi="Arial" w:cs="Arial"/>
          <w:sz w:val="24"/>
          <w:szCs w:val="24"/>
          <w:lang w:val="en-GB"/>
        </w:rPr>
        <w:lastRenderedPageBreak/>
        <w:t>Tasci</w:t>
      </w:r>
      <w:proofErr w:type="spellEnd"/>
      <w:r w:rsidRPr="00D61FA8">
        <w:rPr>
          <w:rFonts w:ascii="Arial" w:hAnsi="Arial" w:cs="Arial"/>
          <w:sz w:val="24"/>
          <w:szCs w:val="24"/>
          <w:lang w:val="en-GB"/>
        </w:rPr>
        <w:t xml:space="preserve">, A. D., &amp; </w:t>
      </w:r>
      <w:proofErr w:type="spellStart"/>
      <w:r w:rsidRPr="00D61FA8">
        <w:rPr>
          <w:rFonts w:ascii="Arial" w:hAnsi="Arial" w:cs="Arial"/>
          <w:sz w:val="24"/>
          <w:szCs w:val="24"/>
          <w:lang w:val="en-GB"/>
        </w:rPr>
        <w:t>Iraz</w:t>
      </w:r>
      <w:proofErr w:type="spellEnd"/>
      <w:r w:rsidRPr="00D61FA8">
        <w:rPr>
          <w:rFonts w:ascii="Arial" w:hAnsi="Arial" w:cs="Arial"/>
          <w:sz w:val="24"/>
          <w:szCs w:val="24"/>
          <w:lang w:val="en-GB"/>
        </w:rPr>
        <w:t xml:space="preserve">, R. (2021). Effects of service quality and customer satisfaction on loyalty in the food and beverage industry: A proposed model. Journal of Foodservice Business Research, 24(2), 115-137 </w:t>
      </w:r>
    </w:p>
    <w:p w14:paraId="7D491A6B"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Walker, J (2017) Introduction to Hospitality. Harlow: Pearson Education Limited </w:t>
      </w:r>
    </w:p>
    <w:p w14:paraId="788786FC"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Wang, D., Wang, D., &amp; Li, X. (2021). A comparative study of customer satisfaction in fast food restaurants and traditional restaurants: Evidence from China. Journal of Foodservice Business Research, 24(1), 52-67 </w:t>
      </w:r>
    </w:p>
    <w:p w14:paraId="0252652A"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r w:rsidRPr="00D61FA8">
        <w:rPr>
          <w:rFonts w:ascii="Arial" w:hAnsi="Arial" w:cs="Arial"/>
          <w:sz w:val="24"/>
          <w:szCs w:val="24"/>
          <w:lang w:val="en-GB"/>
        </w:rPr>
        <w:t xml:space="preserve">Wood, R. (2013) Key Concepts in Hospitality Management. London: Sage </w:t>
      </w:r>
    </w:p>
    <w:p w14:paraId="2DFFBA3A"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proofErr w:type="spellStart"/>
      <w:r w:rsidRPr="00D61FA8">
        <w:rPr>
          <w:rFonts w:ascii="Arial" w:hAnsi="Arial" w:cs="Arial"/>
          <w:sz w:val="24"/>
          <w:szCs w:val="24"/>
          <w:lang w:val="en-GB"/>
        </w:rPr>
        <w:t>Xie</w:t>
      </w:r>
      <w:proofErr w:type="spellEnd"/>
      <w:r w:rsidRPr="00D61FA8">
        <w:rPr>
          <w:rFonts w:ascii="Arial" w:hAnsi="Arial" w:cs="Arial"/>
          <w:sz w:val="24"/>
          <w:szCs w:val="24"/>
          <w:lang w:val="en-GB"/>
        </w:rPr>
        <w:t xml:space="preserve">, K. L., &amp; Ma, L. (2021). The impact of food quality, service quality, and price fairness on customer satisfaction and </w:t>
      </w:r>
      <w:proofErr w:type="spellStart"/>
      <w:r w:rsidRPr="00D61FA8">
        <w:rPr>
          <w:rFonts w:ascii="Arial" w:hAnsi="Arial" w:cs="Arial"/>
          <w:sz w:val="24"/>
          <w:szCs w:val="24"/>
          <w:lang w:val="en-GB"/>
        </w:rPr>
        <w:t>behavioral</w:t>
      </w:r>
      <w:proofErr w:type="spellEnd"/>
      <w:r w:rsidRPr="00D61FA8">
        <w:rPr>
          <w:rFonts w:ascii="Arial" w:hAnsi="Arial" w:cs="Arial"/>
          <w:sz w:val="24"/>
          <w:szCs w:val="24"/>
          <w:lang w:val="en-GB"/>
        </w:rPr>
        <w:t xml:space="preserve"> intention in Chinese restaurants. Journal of Foodservice Business Research, 24(3), 219-233 </w:t>
      </w:r>
    </w:p>
    <w:p w14:paraId="4697FEDE" w14:textId="77777777" w:rsidR="008737FB" w:rsidRPr="00D61FA8" w:rsidRDefault="008737FB" w:rsidP="00D61FA8">
      <w:pPr>
        <w:autoSpaceDE w:val="0"/>
        <w:autoSpaceDN w:val="0"/>
        <w:adjustRightInd w:val="0"/>
        <w:spacing w:before="40" w:after="0" w:line="360" w:lineRule="auto"/>
        <w:jc w:val="both"/>
        <w:rPr>
          <w:rFonts w:ascii="Arial" w:hAnsi="Arial" w:cs="Arial"/>
          <w:sz w:val="24"/>
          <w:szCs w:val="24"/>
          <w:lang w:val="en-GB"/>
        </w:rPr>
      </w:pPr>
      <w:proofErr w:type="spellStart"/>
      <w:r w:rsidRPr="00D61FA8">
        <w:rPr>
          <w:rFonts w:ascii="Arial" w:hAnsi="Arial" w:cs="Arial"/>
          <w:sz w:val="24"/>
          <w:szCs w:val="24"/>
          <w:lang w:val="en-GB"/>
        </w:rPr>
        <w:t>Zutshi</w:t>
      </w:r>
      <w:proofErr w:type="spellEnd"/>
      <w:r w:rsidRPr="00D61FA8">
        <w:rPr>
          <w:rFonts w:ascii="Arial" w:hAnsi="Arial" w:cs="Arial"/>
          <w:sz w:val="24"/>
          <w:szCs w:val="24"/>
          <w:lang w:val="en-GB"/>
        </w:rPr>
        <w:t xml:space="preserve">, A. (2019) ‘How to develop well-informed and assured teams to embed food safety compliance in </w:t>
      </w:r>
      <w:proofErr w:type="spellStart"/>
      <w:r w:rsidRPr="00D61FA8">
        <w:rPr>
          <w:rFonts w:ascii="Arial" w:hAnsi="Arial" w:cs="Arial"/>
          <w:sz w:val="24"/>
          <w:szCs w:val="24"/>
          <w:lang w:val="en-GB"/>
        </w:rPr>
        <w:t>theUK</w:t>
      </w:r>
      <w:proofErr w:type="spellEnd"/>
      <w:r w:rsidRPr="00D61FA8">
        <w:rPr>
          <w:rFonts w:ascii="Arial" w:hAnsi="Arial" w:cs="Arial"/>
          <w:sz w:val="24"/>
          <w:szCs w:val="24"/>
          <w:lang w:val="en-GB"/>
        </w:rPr>
        <w:t xml:space="preserve"> catering and hospitality industry’, Perspectives in Public Health, 139(6), pp. 294–295 </w:t>
      </w:r>
    </w:p>
    <w:p w14:paraId="0A1E0C7F" w14:textId="77777777" w:rsidR="008737FB" w:rsidRPr="00D61FA8" w:rsidRDefault="008737FB" w:rsidP="00D61FA8">
      <w:pPr>
        <w:tabs>
          <w:tab w:val="left" w:pos="2194"/>
        </w:tabs>
        <w:spacing w:before="40" w:after="0" w:line="360" w:lineRule="auto"/>
        <w:jc w:val="both"/>
        <w:rPr>
          <w:rFonts w:ascii="Arial" w:hAnsi="Arial" w:cs="Arial"/>
          <w:sz w:val="24"/>
          <w:szCs w:val="24"/>
        </w:rPr>
      </w:pPr>
    </w:p>
    <w:sectPr w:rsidR="008737FB" w:rsidRPr="00D61FA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558C74" w14:textId="77777777" w:rsidR="00032292" w:rsidRDefault="00032292" w:rsidP="00592518">
      <w:pPr>
        <w:spacing w:after="0" w:line="240" w:lineRule="auto"/>
      </w:pPr>
      <w:r>
        <w:separator/>
      </w:r>
    </w:p>
  </w:endnote>
  <w:endnote w:type="continuationSeparator" w:id="0">
    <w:p w14:paraId="11583057" w14:textId="77777777" w:rsidR="00032292" w:rsidRDefault="00032292" w:rsidP="00592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845608"/>
      <w:docPartObj>
        <w:docPartGallery w:val="Page Numbers (Bottom of Page)"/>
        <w:docPartUnique/>
      </w:docPartObj>
    </w:sdtPr>
    <w:sdtEndPr>
      <w:rPr>
        <w:color w:val="7F7F7F" w:themeColor="background1" w:themeShade="7F"/>
        <w:spacing w:val="60"/>
      </w:rPr>
    </w:sdtEndPr>
    <w:sdtContent>
      <w:p w14:paraId="73352FD0" w14:textId="7FEFB99A" w:rsidR="00592518" w:rsidRDefault="0059251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55869" w:rsidRPr="00555869">
          <w:rPr>
            <w:b/>
            <w:bCs/>
            <w:noProof/>
          </w:rPr>
          <w:t>1</w:t>
        </w:r>
        <w:r>
          <w:rPr>
            <w:b/>
            <w:bCs/>
            <w:noProof/>
          </w:rPr>
          <w:fldChar w:fldCharType="end"/>
        </w:r>
        <w:r>
          <w:rPr>
            <w:b/>
            <w:bCs/>
          </w:rPr>
          <w:t xml:space="preserve"> | </w:t>
        </w:r>
        <w:r>
          <w:rPr>
            <w:color w:val="7F7F7F" w:themeColor="background1" w:themeShade="7F"/>
            <w:spacing w:val="60"/>
          </w:rPr>
          <w:t>Page</w:t>
        </w:r>
      </w:p>
    </w:sdtContent>
  </w:sdt>
  <w:p w14:paraId="4C8DE3C4" w14:textId="77777777" w:rsidR="00592518" w:rsidRDefault="005925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774C15" w14:textId="77777777" w:rsidR="00032292" w:rsidRDefault="00032292" w:rsidP="00592518">
      <w:pPr>
        <w:spacing w:after="0" w:line="240" w:lineRule="auto"/>
      </w:pPr>
      <w:r>
        <w:separator/>
      </w:r>
    </w:p>
  </w:footnote>
  <w:footnote w:type="continuationSeparator" w:id="0">
    <w:p w14:paraId="7B9FD8F5" w14:textId="77777777" w:rsidR="00032292" w:rsidRDefault="00032292" w:rsidP="005925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36306"/>
    <w:multiLevelType w:val="hybridMultilevel"/>
    <w:tmpl w:val="69D21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595B89"/>
    <w:multiLevelType w:val="multilevel"/>
    <w:tmpl w:val="B0007C8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BB9566C"/>
    <w:multiLevelType w:val="multilevel"/>
    <w:tmpl w:val="7A521EA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4A416D59"/>
    <w:multiLevelType w:val="multilevel"/>
    <w:tmpl w:val="6B4A6F4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53940B46"/>
    <w:multiLevelType w:val="multilevel"/>
    <w:tmpl w:val="4B00AB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57E70151"/>
    <w:multiLevelType w:val="multilevel"/>
    <w:tmpl w:val="80A2402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FC3"/>
    <w:rsid w:val="00032292"/>
    <w:rsid w:val="00032623"/>
    <w:rsid w:val="001425EF"/>
    <w:rsid w:val="00225716"/>
    <w:rsid w:val="00252F37"/>
    <w:rsid w:val="002D24DC"/>
    <w:rsid w:val="003B7B4B"/>
    <w:rsid w:val="0041743C"/>
    <w:rsid w:val="00433A72"/>
    <w:rsid w:val="00555869"/>
    <w:rsid w:val="00584137"/>
    <w:rsid w:val="00592518"/>
    <w:rsid w:val="006C155E"/>
    <w:rsid w:val="006F2D01"/>
    <w:rsid w:val="008355A7"/>
    <w:rsid w:val="00863793"/>
    <w:rsid w:val="008737FB"/>
    <w:rsid w:val="009A1208"/>
    <w:rsid w:val="00A507B3"/>
    <w:rsid w:val="00B764B1"/>
    <w:rsid w:val="00B96FC3"/>
    <w:rsid w:val="00C01479"/>
    <w:rsid w:val="00C565B5"/>
    <w:rsid w:val="00D05AFB"/>
    <w:rsid w:val="00D61FA8"/>
    <w:rsid w:val="00E676E7"/>
    <w:rsid w:val="00E91A6D"/>
    <w:rsid w:val="00EF0C17"/>
    <w:rsid w:val="00F0743E"/>
    <w:rsid w:val="00F83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66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76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76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64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7F0"/>
    <w:pPr>
      <w:ind w:left="720"/>
      <w:contextualSpacing/>
    </w:pPr>
  </w:style>
  <w:style w:type="character" w:customStyle="1" w:styleId="Heading1Char">
    <w:name w:val="Heading 1 Char"/>
    <w:basedOn w:val="DefaultParagraphFont"/>
    <w:link w:val="Heading1"/>
    <w:uiPriority w:val="9"/>
    <w:rsid w:val="00E676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76E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425E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2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518"/>
  </w:style>
  <w:style w:type="paragraph" w:styleId="Footer">
    <w:name w:val="footer"/>
    <w:basedOn w:val="Normal"/>
    <w:link w:val="FooterChar"/>
    <w:uiPriority w:val="99"/>
    <w:unhideWhenUsed/>
    <w:rsid w:val="00592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518"/>
  </w:style>
  <w:style w:type="paragraph" w:styleId="TOCHeading">
    <w:name w:val="TOC Heading"/>
    <w:basedOn w:val="Heading1"/>
    <w:next w:val="Normal"/>
    <w:uiPriority w:val="39"/>
    <w:unhideWhenUsed/>
    <w:qFormat/>
    <w:rsid w:val="00592518"/>
    <w:pPr>
      <w:outlineLvl w:val="9"/>
    </w:pPr>
  </w:style>
  <w:style w:type="paragraph" w:styleId="TOC2">
    <w:name w:val="toc 2"/>
    <w:basedOn w:val="Normal"/>
    <w:next w:val="Normal"/>
    <w:autoRedefine/>
    <w:uiPriority w:val="39"/>
    <w:unhideWhenUsed/>
    <w:rsid w:val="00592518"/>
    <w:pPr>
      <w:spacing w:after="100"/>
      <w:ind w:left="220"/>
    </w:pPr>
  </w:style>
  <w:style w:type="character" w:styleId="Hyperlink">
    <w:name w:val="Hyperlink"/>
    <w:basedOn w:val="DefaultParagraphFont"/>
    <w:uiPriority w:val="99"/>
    <w:unhideWhenUsed/>
    <w:rsid w:val="00592518"/>
    <w:rPr>
      <w:color w:val="0563C1" w:themeColor="hyperlink"/>
      <w:u w:val="single"/>
    </w:rPr>
  </w:style>
  <w:style w:type="paragraph" w:styleId="NoSpacing">
    <w:name w:val="No Spacing"/>
    <w:uiPriority w:val="1"/>
    <w:qFormat/>
    <w:rsid w:val="00592518"/>
    <w:pPr>
      <w:spacing w:after="0" w:line="240" w:lineRule="auto"/>
    </w:pPr>
  </w:style>
  <w:style w:type="character" w:customStyle="1" w:styleId="Heading3Char">
    <w:name w:val="Heading 3 Char"/>
    <w:basedOn w:val="DefaultParagraphFont"/>
    <w:link w:val="Heading3"/>
    <w:uiPriority w:val="9"/>
    <w:rsid w:val="00B764B1"/>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764B1"/>
    <w:pPr>
      <w:spacing w:after="100"/>
    </w:pPr>
  </w:style>
  <w:style w:type="paragraph" w:styleId="TOC3">
    <w:name w:val="toc 3"/>
    <w:basedOn w:val="Normal"/>
    <w:next w:val="Normal"/>
    <w:autoRedefine/>
    <w:uiPriority w:val="39"/>
    <w:unhideWhenUsed/>
    <w:rsid w:val="00B764B1"/>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76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76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64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7F0"/>
    <w:pPr>
      <w:ind w:left="720"/>
      <w:contextualSpacing/>
    </w:pPr>
  </w:style>
  <w:style w:type="character" w:customStyle="1" w:styleId="Heading1Char">
    <w:name w:val="Heading 1 Char"/>
    <w:basedOn w:val="DefaultParagraphFont"/>
    <w:link w:val="Heading1"/>
    <w:uiPriority w:val="9"/>
    <w:rsid w:val="00E676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76E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1425E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25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2518"/>
  </w:style>
  <w:style w:type="paragraph" w:styleId="Footer">
    <w:name w:val="footer"/>
    <w:basedOn w:val="Normal"/>
    <w:link w:val="FooterChar"/>
    <w:uiPriority w:val="99"/>
    <w:unhideWhenUsed/>
    <w:rsid w:val="005925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2518"/>
  </w:style>
  <w:style w:type="paragraph" w:styleId="TOCHeading">
    <w:name w:val="TOC Heading"/>
    <w:basedOn w:val="Heading1"/>
    <w:next w:val="Normal"/>
    <w:uiPriority w:val="39"/>
    <w:unhideWhenUsed/>
    <w:qFormat/>
    <w:rsid w:val="00592518"/>
    <w:pPr>
      <w:outlineLvl w:val="9"/>
    </w:pPr>
  </w:style>
  <w:style w:type="paragraph" w:styleId="TOC2">
    <w:name w:val="toc 2"/>
    <w:basedOn w:val="Normal"/>
    <w:next w:val="Normal"/>
    <w:autoRedefine/>
    <w:uiPriority w:val="39"/>
    <w:unhideWhenUsed/>
    <w:rsid w:val="00592518"/>
    <w:pPr>
      <w:spacing w:after="100"/>
      <w:ind w:left="220"/>
    </w:pPr>
  </w:style>
  <w:style w:type="character" w:styleId="Hyperlink">
    <w:name w:val="Hyperlink"/>
    <w:basedOn w:val="DefaultParagraphFont"/>
    <w:uiPriority w:val="99"/>
    <w:unhideWhenUsed/>
    <w:rsid w:val="00592518"/>
    <w:rPr>
      <w:color w:val="0563C1" w:themeColor="hyperlink"/>
      <w:u w:val="single"/>
    </w:rPr>
  </w:style>
  <w:style w:type="paragraph" w:styleId="NoSpacing">
    <w:name w:val="No Spacing"/>
    <w:uiPriority w:val="1"/>
    <w:qFormat/>
    <w:rsid w:val="00592518"/>
    <w:pPr>
      <w:spacing w:after="0" w:line="240" w:lineRule="auto"/>
    </w:pPr>
  </w:style>
  <w:style w:type="character" w:customStyle="1" w:styleId="Heading3Char">
    <w:name w:val="Heading 3 Char"/>
    <w:basedOn w:val="DefaultParagraphFont"/>
    <w:link w:val="Heading3"/>
    <w:uiPriority w:val="9"/>
    <w:rsid w:val="00B764B1"/>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764B1"/>
    <w:pPr>
      <w:spacing w:after="100"/>
    </w:pPr>
  </w:style>
  <w:style w:type="paragraph" w:styleId="TOC3">
    <w:name w:val="toc 3"/>
    <w:basedOn w:val="Normal"/>
    <w:next w:val="Normal"/>
    <w:autoRedefine/>
    <w:uiPriority w:val="39"/>
    <w:unhideWhenUsed/>
    <w:rsid w:val="00B764B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869744">
      <w:bodyDiv w:val="1"/>
      <w:marLeft w:val="0"/>
      <w:marRight w:val="0"/>
      <w:marTop w:val="0"/>
      <w:marBottom w:val="0"/>
      <w:divBdr>
        <w:top w:val="none" w:sz="0" w:space="0" w:color="auto"/>
        <w:left w:val="none" w:sz="0" w:space="0" w:color="auto"/>
        <w:bottom w:val="none" w:sz="0" w:space="0" w:color="auto"/>
        <w:right w:val="none" w:sz="0" w:space="0" w:color="auto"/>
      </w:divBdr>
    </w:div>
    <w:div w:id="1165318458">
      <w:bodyDiv w:val="1"/>
      <w:marLeft w:val="0"/>
      <w:marRight w:val="0"/>
      <w:marTop w:val="0"/>
      <w:marBottom w:val="0"/>
      <w:divBdr>
        <w:top w:val="none" w:sz="0" w:space="0" w:color="auto"/>
        <w:left w:val="none" w:sz="0" w:space="0" w:color="auto"/>
        <w:bottom w:val="none" w:sz="0" w:space="0" w:color="auto"/>
        <w:right w:val="none" w:sz="0" w:space="0" w:color="auto"/>
      </w:divBdr>
    </w:div>
    <w:div w:id="1711538255">
      <w:bodyDiv w:val="1"/>
      <w:marLeft w:val="0"/>
      <w:marRight w:val="0"/>
      <w:marTop w:val="0"/>
      <w:marBottom w:val="0"/>
      <w:divBdr>
        <w:top w:val="none" w:sz="0" w:space="0" w:color="auto"/>
        <w:left w:val="none" w:sz="0" w:space="0" w:color="auto"/>
        <w:bottom w:val="none" w:sz="0" w:space="0" w:color="auto"/>
        <w:right w:val="none" w:sz="0" w:space="0" w:color="auto"/>
      </w:divBdr>
      <w:divsChild>
        <w:div w:id="144705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7D6561-6BDB-4989-8538-C23F5AE1D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1178</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Esha Rahman</dc:creator>
  <cp:lastModifiedBy>Admin</cp:lastModifiedBy>
  <cp:revision>2</cp:revision>
  <dcterms:created xsi:type="dcterms:W3CDTF">2023-05-26T10:27:00Z</dcterms:created>
  <dcterms:modified xsi:type="dcterms:W3CDTF">2023-05-26T10:27:00Z</dcterms:modified>
</cp:coreProperties>
</file>