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7E9EA2" w14:textId="77777777" w:rsidR="00F45D14" w:rsidRDefault="00705570" w:rsidP="00705570">
      <w:pPr>
        <w:rPr>
          <w:b/>
          <w:bCs/>
          <w:sz w:val="32"/>
          <w:szCs w:val="32"/>
        </w:rPr>
      </w:pPr>
      <w:r>
        <w:rPr>
          <w:b/>
          <w:bCs/>
          <w:sz w:val="32"/>
          <w:szCs w:val="32"/>
        </w:rPr>
        <w:t xml:space="preserve">                                     </w:t>
      </w:r>
    </w:p>
    <w:p w14:paraId="1630F6FD" w14:textId="77777777" w:rsidR="00F45D14" w:rsidRDefault="00F45D14" w:rsidP="00705570">
      <w:pPr>
        <w:rPr>
          <w:b/>
          <w:bCs/>
          <w:sz w:val="32"/>
          <w:szCs w:val="32"/>
        </w:rPr>
      </w:pPr>
      <w:r>
        <w:rPr>
          <w:b/>
          <w:bCs/>
          <w:noProof/>
          <w:sz w:val="32"/>
          <w:szCs w:val="32"/>
        </w:rPr>
        <w:drawing>
          <wp:inline distT="0" distB="0" distL="0" distR="0" wp14:anchorId="319ECE2D" wp14:editId="294F7EFE">
            <wp:extent cx="2859405" cy="572770"/>
            <wp:effectExtent l="0" t="0" r="0" b="0"/>
            <wp:docPr id="8703517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859405" cy="572770"/>
                    </a:xfrm>
                    <a:prstGeom prst="rect">
                      <a:avLst/>
                    </a:prstGeom>
                    <a:noFill/>
                  </pic:spPr>
                </pic:pic>
              </a:graphicData>
            </a:graphic>
          </wp:inline>
        </w:drawing>
      </w:r>
    </w:p>
    <w:p w14:paraId="1F4E4EF0" w14:textId="77777777" w:rsidR="00F45D14" w:rsidRDefault="00F45D14" w:rsidP="00705570">
      <w:pPr>
        <w:rPr>
          <w:b/>
          <w:bCs/>
          <w:sz w:val="32"/>
          <w:szCs w:val="32"/>
        </w:rPr>
      </w:pPr>
    </w:p>
    <w:p w14:paraId="0680EAA1" w14:textId="525EC7CF" w:rsidR="00705570" w:rsidRPr="00F45D14" w:rsidRDefault="00F45D14" w:rsidP="00705570">
      <w:pPr>
        <w:rPr>
          <w:b/>
          <w:bCs/>
          <w:sz w:val="32"/>
          <w:szCs w:val="32"/>
        </w:rPr>
      </w:pPr>
      <w:r>
        <w:rPr>
          <w:b/>
          <w:bCs/>
          <w:sz w:val="32"/>
          <w:szCs w:val="32"/>
        </w:rPr>
        <w:t xml:space="preserve">                                  </w:t>
      </w:r>
      <w:r w:rsidR="00705570">
        <w:rPr>
          <w:b/>
          <w:bCs/>
          <w:sz w:val="32"/>
          <w:szCs w:val="32"/>
        </w:rPr>
        <w:t xml:space="preserve">  </w:t>
      </w:r>
      <w:r w:rsidR="00705570" w:rsidRPr="00705570">
        <w:rPr>
          <w:b/>
          <w:bCs/>
          <w:sz w:val="36"/>
          <w:szCs w:val="36"/>
        </w:rPr>
        <w:t>Community Engagement</w:t>
      </w:r>
    </w:p>
    <w:p w14:paraId="1AB5D67E" w14:textId="599FE6FA" w:rsidR="00705570" w:rsidRDefault="00705570" w:rsidP="00705570">
      <w:pPr>
        <w:rPr>
          <w:b/>
          <w:bCs/>
          <w:sz w:val="36"/>
          <w:szCs w:val="36"/>
        </w:rPr>
      </w:pPr>
      <w:r w:rsidRPr="00705570">
        <w:rPr>
          <w:b/>
          <w:bCs/>
          <w:sz w:val="36"/>
          <w:szCs w:val="36"/>
        </w:rPr>
        <w:t xml:space="preserve">                                              Assessment 1</w:t>
      </w:r>
    </w:p>
    <w:p w14:paraId="56019C4B" w14:textId="77777777" w:rsidR="006B7746" w:rsidRPr="00705570" w:rsidRDefault="006B7746" w:rsidP="00705570">
      <w:pPr>
        <w:rPr>
          <w:b/>
          <w:bCs/>
          <w:sz w:val="36"/>
          <w:szCs w:val="36"/>
        </w:rPr>
      </w:pPr>
    </w:p>
    <w:p w14:paraId="02D5616E" w14:textId="7C1321FA" w:rsidR="00705570" w:rsidRPr="00705570" w:rsidRDefault="00705570" w:rsidP="00705570">
      <w:pPr>
        <w:rPr>
          <w:b/>
          <w:bCs/>
          <w:sz w:val="32"/>
          <w:szCs w:val="32"/>
        </w:rPr>
      </w:pPr>
    </w:p>
    <w:p w14:paraId="4CF2557F" w14:textId="192429F7" w:rsidR="00705570" w:rsidRPr="00705570" w:rsidRDefault="00705570" w:rsidP="00705570">
      <w:pPr>
        <w:rPr>
          <w:rFonts w:ascii="Times New Roman" w:hAnsi="Times New Roman" w:cs="Times New Roman"/>
          <w:b/>
          <w:bCs/>
          <w:i/>
          <w:iCs/>
          <w:sz w:val="32"/>
          <w:szCs w:val="32"/>
        </w:rPr>
      </w:pPr>
      <w:r>
        <w:rPr>
          <w:b/>
          <w:bCs/>
          <w:sz w:val="32"/>
          <w:szCs w:val="32"/>
        </w:rPr>
        <w:t xml:space="preserve">                 </w:t>
      </w:r>
      <w:r w:rsidRPr="00705570">
        <w:rPr>
          <w:rFonts w:ascii="Times New Roman" w:hAnsi="Times New Roman" w:cs="Times New Roman"/>
          <w:b/>
          <w:bCs/>
          <w:i/>
          <w:iCs/>
          <w:sz w:val="32"/>
          <w:szCs w:val="32"/>
        </w:rPr>
        <w:t>Local Authority Community Engagement Process</w:t>
      </w:r>
    </w:p>
    <w:p w14:paraId="24DECB60" w14:textId="20E6FA4C" w:rsidR="00705570" w:rsidRDefault="00705570" w:rsidP="00705570">
      <w:pPr>
        <w:rPr>
          <w:rFonts w:ascii="Times New Roman" w:hAnsi="Times New Roman" w:cs="Times New Roman"/>
          <w:b/>
          <w:bCs/>
          <w:i/>
          <w:iCs/>
          <w:sz w:val="32"/>
          <w:szCs w:val="32"/>
        </w:rPr>
      </w:pPr>
      <w:r w:rsidRPr="00705570">
        <w:rPr>
          <w:rFonts w:ascii="Times New Roman" w:hAnsi="Times New Roman" w:cs="Times New Roman"/>
          <w:b/>
          <w:bCs/>
          <w:i/>
          <w:iCs/>
          <w:sz w:val="32"/>
          <w:szCs w:val="32"/>
        </w:rPr>
        <w:t xml:space="preserve">                                                 Part </w:t>
      </w:r>
      <w:r w:rsidR="006B7746">
        <w:rPr>
          <w:rFonts w:ascii="Times New Roman" w:hAnsi="Times New Roman" w:cs="Times New Roman"/>
          <w:b/>
          <w:bCs/>
          <w:i/>
          <w:iCs/>
          <w:sz w:val="32"/>
          <w:szCs w:val="32"/>
        </w:rPr>
        <w:t>–</w:t>
      </w:r>
      <w:r w:rsidRPr="00705570">
        <w:rPr>
          <w:rFonts w:ascii="Times New Roman" w:hAnsi="Times New Roman" w:cs="Times New Roman"/>
          <w:b/>
          <w:bCs/>
          <w:i/>
          <w:iCs/>
          <w:sz w:val="32"/>
          <w:szCs w:val="32"/>
        </w:rPr>
        <w:t xml:space="preserve"> A</w:t>
      </w:r>
    </w:p>
    <w:p w14:paraId="252ACC51" w14:textId="77777777" w:rsidR="006B7746" w:rsidRDefault="006B7746" w:rsidP="00705570">
      <w:pPr>
        <w:rPr>
          <w:rFonts w:ascii="Times New Roman" w:hAnsi="Times New Roman" w:cs="Times New Roman"/>
          <w:b/>
          <w:bCs/>
          <w:i/>
          <w:iCs/>
          <w:sz w:val="32"/>
          <w:szCs w:val="32"/>
        </w:rPr>
      </w:pPr>
    </w:p>
    <w:p w14:paraId="681B432E" w14:textId="77777777" w:rsidR="006B7746" w:rsidRPr="00705570" w:rsidRDefault="006B7746" w:rsidP="00705570">
      <w:pPr>
        <w:rPr>
          <w:rFonts w:ascii="Times New Roman" w:hAnsi="Times New Roman" w:cs="Times New Roman"/>
          <w:b/>
          <w:bCs/>
          <w:i/>
          <w:iCs/>
          <w:sz w:val="32"/>
          <w:szCs w:val="32"/>
        </w:rPr>
      </w:pPr>
    </w:p>
    <w:p w14:paraId="36C56A78" w14:textId="77777777" w:rsidR="00705570" w:rsidRDefault="00705570" w:rsidP="00705570">
      <w:pPr>
        <w:rPr>
          <w:b/>
          <w:bCs/>
          <w:sz w:val="24"/>
          <w:szCs w:val="24"/>
        </w:rPr>
      </w:pPr>
    </w:p>
    <w:p w14:paraId="12E6EDE7" w14:textId="77777777" w:rsidR="00705570" w:rsidRPr="006B7746" w:rsidRDefault="00705570" w:rsidP="00705570">
      <w:pPr>
        <w:rPr>
          <w:rFonts w:ascii="Times New Roman" w:hAnsi="Times New Roman" w:cs="Times New Roman"/>
          <w:b/>
          <w:bCs/>
          <w:i/>
          <w:iCs/>
          <w:sz w:val="28"/>
          <w:szCs w:val="28"/>
        </w:rPr>
      </w:pPr>
      <w:r w:rsidRPr="006B7746">
        <w:rPr>
          <w:rFonts w:ascii="Times New Roman" w:hAnsi="Times New Roman" w:cs="Times New Roman"/>
          <w:b/>
          <w:bCs/>
          <w:i/>
          <w:iCs/>
          <w:sz w:val="28"/>
          <w:szCs w:val="28"/>
        </w:rPr>
        <w:t>Programme:               BA Business Management</w:t>
      </w:r>
    </w:p>
    <w:p w14:paraId="2C196E25" w14:textId="4DE9552C" w:rsidR="00705570" w:rsidRPr="006B7746" w:rsidRDefault="00705570" w:rsidP="00705570">
      <w:pPr>
        <w:rPr>
          <w:rFonts w:ascii="Times New Roman" w:hAnsi="Times New Roman" w:cs="Times New Roman"/>
          <w:b/>
          <w:bCs/>
          <w:i/>
          <w:iCs/>
          <w:sz w:val="28"/>
          <w:szCs w:val="28"/>
        </w:rPr>
      </w:pPr>
      <w:r w:rsidRPr="006B7746">
        <w:rPr>
          <w:rFonts w:ascii="Times New Roman" w:hAnsi="Times New Roman" w:cs="Times New Roman"/>
          <w:b/>
          <w:bCs/>
          <w:i/>
          <w:iCs/>
          <w:sz w:val="28"/>
          <w:szCs w:val="28"/>
        </w:rPr>
        <w:t xml:space="preserve">Module:                      </w:t>
      </w:r>
      <w:r w:rsidR="006B7746" w:rsidRPr="006B7746">
        <w:rPr>
          <w:rFonts w:ascii="Times New Roman" w:hAnsi="Times New Roman" w:cs="Times New Roman"/>
          <w:b/>
          <w:bCs/>
          <w:i/>
          <w:iCs/>
          <w:sz w:val="28"/>
          <w:szCs w:val="28"/>
        </w:rPr>
        <w:t>Community Engagement</w:t>
      </w:r>
    </w:p>
    <w:p w14:paraId="2187A6A3" w14:textId="662A8601" w:rsidR="00705570" w:rsidRPr="006B7746" w:rsidRDefault="00705570" w:rsidP="00705570">
      <w:pPr>
        <w:rPr>
          <w:rFonts w:ascii="Times New Roman" w:hAnsi="Times New Roman" w:cs="Times New Roman"/>
          <w:b/>
          <w:bCs/>
          <w:i/>
          <w:iCs/>
          <w:sz w:val="28"/>
          <w:szCs w:val="28"/>
        </w:rPr>
      </w:pPr>
      <w:r w:rsidRPr="006B7746">
        <w:rPr>
          <w:rFonts w:ascii="Times New Roman" w:hAnsi="Times New Roman" w:cs="Times New Roman"/>
          <w:b/>
          <w:bCs/>
          <w:i/>
          <w:iCs/>
          <w:sz w:val="28"/>
          <w:szCs w:val="28"/>
        </w:rPr>
        <w:t>Module Code:             LCBB 4002</w:t>
      </w:r>
    </w:p>
    <w:p w14:paraId="4DEEE869" w14:textId="0790B463" w:rsidR="00705570" w:rsidRPr="006B7746" w:rsidRDefault="00705570" w:rsidP="00705570">
      <w:pPr>
        <w:rPr>
          <w:rFonts w:ascii="Times New Roman" w:hAnsi="Times New Roman" w:cs="Times New Roman"/>
          <w:b/>
          <w:bCs/>
          <w:i/>
          <w:iCs/>
          <w:sz w:val="28"/>
          <w:szCs w:val="28"/>
        </w:rPr>
      </w:pPr>
      <w:r w:rsidRPr="006B7746">
        <w:rPr>
          <w:rFonts w:ascii="Times New Roman" w:hAnsi="Times New Roman" w:cs="Times New Roman"/>
          <w:b/>
          <w:bCs/>
          <w:i/>
          <w:iCs/>
          <w:sz w:val="28"/>
          <w:szCs w:val="28"/>
        </w:rPr>
        <w:t xml:space="preserve">Module coordinator: </w:t>
      </w:r>
      <w:r w:rsidR="006B7746" w:rsidRPr="006B7746">
        <w:rPr>
          <w:rFonts w:ascii="Times New Roman" w:hAnsi="Times New Roman" w:cs="Times New Roman"/>
          <w:b/>
          <w:bCs/>
          <w:i/>
          <w:iCs/>
          <w:sz w:val="28"/>
          <w:szCs w:val="28"/>
        </w:rPr>
        <w:t>Nadeem Mirza</w:t>
      </w:r>
    </w:p>
    <w:p w14:paraId="5F003131" w14:textId="5EB105A5" w:rsidR="00705570" w:rsidRDefault="00705570" w:rsidP="00705570">
      <w:pPr>
        <w:rPr>
          <w:rFonts w:ascii="Times New Roman" w:hAnsi="Times New Roman" w:cs="Times New Roman"/>
          <w:b/>
          <w:bCs/>
          <w:i/>
          <w:iCs/>
          <w:sz w:val="28"/>
          <w:szCs w:val="28"/>
        </w:rPr>
      </w:pPr>
      <w:r w:rsidRPr="006B7746">
        <w:rPr>
          <w:rFonts w:ascii="Times New Roman" w:hAnsi="Times New Roman" w:cs="Times New Roman"/>
          <w:b/>
          <w:bCs/>
          <w:i/>
          <w:iCs/>
          <w:sz w:val="28"/>
          <w:szCs w:val="28"/>
        </w:rPr>
        <w:t>Student name:            Gabriela Gherasim</w:t>
      </w:r>
    </w:p>
    <w:p w14:paraId="3CC7B838" w14:textId="0B0E0723" w:rsidR="006B7746" w:rsidRPr="006B7746" w:rsidRDefault="006B7746" w:rsidP="00705570">
      <w:pPr>
        <w:rPr>
          <w:rFonts w:ascii="Times New Roman" w:hAnsi="Times New Roman" w:cs="Times New Roman"/>
          <w:b/>
          <w:bCs/>
          <w:i/>
          <w:iCs/>
          <w:sz w:val="28"/>
          <w:szCs w:val="28"/>
        </w:rPr>
      </w:pPr>
      <w:r>
        <w:rPr>
          <w:rFonts w:ascii="Times New Roman" w:hAnsi="Times New Roman" w:cs="Times New Roman"/>
          <w:b/>
          <w:bCs/>
          <w:i/>
          <w:iCs/>
          <w:sz w:val="28"/>
          <w:szCs w:val="28"/>
        </w:rPr>
        <w:t>Student number:        2110945</w:t>
      </w:r>
    </w:p>
    <w:p w14:paraId="3FC35552" w14:textId="77777777" w:rsidR="00705570" w:rsidRPr="00705570" w:rsidRDefault="00705570" w:rsidP="00705570">
      <w:pPr>
        <w:rPr>
          <w:b/>
          <w:bCs/>
          <w:sz w:val="24"/>
          <w:szCs w:val="24"/>
        </w:rPr>
      </w:pPr>
    </w:p>
    <w:p w14:paraId="4082432B" w14:textId="11A2FFE8" w:rsidR="00705570" w:rsidRPr="00705570" w:rsidRDefault="00705570" w:rsidP="00705570">
      <w:pPr>
        <w:rPr>
          <w:b/>
          <w:bCs/>
          <w:sz w:val="24"/>
          <w:szCs w:val="24"/>
        </w:rPr>
      </w:pPr>
      <w:r w:rsidRPr="00705570">
        <w:rPr>
          <w:b/>
          <w:bCs/>
          <w:sz w:val="24"/>
          <w:szCs w:val="24"/>
        </w:rPr>
        <w:t xml:space="preserve">                  </w:t>
      </w:r>
    </w:p>
    <w:p w14:paraId="60579E30" w14:textId="77777777" w:rsidR="00705570" w:rsidRPr="00705570" w:rsidRDefault="00705570" w:rsidP="00705570">
      <w:pPr>
        <w:rPr>
          <w:b/>
          <w:bCs/>
          <w:sz w:val="24"/>
          <w:szCs w:val="24"/>
        </w:rPr>
      </w:pPr>
    </w:p>
    <w:p w14:paraId="1C5C81EA" w14:textId="77777777" w:rsidR="00705570" w:rsidRPr="00705570" w:rsidRDefault="00705570" w:rsidP="00705570">
      <w:pPr>
        <w:rPr>
          <w:b/>
          <w:bCs/>
          <w:sz w:val="24"/>
          <w:szCs w:val="24"/>
        </w:rPr>
      </w:pPr>
    </w:p>
    <w:p w14:paraId="73ADFCC6" w14:textId="77777777" w:rsidR="00705570" w:rsidRDefault="00705570" w:rsidP="006D66B3">
      <w:pPr>
        <w:rPr>
          <w:b/>
          <w:bCs/>
          <w:sz w:val="24"/>
          <w:szCs w:val="24"/>
        </w:rPr>
      </w:pPr>
    </w:p>
    <w:p w14:paraId="15BC3066" w14:textId="77777777" w:rsidR="00705570" w:rsidRDefault="00705570" w:rsidP="006D66B3">
      <w:pPr>
        <w:rPr>
          <w:b/>
          <w:bCs/>
          <w:sz w:val="24"/>
          <w:szCs w:val="24"/>
        </w:rPr>
      </w:pPr>
    </w:p>
    <w:p w14:paraId="677286D5" w14:textId="77777777" w:rsidR="00F45D14" w:rsidRDefault="00F45D14" w:rsidP="006D66B3">
      <w:pPr>
        <w:rPr>
          <w:b/>
          <w:bCs/>
          <w:sz w:val="24"/>
          <w:szCs w:val="24"/>
        </w:rPr>
      </w:pPr>
    </w:p>
    <w:p w14:paraId="010D4588" w14:textId="1B6AB370" w:rsidR="00705570" w:rsidRPr="00705570" w:rsidRDefault="00705570" w:rsidP="006D66B3">
      <w:pPr>
        <w:rPr>
          <w:b/>
          <w:bCs/>
          <w:sz w:val="24"/>
          <w:szCs w:val="24"/>
        </w:rPr>
      </w:pPr>
      <w:r w:rsidRPr="00705570">
        <w:rPr>
          <w:b/>
          <w:bCs/>
          <w:sz w:val="24"/>
          <w:szCs w:val="24"/>
        </w:rPr>
        <w:lastRenderedPageBreak/>
        <w:t>Table of Contents</w:t>
      </w:r>
    </w:p>
    <w:p w14:paraId="086EA241" w14:textId="77777777" w:rsidR="00705570" w:rsidRDefault="00705570" w:rsidP="006D66B3">
      <w:pPr>
        <w:rPr>
          <w:b/>
          <w:bCs/>
        </w:rPr>
      </w:pPr>
    </w:p>
    <w:p w14:paraId="71D07EE3" w14:textId="749F3187" w:rsidR="00705570" w:rsidRPr="00705570" w:rsidRDefault="00705570" w:rsidP="006D66B3">
      <w:pPr>
        <w:rPr>
          <w:rFonts w:asciiTheme="majorHAnsi" w:hAnsiTheme="majorHAnsi" w:cstheme="majorHAnsi"/>
          <w:b/>
          <w:bCs/>
        </w:rPr>
      </w:pPr>
      <w:r w:rsidRPr="00705570">
        <w:rPr>
          <w:rFonts w:asciiTheme="majorHAnsi" w:hAnsiTheme="majorHAnsi" w:cstheme="majorHAnsi"/>
          <w:b/>
          <w:bCs/>
        </w:rPr>
        <w:t>Introduction</w:t>
      </w:r>
      <w:r w:rsidR="006B7746">
        <w:rPr>
          <w:rFonts w:asciiTheme="majorHAnsi" w:hAnsiTheme="majorHAnsi" w:cstheme="majorHAnsi"/>
          <w:b/>
          <w:bCs/>
        </w:rPr>
        <w:t xml:space="preserve"> ………………………………………………………………………………………………………………………………… 3</w:t>
      </w:r>
    </w:p>
    <w:p w14:paraId="54742A09" w14:textId="716C5EE8" w:rsidR="00705570" w:rsidRPr="00705570" w:rsidRDefault="00705570" w:rsidP="006D66B3">
      <w:pPr>
        <w:rPr>
          <w:rFonts w:asciiTheme="majorHAnsi" w:hAnsiTheme="majorHAnsi" w:cstheme="majorHAnsi"/>
          <w:b/>
          <w:bCs/>
        </w:rPr>
      </w:pPr>
      <w:r w:rsidRPr="00705570">
        <w:rPr>
          <w:rFonts w:asciiTheme="majorHAnsi" w:hAnsiTheme="majorHAnsi" w:cstheme="majorHAnsi"/>
          <w:b/>
          <w:bCs/>
        </w:rPr>
        <w:t>Definition of the project</w:t>
      </w:r>
      <w:r w:rsidR="006B7746">
        <w:rPr>
          <w:rFonts w:asciiTheme="majorHAnsi" w:hAnsiTheme="majorHAnsi" w:cstheme="majorHAnsi"/>
          <w:b/>
          <w:bCs/>
        </w:rPr>
        <w:t xml:space="preserve"> ……………………………………………………………………………………………………………… 3</w:t>
      </w:r>
    </w:p>
    <w:p w14:paraId="4FAB69D9" w14:textId="6581ED54" w:rsidR="00705570" w:rsidRPr="00705570" w:rsidRDefault="00705570" w:rsidP="006D66B3">
      <w:pPr>
        <w:rPr>
          <w:rFonts w:asciiTheme="majorHAnsi" w:hAnsiTheme="majorHAnsi" w:cstheme="majorHAnsi"/>
          <w:b/>
          <w:bCs/>
        </w:rPr>
      </w:pPr>
      <w:r w:rsidRPr="00705570">
        <w:rPr>
          <w:rFonts w:asciiTheme="majorHAnsi" w:hAnsiTheme="majorHAnsi" w:cstheme="majorHAnsi"/>
          <w:b/>
          <w:bCs/>
        </w:rPr>
        <w:t>Relationship with Stakeholders</w:t>
      </w:r>
      <w:r w:rsidR="006B7746">
        <w:rPr>
          <w:rFonts w:asciiTheme="majorHAnsi" w:hAnsiTheme="majorHAnsi" w:cstheme="majorHAnsi"/>
          <w:b/>
          <w:bCs/>
        </w:rPr>
        <w:t xml:space="preserve"> …………………………………………………………………………………………………… 4</w:t>
      </w:r>
    </w:p>
    <w:p w14:paraId="5371051E" w14:textId="70A8D949" w:rsidR="00705570" w:rsidRPr="00705570" w:rsidRDefault="00705570" w:rsidP="006D66B3">
      <w:pPr>
        <w:rPr>
          <w:rFonts w:asciiTheme="majorHAnsi" w:hAnsiTheme="majorHAnsi" w:cstheme="majorHAnsi"/>
          <w:b/>
          <w:bCs/>
        </w:rPr>
      </w:pPr>
      <w:r w:rsidRPr="00705570">
        <w:rPr>
          <w:rFonts w:asciiTheme="majorHAnsi" w:hAnsiTheme="majorHAnsi" w:cstheme="majorHAnsi"/>
          <w:b/>
          <w:bCs/>
        </w:rPr>
        <w:t>Social media strategies for cultural awareness and appreciation</w:t>
      </w:r>
      <w:r w:rsidR="006B7746">
        <w:rPr>
          <w:rFonts w:asciiTheme="majorHAnsi" w:hAnsiTheme="majorHAnsi" w:cstheme="majorHAnsi"/>
          <w:b/>
          <w:bCs/>
        </w:rPr>
        <w:t xml:space="preserve"> ………………………………………………..  4</w:t>
      </w:r>
    </w:p>
    <w:p w14:paraId="75E6050F" w14:textId="21A84170" w:rsidR="00705570" w:rsidRPr="00705570" w:rsidRDefault="00705570" w:rsidP="006D66B3">
      <w:pPr>
        <w:rPr>
          <w:rFonts w:asciiTheme="majorHAnsi" w:hAnsiTheme="majorHAnsi" w:cstheme="majorHAnsi"/>
          <w:b/>
          <w:bCs/>
        </w:rPr>
      </w:pPr>
      <w:r w:rsidRPr="00705570">
        <w:rPr>
          <w:rFonts w:asciiTheme="majorHAnsi" w:hAnsiTheme="majorHAnsi" w:cstheme="majorHAnsi"/>
          <w:b/>
          <w:bCs/>
        </w:rPr>
        <w:t>A Prospective Method</w:t>
      </w:r>
      <w:r w:rsidR="006B7746">
        <w:rPr>
          <w:rFonts w:asciiTheme="majorHAnsi" w:hAnsiTheme="majorHAnsi" w:cstheme="majorHAnsi"/>
          <w:b/>
          <w:bCs/>
        </w:rPr>
        <w:t xml:space="preserve"> ………………………………………………………………………………………………………………… 5</w:t>
      </w:r>
    </w:p>
    <w:p w14:paraId="079C013A" w14:textId="3C36B8CD" w:rsidR="00705570" w:rsidRPr="00705570" w:rsidRDefault="00705570" w:rsidP="006D66B3">
      <w:pPr>
        <w:rPr>
          <w:rFonts w:asciiTheme="majorHAnsi" w:hAnsiTheme="majorHAnsi" w:cstheme="majorHAnsi"/>
          <w:b/>
          <w:bCs/>
        </w:rPr>
      </w:pPr>
      <w:r w:rsidRPr="00705570">
        <w:rPr>
          <w:rFonts w:asciiTheme="majorHAnsi" w:hAnsiTheme="majorHAnsi" w:cstheme="majorHAnsi"/>
          <w:b/>
          <w:bCs/>
        </w:rPr>
        <w:t>Conclusion</w:t>
      </w:r>
      <w:r w:rsidR="006B7746">
        <w:rPr>
          <w:rFonts w:asciiTheme="majorHAnsi" w:hAnsiTheme="majorHAnsi" w:cstheme="majorHAnsi"/>
          <w:b/>
          <w:bCs/>
        </w:rPr>
        <w:t xml:space="preserve"> ………………………………………………………………………………………………………………………………….. 5</w:t>
      </w:r>
    </w:p>
    <w:p w14:paraId="61E2D948" w14:textId="2F0CC15E" w:rsidR="00705570" w:rsidRPr="00705570" w:rsidRDefault="00705570" w:rsidP="006D66B3">
      <w:pPr>
        <w:rPr>
          <w:rFonts w:asciiTheme="majorHAnsi" w:hAnsiTheme="majorHAnsi" w:cstheme="majorHAnsi"/>
          <w:b/>
          <w:bCs/>
        </w:rPr>
      </w:pPr>
      <w:r w:rsidRPr="00705570">
        <w:rPr>
          <w:rFonts w:asciiTheme="majorHAnsi" w:hAnsiTheme="majorHAnsi" w:cstheme="majorHAnsi"/>
          <w:b/>
          <w:bCs/>
        </w:rPr>
        <w:t>Reference List</w:t>
      </w:r>
      <w:r w:rsidR="006B7746">
        <w:rPr>
          <w:rFonts w:asciiTheme="majorHAnsi" w:hAnsiTheme="majorHAnsi" w:cstheme="majorHAnsi"/>
          <w:b/>
          <w:bCs/>
        </w:rPr>
        <w:t xml:space="preserve"> ……………………………………………………………………………………………………………………………… 6</w:t>
      </w:r>
    </w:p>
    <w:p w14:paraId="0829AE40" w14:textId="77777777" w:rsidR="00705570" w:rsidRDefault="00705570" w:rsidP="006D66B3">
      <w:pPr>
        <w:rPr>
          <w:b/>
          <w:bCs/>
        </w:rPr>
      </w:pPr>
    </w:p>
    <w:p w14:paraId="41C08D7E" w14:textId="77777777" w:rsidR="00705570" w:rsidRDefault="00705570" w:rsidP="006D66B3">
      <w:pPr>
        <w:rPr>
          <w:b/>
          <w:bCs/>
        </w:rPr>
      </w:pPr>
    </w:p>
    <w:p w14:paraId="76BE40D8" w14:textId="77777777" w:rsidR="00705570" w:rsidRDefault="00705570" w:rsidP="006D66B3">
      <w:pPr>
        <w:rPr>
          <w:b/>
          <w:bCs/>
        </w:rPr>
      </w:pPr>
    </w:p>
    <w:p w14:paraId="26CE82E4" w14:textId="77777777" w:rsidR="00705570" w:rsidRDefault="00705570" w:rsidP="006D66B3">
      <w:pPr>
        <w:rPr>
          <w:b/>
          <w:bCs/>
        </w:rPr>
      </w:pPr>
    </w:p>
    <w:p w14:paraId="5C6AB76B" w14:textId="77777777" w:rsidR="00705570" w:rsidRDefault="00705570" w:rsidP="006D66B3">
      <w:pPr>
        <w:rPr>
          <w:b/>
          <w:bCs/>
        </w:rPr>
      </w:pPr>
    </w:p>
    <w:p w14:paraId="24EAE92E" w14:textId="77777777" w:rsidR="00705570" w:rsidRDefault="00705570" w:rsidP="006D66B3">
      <w:pPr>
        <w:rPr>
          <w:b/>
          <w:bCs/>
        </w:rPr>
      </w:pPr>
    </w:p>
    <w:p w14:paraId="1FCCF759" w14:textId="77777777" w:rsidR="00705570" w:rsidRDefault="00705570" w:rsidP="006D66B3">
      <w:pPr>
        <w:rPr>
          <w:b/>
          <w:bCs/>
        </w:rPr>
      </w:pPr>
    </w:p>
    <w:p w14:paraId="652BC044" w14:textId="77777777" w:rsidR="00705570" w:rsidRDefault="00705570" w:rsidP="006D66B3">
      <w:pPr>
        <w:rPr>
          <w:b/>
          <w:bCs/>
        </w:rPr>
      </w:pPr>
    </w:p>
    <w:p w14:paraId="5B1E7C45" w14:textId="77777777" w:rsidR="00705570" w:rsidRDefault="00705570" w:rsidP="006D66B3">
      <w:pPr>
        <w:rPr>
          <w:b/>
          <w:bCs/>
        </w:rPr>
      </w:pPr>
    </w:p>
    <w:p w14:paraId="74D29AF7" w14:textId="77777777" w:rsidR="00705570" w:rsidRDefault="00705570" w:rsidP="006D66B3">
      <w:pPr>
        <w:rPr>
          <w:b/>
          <w:bCs/>
        </w:rPr>
      </w:pPr>
    </w:p>
    <w:p w14:paraId="04EE9729" w14:textId="77777777" w:rsidR="00705570" w:rsidRDefault="00705570" w:rsidP="006D66B3">
      <w:pPr>
        <w:rPr>
          <w:b/>
          <w:bCs/>
        </w:rPr>
      </w:pPr>
    </w:p>
    <w:p w14:paraId="6A013E9F" w14:textId="77777777" w:rsidR="00705570" w:rsidRDefault="00705570" w:rsidP="006D66B3">
      <w:pPr>
        <w:rPr>
          <w:b/>
          <w:bCs/>
        </w:rPr>
      </w:pPr>
    </w:p>
    <w:p w14:paraId="55AA15A7" w14:textId="77777777" w:rsidR="00705570" w:rsidRDefault="00705570" w:rsidP="006D66B3">
      <w:pPr>
        <w:rPr>
          <w:b/>
          <w:bCs/>
        </w:rPr>
      </w:pPr>
    </w:p>
    <w:p w14:paraId="1819B3C9" w14:textId="77777777" w:rsidR="00705570" w:rsidRDefault="00705570" w:rsidP="006D66B3">
      <w:pPr>
        <w:rPr>
          <w:b/>
          <w:bCs/>
        </w:rPr>
      </w:pPr>
    </w:p>
    <w:p w14:paraId="4AC0C5AF" w14:textId="77777777" w:rsidR="00705570" w:rsidRDefault="00705570" w:rsidP="006D66B3">
      <w:pPr>
        <w:rPr>
          <w:b/>
          <w:bCs/>
        </w:rPr>
      </w:pPr>
    </w:p>
    <w:p w14:paraId="41EF538F" w14:textId="77777777" w:rsidR="00705570" w:rsidRDefault="00705570" w:rsidP="006D66B3">
      <w:pPr>
        <w:rPr>
          <w:b/>
          <w:bCs/>
        </w:rPr>
      </w:pPr>
    </w:p>
    <w:p w14:paraId="71E1AFD3" w14:textId="77777777" w:rsidR="00705570" w:rsidRDefault="00705570" w:rsidP="006D66B3">
      <w:pPr>
        <w:rPr>
          <w:b/>
          <w:bCs/>
        </w:rPr>
      </w:pPr>
    </w:p>
    <w:p w14:paraId="31930372" w14:textId="77777777" w:rsidR="00705570" w:rsidRDefault="00705570" w:rsidP="006D66B3">
      <w:pPr>
        <w:rPr>
          <w:b/>
          <w:bCs/>
        </w:rPr>
      </w:pPr>
    </w:p>
    <w:p w14:paraId="2132AD37" w14:textId="77777777" w:rsidR="00705570" w:rsidRDefault="00705570" w:rsidP="006D66B3">
      <w:pPr>
        <w:rPr>
          <w:b/>
          <w:bCs/>
        </w:rPr>
      </w:pPr>
      <w:bookmarkStart w:id="0" w:name="_Hlk141719957"/>
    </w:p>
    <w:p w14:paraId="5E3CC5D6" w14:textId="77777777" w:rsidR="00D85552" w:rsidRDefault="00D85552" w:rsidP="006D66B3">
      <w:pPr>
        <w:rPr>
          <w:b/>
          <w:bCs/>
        </w:rPr>
      </w:pPr>
    </w:p>
    <w:p w14:paraId="3507F2F9" w14:textId="77777777" w:rsidR="00D85552" w:rsidRDefault="00D85552" w:rsidP="006D66B3">
      <w:pPr>
        <w:rPr>
          <w:b/>
          <w:bCs/>
        </w:rPr>
      </w:pPr>
    </w:p>
    <w:p w14:paraId="1FA306E5" w14:textId="77777777" w:rsidR="00705570" w:rsidRDefault="00705570" w:rsidP="006D66B3">
      <w:pPr>
        <w:rPr>
          <w:b/>
          <w:bCs/>
        </w:rPr>
      </w:pPr>
    </w:p>
    <w:p w14:paraId="2D6235BB" w14:textId="302BE954" w:rsidR="006D66B3" w:rsidRPr="000060A1" w:rsidRDefault="000060A1" w:rsidP="006D66B3">
      <w:pPr>
        <w:rPr>
          <w:b/>
          <w:bCs/>
        </w:rPr>
      </w:pPr>
      <w:r w:rsidRPr="000060A1">
        <w:rPr>
          <w:b/>
          <w:bCs/>
        </w:rPr>
        <w:lastRenderedPageBreak/>
        <w:t>I</w:t>
      </w:r>
      <w:r w:rsidR="006D66B3" w:rsidRPr="000060A1">
        <w:rPr>
          <w:b/>
          <w:bCs/>
        </w:rPr>
        <w:t>ntroduction</w:t>
      </w:r>
    </w:p>
    <w:bookmarkEnd w:id="0"/>
    <w:p w14:paraId="1EEE90AA" w14:textId="68F8C08A" w:rsidR="00495319" w:rsidRDefault="000060A1" w:rsidP="006D66B3">
      <w:r>
        <w:t xml:space="preserve">   </w:t>
      </w:r>
      <w:r w:rsidR="006D66B3">
        <w:t>Community involvement is an intentional action with the specific goal of interacting with many types of groups and promoting multiculturalism by raising community participation. It is essential for associates to transmit information and communicate effectively. This involves social media platforms, stakeholder organisations, and local governments in addition to collaborative decision-making with partners. It eventually results in the growth of a bigger community. Participation in the community is crucial for society since it improves environmental and behavioural conditions. Participation aids in conveying the impact of community benefit to a decision-making organisation. The purpose of The Big Lunch, the biggest event in the UK, is to foster new relationships and celebrate community. Big Lunch can add 3.3 million additional subscribers by the year 2020. The majority of participants—nearly 85%—said that the project has been very successful in raising community awareness. It may promote neighbourhood cooperation. Your stakeholders will gain from you if you establish a solid relationship with them. The exhibition's objective is to increase the understanding of the necessity of community participation while also highlighting the relevance of stakeholder interaction and social media methods.</w:t>
      </w:r>
    </w:p>
    <w:p w14:paraId="4FBED34C" w14:textId="467253D6" w:rsidR="008F1132" w:rsidRPr="000060A1" w:rsidRDefault="000060A1" w:rsidP="008F1132">
      <w:pPr>
        <w:rPr>
          <w:b/>
          <w:bCs/>
        </w:rPr>
      </w:pPr>
      <w:bookmarkStart w:id="1" w:name="_Hlk141719978"/>
      <w:r>
        <w:rPr>
          <w:b/>
          <w:bCs/>
        </w:rPr>
        <w:t>D</w:t>
      </w:r>
      <w:r w:rsidR="008F1132" w:rsidRPr="000060A1">
        <w:rPr>
          <w:b/>
          <w:bCs/>
        </w:rPr>
        <w:t>efinition of the project</w:t>
      </w:r>
    </w:p>
    <w:bookmarkEnd w:id="1"/>
    <w:p w14:paraId="54BA08A3" w14:textId="071BF55C" w:rsidR="000060A1" w:rsidRDefault="000060A1" w:rsidP="000060A1">
      <w:pPr>
        <w:pStyle w:val="NoSpacing"/>
      </w:pPr>
      <w:r>
        <w:t xml:space="preserve">   </w:t>
      </w:r>
      <w:r w:rsidR="008F1132">
        <w:t xml:space="preserve">Big Lunch is an effort to bring people </w:t>
      </w:r>
      <w:r w:rsidR="00F45D14">
        <w:t>together, to</w:t>
      </w:r>
      <w:r w:rsidR="00F83ED5">
        <w:t xml:space="preserve"> increase community engagement and reduce social isolation.</w:t>
      </w:r>
      <w:r w:rsidR="008F1132">
        <w:t xml:space="preserve"> The Eden Project is responsible for this. In Britain and the rest of the Commonwealth, this is a well-known comedy classic. One such celebration is Thanksgiving Day. The spirit of togetherness that is at the heart of Thanksgiving informs The Big Lunch. In Great Britain, there is an annual celebration of community and neighbour appreciation. The Eden Project was able to have a thanksgiving event thanks to funding from the National Lottery. The first Big Lunch took place in June of 2009. Individuals need community to thrive (Engstrom, Docherty, &amp; Robertson, 2019). The smallest unit of a society is the neighbourhood, and the largest is the nation. It's simpler to function within a limited network. Here is where the neighbourhood and the community may be of assistance. A community's problems can be mitigated in part by strengthening neighbourhood ties and expanding the existing community.</w:t>
      </w:r>
    </w:p>
    <w:p w14:paraId="7724C67D" w14:textId="0E87C247" w:rsidR="008F1132" w:rsidRDefault="000060A1" w:rsidP="000060A1">
      <w:pPr>
        <w:pStyle w:val="NoSpacing"/>
      </w:pPr>
      <w:r>
        <w:t xml:space="preserve">   </w:t>
      </w:r>
      <w:r w:rsidR="008F1132">
        <w:t>The Big Lunch is an event organised by the community for the purpose of strengthening bonds between members. Meals will be used as a way of interaction</w:t>
      </w:r>
      <w:r w:rsidR="00C02366">
        <w:t>, s</w:t>
      </w:r>
      <w:r w:rsidR="008F1132">
        <w:t>haring a meal is a wonderful way to bond with others</w:t>
      </w:r>
      <w:r w:rsidR="00C02366">
        <w:t xml:space="preserve"> and also</w:t>
      </w:r>
      <w:r w:rsidR="008F1132">
        <w:t xml:space="preserve"> </w:t>
      </w:r>
      <w:r w:rsidR="00C02366">
        <w:t>a</w:t>
      </w:r>
      <w:r w:rsidR="008F1132">
        <w:t xml:space="preserve"> gathering of friends and neighbours is marked by a meal shared together. There is a positive effect on neighbourhood and community ties (Eden Project, 2022). The Big Lunch concept encouraged group effort by bringing people from different neighbourhoods together</w:t>
      </w:r>
      <w:r w:rsidR="00C02366">
        <w:t xml:space="preserve"> and the</w:t>
      </w:r>
      <w:r w:rsidR="008F1132">
        <w:t xml:space="preserve"> situation is back to normal now. Ideas emerge from a variety of sources, and these provide unique angles on issues and approaches to solving them. People are better able to socialise and feel less isolated as a result. When people of many backgrounds and traditions join together</w:t>
      </w:r>
      <w:r w:rsidR="00C02366">
        <w:t xml:space="preserve"> the diversity</w:t>
      </w:r>
      <w:r w:rsidR="008F1132">
        <w:t xml:space="preserve"> is honoured. Acquiring and honouring cultural knowledge is accomplished. Create a global community is the goal of The Big Lunch (Parry, 2020). In 2009, regular people were given the chance to host their own Big Lunch event in their community. More than 6 million people from all over the world showed up for the event. Any size group is welcome to participate in The Big Lunch. The Big Lunch can take numerous forms, from online petitions to citywide block celebrations</w:t>
      </w:r>
      <w:r w:rsidR="00C02366">
        <w:t xml:space="preserve"> or to</w:t>
      </w:r>
      <w:r w:rsidR="008F1132">
        <w:t xml:space="preserve"> get</w:t>
      </w:r>
      <w:r w:rsidR="00C02366">
        <w:t xml:space="preserve"> </w:t>
      </w:r>
      <w:r w:rsidR="008F1132">
        <w:t>together in someone's garden. Every participant plays a role in setting the agenda for the gathering</w:t>
      </w:r>
      <w:r w:rsidR="00C02366">
        <w:t xml:space="preserve"> which b</w:t>
      </w:r>
      <w:r w:rsidR="008F1132">
        <w:t xml:space="preserve">ring whatever </w:t>
      </w:r>
      <w:r w:rsidR="00C02366">
        <w:t>as</w:t>
      </w:r>
      <w:r w:rsidR="008F1132">
        <w:t xml:space="preserve"> required, such as refreshments, seating, equipment, and entertainment.</w:t>
      </w:r>
    </w:p>
    <w:p w14:paraId="32C03CF2" w14:textId="77F214E0" w:rsidR="008F1132" w:rsidRDefault="000060A1" w:rsidP="000060A1">
      <w:pPr>
        <w:pStyle w:val="NoSpacing"/>
      </w:pPr>
      <w:r>
        <w:t xml:space="preserve">  </w:t>
      </w:r>
      <w:r w:rsidR="008F1132">
        <w:t>The Big Lunch is an annual party where neighbours meet up and have a good time with one another. Recreational options are made available, and community morale is bolstered as a result</w:t>
      </w:r>
      <w:r w:rsidR="00C02366">
        <w:t xml:space="preserve"> and also</w:t>
      </w:r>
      <w:r w:rsidR="008F1132">
        <w:t xml:space="preserve"> </w:t>
      </w:r>
      <w:r w:rsidR="00C02366">
        <w:t>h</w:t>
      </w:r>
      <w:r w:rsidR="008F1132">
        <w:t xml:space="preserve">aving fun is crucial to maintaining a sound body and mind. Tripod rides, musical chairs, games, and other events are only some of the options (Tironi, 2020). Everyone has a chance to share their talents in dance, singing, and more during the many </w:t>
      </w:r>
      <w:r w:rsidR="00C02366">
        <w:t>talents</w:t>
      </w:r>
      <w:r w:rsidR="008F1132">
        <w:t xml:space="preserve"> showcases that are often held</w:t>
      </w:r>
      <w:r w:rsidR="00C02366">
        <w:t xml:space="preserve"> a</w:t>
      </w:r>
      <w:r w:rsidR="008F1132">
        <w:t>bility to lead effectively grows. Community-based projects are great for building team spirit</w:t>
      </w:r>
      <w:r w:rsidR="00C02366">
        <w:t>, and</w:t>
      </w:r>
      <w:r w:rsidR="008F1132">
        <w:t xml:space="preserve"> The Big </w:t>
      </w:r>
      <w:r w:rsidR="008F1132">
        <w:lastRenderedPageBreak/>
        <w:t>Lunch is an efficient community engagement project that serves an important goal even as it entertains and delights its attendees.</w:t>
      </w:r>
    </w:p>
    <w:p w14:paraId="1F380AD6" w14:textId="77777777" w:rsidR="008F1132" w:rsidRDefault="008F1132" w:rsidP="008F1132"/>
    <w:p w14:paraId="29265AD6" w14:textId="77777777" w:rsidR="008F1132" w:rsidRPr="000060A1" w:rsidRDefault="008F1132" w:rsidP="008F1132">
      <w:pPr>
        <w:rPr>
          <w:b/>
          <w:bCs/>
        </w:rPr>
      </w:pPr>
      <w:bookmarkStart w:id="2" w:name="_Hlk141719997"/>
      <w:r w:rsidRPr="000060A1">
        <w:rPr>
          <w:b/>
          <w:bCs/>
        </w:rPr>
        <w:t>Relationship with Stakeholders</w:t>
      </w:r>
    </w:p>
    <w:bookmarkEnd w:id="2"/>
    <w:p w14:paraId="4334868D" w14:textId="7C5EBEEA" w:rsidR="00585045" w:rsidRDefault="00C02366" w:rsidP="00585045">
      <w:pPr>
        <w:pStyle w:val="NoSpacing"/>
      </w:pPr>
      <w:r>
        <w:t xml:space="preserve">   </w:t>
      </w:r>
      <w:r w:rsidR="008F1132">
        <w:t>Participants in a community's activities are called stakeholders</w:t>
      </w:r>
      <w:r w:rsidR="00167B4B">
        <w:t>, t</w:t>
      </w:r>
      <w:r w:rsidR="008F1132">
        <w:t>hey have a substantial impact on the outcome</w:t>
      </w:r>
      <w:r w:rsidR="00167B4B">
        <w:t xml:space="preserve"> which including members</w:t>
      </w:r>
      <w:r w:rsidR="008F1132">
        <w:t xml:space="preserve">, friends, family, and fans </w:t>
      </w:r>
      <w:r w:rsidR="00167B4B">
        <w:t>they</w:t>
      </w:r>
      <w:r w:rsidR="008F1132">
        <w:t xml:space="preserve"> all</w:t>
      </w:r>
      <w:r w:rsidR="00167B4B">
        <w:t xml:space="preserve"> are</w:t>
      </w:r>
      <w:r w:rsidR="008F1132">
        <w:t xml:space="preserve"> important </w:t>
      </w:r>
      <w:r w:rsidR="00167B4B">
        <w:t>for this project</w:t>
      </w:r>
      <w:r w:rsidR="008F1132">
        <w:t xml:space="preserve"> Big Lunch. Their contribution improves the outcome of the work</w:t>
      </w:r>
      <w:r w:rsidR="00167B4B">
        <w:t>, d</w:t>
      </w:r>
      <w:r w:rsidR="008F1132">
        <w:t xml:space="preserve">ecisions were made with input from relevant </w:t>
      </w:r>
      <w:r w:rsidR="00585045">
        <w:t>parties,</w:t>
      </w:r>
      <w:r w:rsidR="00167B4B">
        <w:t xml:space="preserve"> and t</w:t>
      </w:r>
      <w:r w:rsidR="008F1132">
        <w:t>he</w:t>
      </w:r>
      <w:r w:rsidR="00167B4B">
        <w:t xml:space="preserve">y </w:t>
      </w:r>
      <w:r w:rsidR="00585045">
        <w:t>get help</w:t>
      </w:r>
      <w:r w:rsidR="00167B4B">
        <w:t xml:space="preserve"> from</w:t>
      </w:r>
      <w:r w:rsidR="008F1132">
        <w:t xml:space="preserve"> word out to a massive audience. Better, more long-term choices can be made with their aid. </w:t>
      </w:r>
      <w:r w:rsidR="009F5591">
        <w:t xml:space="preserve">According to Tomhave et </w:t>
      </w:r>
      <w:r w:rsidR="00F45D14">
        <w:t>al, (</w:t>
      </w:r>
      <w:r w:rsidR="009F5591">
        <w:t>2020) t</w:t>
      </w:r>
      <w:r w:rsidR="008F1132">
        <w:t xml:space="preserve">he Big Lunch is an event that brings people together, and everyone in the community benefits from it . This not only helped to fortify the community, but it also made short work of solving a number of pressing social issues. Social media followers offer a variety of suggestions that expand The Big Lunch's audience to over a million. Increasing one's number of followers has a positive knock-on effect on a group's morale and effectiveness. </w:t>
      </w:r>
    </w:p>
    <w:p w14:paraId="3DD4D7A1" w14:textId="4C899F07" w:rsidR="00585045" w:rsidRDefault="00585045" w:rsidP="00585045">
      <w:pPr>
        <w:pStyle w:val="NoSpacing"/>
      </w:pPr>
      <w:r>
        <w:t xml:space="preserve">   </w:t>
      </w:r>
      <w:r w:rsidR="008F1132">
        <w:t>Members of Big Lunch who have profited from this event are a great source of motivation for others to sign up. Positive effects on the community, decreased isolation, and increased goodwill are all results of stakeholder decisions. Six years of assistance from The Big Fund were crucial. Since its inception, The Big Lunch has been studied extensively by the local government's awareness section. The Big Lunch is recommended by LG</w:t>
      </w:r>
      <w:r>
        <w:t>I</w:t>
      </w:r>
      <w:r w:rsidR="008F1132">
        <w:t xml:space="preserve">U </w:t>
      </w:r>
      <w:r w:rsidRPr="00585045">
        <w:t>(Local Government Information Unit)</w:t>
      </w:r>
      <w:r>
        <w:t xml:space="preserve"> </w:t>
      </w:r>
      <w:r w:rsidR="008F1132">
        <w:t>as an effective tool for developing long-term methods of communication. The Big Lunch is a natural and entertaining way to give back to the neighbourhood, the city, and the community as a whole (Puranik, 2021). Nearly eight and a half million people participate in The Big Lunch, making 2012 a jubilee year in Britain.</w:t>
      </w:r>
    </w:p>
    <w:p w14:paraId="785A5C9E" w14:textId="0B2318B6" w:rsidR="008F1132" w:rsidRDefault="00585045" w:rsidP="00585045">
      <w:pPr>
        <w:pStyle w:val="NoSpacing"/>
      </w:pPr>
      <w:r>
        <w:t xml:space="preserve">  </w:t>
      </w:r>
      <w:r w:rsidR="008F1132">
        <w:t xml:space="preserve"> Communities rely on councils to help them plan events in public spaces like parks, streets, and community centres. In addition to spreading cheer amongst one another, the annual calendar benefits from the celebration of Thanksgiving.</w:t>
      </w:r>
    </w:p>
    <w:p w14:paraId="6A8F2AC8" w14:textId="77777777" w:rsidR="00585045" w:rsidRDefault="00585045" w:rsidP="00585045">
      <w:pPr>
        <w:pStyle w:val="NoSpacing"/>
      </w:pPr>
    </w:p>
    <w:p w14:paraId="0352E084" w14:textId="5E1005AB" w:rsidR="00FE4340" w:rsidRPr="000060A1" w:rsidRDefault="00FE4340" w:rsidP="008F1132">
      <w:pPr>
        <w:rPr>
          <w:b/>
          <w:bCs/>
        </w:rPr>
      </w:pPr>
      <w:bookmarkStart w:id="3" w:name="_Hlk141720026"/>
      <w:r w:rsidRPr="000060A1">
        <w:rPr>
          <w:b/>
          <w:bCs/>
        </w:rPr>
        <w:t>Social media strategies for cultural awareness and appreciation.</w:t>
      </w:r>
    </w:p>
    <w:bookmarkEnd w:id="3"/>
    <w:p w14:paraId="42027A94" w14:textId="05F44793" w:rsidR="00FE4340" w:rsidRPr="00422C26" w:rsidRDefault="00422C26" w:rsidP="00422C26">
      <w:pPr>
        <w:pStyle w:val="NoSpacing"/>
      </w:pPr>
      <w:r>
        <w:t xml:space="preserve">   </w:t>
      </w:r>
      <w:r w:rsidR="00FE4340">
        <w:t>To increase participation in</w:t>
      </w:r>
      <w:r>
        <w:t xml:space="preserve"> The</w:t>
      </w:r>
      <w:r w:rsidR="00FE4340">
        <w:t xml:space="preserve"> Big Lunch and raise knowledge of the project, the organisers make excellent use of social media. The monthly community newsletter of the Eden Project is a digital calendar with all the latest information about future events</w:t>
      </w:r>
      <w:r>
        <w:t xml:space="preserve"> and t</w:t>
      </w:r>
      <w:r w:rsidR="00FE4340">
        <w:t xml:space="preserve">he details of several seminars </w:t>
      </w:r>
      <w:r>
        <w:t>of</w:t>
      </w:r>
      <w:r w:rsidR="00FE4340">
        <w:t xml:space="preserve"> sessions are provided. Opportunities to attend and host events are listed on the calendar.</w:t>
      </w:r>
      <w:bookmarkStart w:id="4" w:name="_Hlk141720050"/>
    </w:p>
    <w:bookmarkEnd w:id="4"/>
    <w:p w14:paraId="732A7274" w14:textId="77777777" w:rsidR="005F2AD5" w:rsidRDefault="00FE4340" w:rsidP="00422C26">
      <w:pPr>
        <w:pStyle w:val="NoSpacing"/>
      </w:pPr>
      <w:r>
        <w:t>It's fantastic that there's an effort like Eden Meet Virtual Meetup to keep people in touch despite the limits imposed by the pandemic. The meeting is held on several online services like Facebook (Spence, Mancini, &amp; Huisman, 2019)</w:t>
      </w:r>
      <w:r w:rsidR="00422C26">
        <w:t>, t</w:t>
      </w:r>
      <w:r>
        <w:t>hey can maintain their contacts and develop new ones thanks to this. Community gatherings serve as a fundraising platform</w:t>
      </w:r>
      <w:r w:rsidR="00422C26">
        <w:t>, d</w:t>
      </w:r>
      <w:r>
        <w:t xml:space="preserve">onations can be </w:t>
      </w:r>
      <w:r w:rsidR="00422C26">
        <w:t>collected,</w:t>
      </w:r>
      <w:r>
        <w:t xml:space="preserve"> and people can meet one other at community activities. All across the world, people utilise a wide range of online banking applications to do business.  </w:t>
      </w:r>
      <w:r w:rsidR="00422C26">
        <w:t>A video</w:t>
      </w:r>
      <w:r>
        <w:t xml:space="preserve"> conferencing app is used for online meetups and other networking events. People from all over gather together to plan future initiatives and exchange ideas. The Big Lunch is dedicated to fostering a vibrant, connection-oriented community in the beating heart of Southern England</w:t>
      </w:r>
      <w:r w:rsidR="00422C26">
        <w:t>,</w:t>
      </w:r>
      <w:r>
        <w:t xml:space="preserve"> Greater London, the Midlands, and East Anglia. Participants are given the chance to meet each other and get involved in the planned activities through the use of social networking sites such as Facebook, Twitter, and </w:t>
      </w:r>
      <w:r w:rsidR="00422C26">
        <w:t>LinkedIn</w:t>
      </w:r>
      <w:r>
        <w:t>.</w:t>
      </w:r>
    </w:p>
    <w:p w14:paraId="74254C57" w14:textId="46E56C75" w:rsidR="00FE4340" w:rsidRDefault="005F2AD5" w:rsidP="00422C26">
      <w:pPr>
        <w:pStyle w:val="NoSpacing"/>
      </w:pPr>
      <w:r>
        <w:t xml:space="preserve">  </w:t>
      </w:r>
      <w:r w:rsidR="00FE4340">
        <w:t xml:space="preserve"> In order to join The Big Lunch, one need only sign up with a social media profile</w:t>
      </w:r>
      <w:r w:rsidR="00422C26">
        <w:t>, and y</w:t>
      </w:r>
      <w:r w:rsidR="00FE4340">
        <w:t>ou will receive emails informing you about recent and upcoming activities. Online instructional programmes are available from</w:t>
      </w:r>
      <w:r>
        <w:t xml:space="preserve"> The</w:t>
      </w:r>
      <w:r w:rsidR="00FE4340">
        <w:t xml:space="preserve"> Big Lunch. </w:t>
      </w:r>
      <w:r>
        <w:t xml:space="preserve"> </w:t>
      </w:r>
      <w:r w:rsidR="00FE4340">
        <w:t>Participants can get experience in volunteering and in taking on leadership positions in planning The Big Lunch thanks to this online course (Stevenson, 2019).</w:t>
      </w:r>
    </w:p>
    <w:p w14:paraId="3402781C" w14:textId="2E62950D" w:rsidR="00FE4340" w:rsidRDefault="00FE4340" w:rsidP="00422C26">
      <w:pPr>
        <w:pStyle w:val="NoSpacing"/>
      </w:pPr>
      <w:r>
        <w:t xml:space="preserve">Those interested in joining in on The Big Lunch can do so by subscribing to the service. You can choose to renew your subscription every year or every other year. Members have the opportunity to help plan and execute a wide range of activities and initiatives. The group's members can help </w:t>
      </w:r>
      <w:r>
        <w:lastRenderedPageBreak/>
        <w:t>advance the initiative by contributing their expertise. Each team member has a certain role to play. Activities include event planning and media management for The Big Lunch.</w:t>
      </w:r>
      <w:r w:rsidR="005F2AD5">
        <w:t xml:space="preserve"> </w:t>
      </w:r>
      <w:r>
        <w:t xml:space="preserve"> A lot of people are involved with The Big Lunch. Joining in on group activities helps people feel like they have a purpose and a place in the world. You can find details about the Big Lunch project on the organization's website. One can now see the entire scope of the project with the help of this data. The history, initiatives, and aims are all detailed. The various projects are </w:t>
      </w:r>
      <w:r w:rsidR="005F2AD5">
        <w:t>identified, and</w:t>
      </w:r>
      <w:r>
        <w:t xml:space="preserve"> their implementation procedures are outlined. Users can sign up for the organization's newsletter, join the Facebook group, and more after they have access to the site.</w:t>
      </w:r>
    </w:p>
    <w:p w14:paraId="5CCEF126" w14:textId="77777777" w:rsidR="00422C26" w:rsidRDefault="00422C26" w:rsidP="00422C26">
      <w:pPr>
        <w:pStyle w:val="NoSpacing"/>
      </w:pPr>
    </w:p>
    <w:p w14:paraId="609A9768" w14:textId="77777777" w:rsidR="000060A1" w:rsidRPr="000060A1" w:rsidRDefault="000060A1" w:rsidP="000060A1">
      <w:pPr>
        <w:rPr>
          <w:b/>
          <w:bCs/>
        </w:rPr>
      </w:pPr>
      <w:bookmarkStart w:id="5" w:name="_Hlk141720069"/>
      <w:r w:rsidRPr="000060A1">
        <w:rPr>
          <w:b/>
          <w:bCs/>
        </w:rPr>
        <w:t>A Prospective Method</w:t>
      </w:r>
    </w:p>
    <w:bookmarkEnd w:id="5"/>
    <w:p w14:paraId="25AF5437" w14:textId="2974DC80" w:rsidR="000060A1" w:rsidRDefault="005F2AD5" w:rsidP="000060A1">
      <w:r>
        <w:t xml:space="preserve">   The </w:t>
      </w:r>
      <w:r w:rsidR="000060A1">
        <w:t>Big Lunch's usefulness can be shared with more people thanks to the prevalence of social media platforms. The Big Lunch is supplemented by using social media as a means of spreading the word. People's motivations, achievements, and</w:t>
      </w:r>
      <w:r>
        <w:t xml:space="preserve"> The</w:t>
      </w:r>
      <w:r w:rsidR="000060A1">
        <w:t xml:space="preserve"> Big Lunch donations are chronicled on social media. A community may flourish when its members and cultures are all represented. Many people and events might come together for a happy occasion thanks to it (Berger, 2019). Nearly 9.3 million individuals participated in this event last year, making it the single largest contributor to spreading the word about the Big Lunch. Through the use of social media, </w:t>
      </w:r>
      <w:r>
        <w:t>T</w:t>
      </w:r>
      <w:r w:rsidR="000060A1">
        <w:t>he Big Lunch's burden was shared and eventually lightened. The projects incorporate the usage of numerous social media channels. Members of the community keep in touch via various online networks. It facilitates dialogue between groups with different perspectives on an issue</w:t>
      </w:r>
      <w:r>
        <w:t xml:space="preserve">, The </w:t>
      </w:r>
      <w:r w:rsidR="000060A1">
        <w:t xml:space="preserve">Big Lunch reaches many people this way, serving the community in a meaningful way (Parry, 2019). The concept of community involvement is improved by including social media and a variety of cultural perspectives. It's useful for pinpointing who's responsible for paying what in a given situation. </w:t>
      </w:r>
      <w:r>
        <w:t xml:space="preserve"> The </w:t>
      </w:r>
      <w:r w:rsidR="000060A1">
        <w:t>Big Lunch is a tool for evaluating the present level of community validation and refining community scenarios through the use of social media.</w:t>
      </w:r>
    </w:p>
    <w:p w14:paraId="523E76E1" w14:textId="77777777" w:rsidR="000060A1" w:rsidRPr="000060A1" w:rsidRDefault="000060A1" w:rsidP="000060A1">
      <w:pPr>
        <w:rPr>
          <w:b/>
          <w:bCs/>
        </w:rPr>
      </w:pPr>
      <w:bookmarkStart w:id="6" w:name="_Hlk141720091"/>
      <w:r w:rsidRPr="000060A1">
        <w:rPr>
          <w:b/>
          <w:bCs/>
        </w:rPr>
        <w:t>Conclusion.</w:t>
      </w:r>
    </w:p>
    <w:bookmarkEnd w:id="6"/>
    <w:p w14:paraId="416378B8" w14:textId="1CDA4FD3" w:rsidR="000060A1" w:rsidRDefault="005F2AD5" w:rsidP="005F2AD5">
      <w:pPr>
        <w:pStyle w:val="NoSpacing"/>
      </w:pPr>
      <w:r>
        <w:t xml:space="preserve">   The </w:t>
      </w:r>
      <w:r w:rsidR="000060A1">
        <w:t>Big Lunch can reach many people through the social media site. When it comes to getting the word out about the Big Lunch and increasing participation from the local community, social media platforms are invaluable. It's great for fostering community because it encourages interaction amongst neighbours. It's a great way to meet new people and participate in the Big Lunch. The success of the Big Lunch and other types of local community participation are highlighted in these digital narratives. When people use social media to share their experiences and ambitious lunch plans, everyone wins. As a result, it alleviates stress, breaks up monotony, and sparks original thought.</w:t>
      </w:r>
    </w:p>
    <w:p w14:paraId="07A67F78" w14:textId="2B960A6B" w:rsidR="00FE4340" w:rsidRDefault="005F2AD5" w:rsidP="005F2AD5">
      <w:pPr>
        <w:pStyle w:val="NoSpacing"/>
      </w:pPr>
      <w:r>
        <w:t xml:space="preserve">   </w:t>
      </w:r>
      <w:r w:rsidR="000060A1">
        <w:t>It's safe to say that</w:t>
      </w:r>
      <w:r>
        <w:t xml:space="preserve"> The</w:t>
      </w:r>
      <w:r w:rsidR="000060A1">
        <w:t xml:space="preserve"> Big Lunch is an effective means of fostering greater community involvement. The Big Lunch's goal is to bring people together and foster camaraderie</w:t>
      </w:r>
      <w:r w:rsidR="00910186">
        <w:t>, b</w:t>
      </w:r>
      <w:r w:rsidR="000060A1">
        <w:t>y bringing people together, this endeavour fosters not only camaraderie but also a sense of shared purpose. When people get together as a community, they are better able to tackle any issue, no matter how big or small, and spread joy to their neighbours. Building solid relationships among people of different cultural backgrounds through active participation. The greatest method to gain support from influential parties is to involve the local community. Community involvement is profoundly impacted by social media platforms. It has the potential to boost the vitality, contentment, and output of a thriving community. A big amount of social capital has a beneficial impact on the neighbourhood. A group of people from all walks of life who have come together to form a tight knit community. It facilitates friendship and the expression of personality among the UK's million users. This gathering does more than only foster creative thinking and interpersonal connections; it also strengthens bonds within the community.</w:t>
      </w:r>
    </w:p>
    <w:p w14:paraId="76999679" w14:textId="77777777" w:rsidR="000060A1" w:rsidRDefault="000060A1" w:rsidP="000060A1"/>
    <w:p w14:paraId="33D852B7" w14:textId="77777777" w:rsidR="000060A1" w:rsidRPr="000060A1" w:rsidRDefault="000060A1" w:rsidP="000060A1">
      <w:pPr>
        <w:rPr>
          <w:b/>
          <w:bCs/>
        </w:rPr>
      </w:pPr>
      <w:bookmarkStart w:id="7" w:name="_Hlk141720113"/>
      <w:r w:rsidRPr="000060A1">
        <w:rPr>
          <w:b/>
          <w:bCs/>
        </w:rPr>
        <w:lastRenderedPageBreak/>
        <w:t>Reference List</w:t>
      </w:r>
    </w:p>
    <w:bookmarkEnd w:id="7"/>
    <w:p w14:paraId="0CEA08D5" w14:textId="53266841" w:rsidR="000060A1" w:rsidRDefault="000060A1" w:rsidP="000060A1">
      <w:r>
        <w:t xml:space="preserve">Berger, B.J., 2019. Relational Discipleship as Countercultural Christianity: A Study of Scripture's Teaching on Relational Discipleship as a Response to Contemporary American Culture (Doctoral dissertation). Available at: </w:t>
      </w:r>
      <w:hyperlink r:id="rId5" w:history="1">
        <w:r w:rsidRPr="00ED09BF">
          <w:rPr>
            <w:rStyle w:val="Hyperlink"/>
          </w:rPr>
          <w:t>http://essays.wisluthsem.org:8080/bitstream/handle/123456789/4463/Berger.pdf?sequence=3&amp;isAllowed=y</w:t>
        </w:r>
      </w:hyperlink>
    </w:p>
    <w:p w14:paraId="09617866" w14:textId="751CAE01" w:rsidR="000060A1" w:rsidRDefault="000060A1" w:rsidP="000060A1">
      <w:r>
        <w:t xml:space="preserve">Eden Project, 2022. About our mission. [online] The Eden Project. Available at: </w:t>
      </w:r>
      <w:hyperlink r:id="rId6" w:history="1">
        <w:r w:rsidRPr="00ED09BF">
          <w:rPr>
            <w:rStyle w:val="Hyperlink"/>
          </w:rPr>
          <w:t>https://www.edenproject.com/mission/about-our-mission</w:t>
        </w:r>
      </w:hyperlink>
      <w:r>
        <w:t xml:space="preserve">  [Accessed 20 July 2023].</w:t>
      </w:r>
    </w:p>
    <w:p w14:paraId="7B548A30" w14:textId="2E053B65" w:rsidR="000060A1" w:rsidRDefault="000060A1" w:rsidP="000060A1">
      <w:r>
        <w:t xml:space="preserve">Engstrom, S., Docherty, P. and Robertson, T., 2019. Building a Movement: Community Development and Community Resilience in Response to Extreme Events-End of Project Report. Available at: </w:t>
      </w:r>
      <w:hyperlink r:id="rId7" w:history="1">
        <w:r w:rsidRPr="00ED09BF">
          <w:rPr>
            <w:rStyle w:val="Hyperlink"/>
          </w:rPr>
          <w:t>https://dspace.stir.ac.uk/bitstream/1893/30770/1/Community%20Resilience%20to%20Extreme%20Events%20-%20Final%20Report%20Dec%202019.pdf</w:t>
        </w:r>
      </w:hyperlink>
      <w:r>
        <w:t xml:space="preserve"> </w:t>
      </w:r>
    </w:p>
    <w:p w14:paraId="754648EC" w14:textId="6BDAF828" w:rsidR="000060A1" w:rsidRDefault="000060A1" w:rsidP="000060A1">
      <w:r>
        <w:t xml:space="preserve">Gnant, E., Madew, M. and Müller, J., Social Work Approaches to Environmental Justice. Available at: </w:t>
      </w:r>
      <w:hyperlink r:id="rId8" w:history="1">
        <w:r w:rsidRPr="00ED09BF">
          <w:rPr>
            <w:rStyle w:val="Hyperlink"/>
          </w:rPr>
          <w:t>http://www.studentsandrefugeestogether.com/wp/wp-content/uploads/2021/06/Thesis_Elena-Gnant.pdf</w:t>
        </w:r>
      </w:hyperlink>
      <w:r>
        <w:t xml:space="preserve">  </w:t>
      </w:r>
    </w:p>
    <w:p w14:paraId="24687EBF" w14:textId="4F06196B" w:rsidR="000060A1" w:rsidRDefault="000060A1" w:rsidP="000060A1">
      <w:r>
        <w:t xml:space="preserve">Parry, K., 2019. # MoreInCommon: Collective Mourning Practices on Twitter and the Iconization of Jo Cox. In Visual political communication (pp. 227-245). Palgrave Macmillan, Cham. Available at: </w:t>
      </w:r>
      <w:hyperlink r:id="rId9" w:history="1">
        <w:r w:rsidRPr="00ED09BF">
          <w:rPr>
            <w:rStyle w:val="Hyperlink"/>
          </w:rPr>
          <w:t>https://eprints.whiterose.ac.uk/139751/3/Parry%20MoreInCommon%20Oct%202018%20PICTURES%20INSERTED.pdf</w:t>
        </w:r>
      </w:hyperlink>
      <w:r>
        <w:t xml:space="preserve"> </w:t>
      </w:r>
    </w:p>
    <w:p w14:paraId="57D32659" w14:textId="534C4F95" w:rsidR="000060A1" w:rsidRDefault="000060A1" w:rsidP="000060A1">
      <w:r>
        <w:t xml:space="preserve">Parry, K., 2020. The great get together as an experiment in convivial politics. European Journal of Communication, 35(6), pp.543-564. Available at: </w:t>
      </w:r>
      <w:hyperlink r:id="rId10" w:history="1">
        <w:r w:rsidRPr="00ED09BF">
          <w:rPr>
            <w:rStyle w:val="Hyperlink"/>
          </w:rPr>
          <w:t>https://journals.sagepub.com/doi/pdf/10.1177/0267323120928236</w:t>
        </w:r>
      </w:hyperlink>
      <w:r>
        <w:t xml:space="preserve"> </w:t>
      </w:r>
    </w:p>
    <w:p w14:paraId="5A7310AD" w14:textId="590EAF0D" w:rsidR="000060A1" w:rsidRDefault="000060A1" w:rsidP="000060A1">
      <w:r>
        <w:t xml:space="preserve">Puranik, A.N., 2021. The Human Work Of Collaboration: Towards An Understanding Of Informal Unstructured Collaborative Projects. Open University (United Kingdom). Available at: </w:t>
      </w:r>
      <w:hyperlink r:id="rId11" w:history="1">
        <w:r w:rsidRPr="00ED09BF">
          <w:rPr>
            <w:rStyle w:val="Hyperlink"/>
          </w:rPr>
          <w:t>http://oro.open.ac.uk/76926/1/Final%20version%20thesis.pdf</w:t>
        </w:r>
      </w:hyperlink>
      <w:r>
        <w:t xml:space="preserve"> </w:t>
      </w:r>
    </w:p>
    <w:p w14:paraId="0B53AFB7" w14:textId="2179F311" w:rsidR="000060A1" w:rsidRDefault="000060A1" w:rsidP="000060A1">
      <w:r>
        <w:t xml:space="preserve">Spence, C., Mancini, M. and Huisman, G., 2019. Digital commensality: Eating and drinking in the company of technology. Frontiers in psychology, 10, p.2252. Available at: </w:t>
      </w:r>
      <w:hyperlink r:id="rId12" w:history="1">
        <w:r w:rsidRPr="00ED09BF">
          <w:rPr>
            <w:rStyle w:val="Hyperlink"/>
          </w:rPr>
          <w:t>https://www.frontiersin.org/articles/10.3389/fpsyg.2019.02252/full</w:t>
        </w:r>
      </w:hyperlink>
      <w:r>
        <w:t xml:space="preserve"> </w:t>
      </w:r>
    </w:p>
    <w:p w14:paraId="2488C46B" w14:textId="70A488EF" w:rsidR="000060A1" w:rsidRDefault="000060A1" w:rsidP="000060A1">
      <w:r>
        <w:t xml:space="preserve">Stevenson, N., 2019. The street party: pleasurable community practices and placemaking. International Journal of Event and Festival Management. Available at: </w:t>
      </w:r>
      <w:hyperlink r:id="rId13" w:history="1">
        <w:r w:rsidRPr="00ED09BF">
          <w:rPr>
            <w:rStyle w:val="Hyperlink"/>
          </w:rPr>
          <w:t>https://westminsterresearch.westminster.ac.uk/download/15faf0a9cfd9107fc51dc7252fb30a2424bc417c4be2bad7a4d43bbc2a12e340/1245531/IJEFM-02-2019-0014.R2_Proof_hi.pdf</w:t>
        </w:r>
      </w:hyperlink>
      <w:r>
        <w:t xml:space="preserve"> </w:t>
      </w:r>
    </w:p>
    <w:p w14:paraId="2DE3F48B" w14:textId="383F6029" w:rsidR="000060A1" w:rsidRDefault="000060A1" w:rsidP="000060A1">
      <w:r>
        <w:t xml:space="preserve">Tironi, M., 2020. Prototyping public friction: Exploring the political effects of design testing in urban space. The British Journal of Sociology, 71(3), pp.503-519. Available at: </w:t>
      </w:r>
      <w:hyperlink r:id="rId14" w:history="1">
        <w:r w:rsidRPr="00ED09BF">
          <w:rPr>
            <w:rStyle w:val="Hyperlink"/>
          </w:rPr>
          <w:t>https://www.researchgate.net/profile/Martin-Tironi/publication/338012555_Prototyping_public_friction_Exploring_the_political_effects_of_design_testing_in_urban_space/links/5e4e777c299bf1cdb938eb4d/Prototyping-public-friction-Exploring-the-political-effects-of-design-testing-in-urban-space.pdf</w:t>
        </w:r>
      </w:hyperlink>
      <w:r>
        <w:t xml:space="preserve"> </w:t>
      </w:r>
    </w:p>
    <w:p w14:paraId="7FA96350" w14:textId="058B6C8A" w:rsidR="000060A1" w:rsidRDefault="000060A1" w:rsidP="000060A1">
      <w:r>
        <w:t xml:space="preserve">Tomhave, B., Molinari, E., Steinhoff, F. and Gale, L., 2020. Effective Community Engagement Strategies for Implementing Transit Advantages. Available at: </w:t>
      </w:r>
      <w:hyperlink r:id="rId15" w:history="1">
        <w:r w:rsidRPr="00ED09BF">
          <w:rPr>
            <w:rStyle w:val="Hyperlink"/>
          </w:rPr>
          <w:t>https://conservancy.umn.edu/bitstream/handle/11299/214087/Effective%20Community%20Engage</w:t>
        </w:r>
        <w:r w:rsidRPr="00ED09BF">
          <w:rPr>
            <w:rStyle w:val="Hyperlink"/>
          </w:rPr>
          <w:lastRenderedPageBreak/>
          <w:t>ment%20Strategies%20For%20Implementing%20Transit%20Advantages.pdf?sequence=1&amp;isAllowed=y</w:t>
        </w:r>
      </w:hyperlink>
      <w:r>
        <w:t xml:space="preserve"> </w:t>
      </w:r>
    </w:p>
    <w:sectPr w:rsidR="000060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00F2"/>
    <w:rsid w:val="000060A1"/>
    <w:rsid w:val="00077F86"/>
    <w:rsid w:val="000E36D3"/>
    <w:rsid w:val="00167B4B"/>
    <w:rsid w:val="002D33E4"/>
    <w:rsid w:val="003000F2"/>
    <w:rsid w:val="00422C26"/>
    <w:rsid w:val="00495319"/>
    <w:rsid w:val="00585045"/>
    <w:rsid w:val="005F2AD5"/>
    <w:rsid w:val="006B7746"/>
    <w:rsid w:val="006D66B3"/>
    <w:rsid w:val="00705570"/>
    <w:rsid w:val="00820918"/>
    <w:rsid w:val="008F1132"/>
    <w:rsid w:val="00910186"/>
    <w:rsid w:val="009F5591"/>
    <w:rsid w:val="00C02366"/>
    <w:rsid w:val="00D85552"/>
    <w:rsid w:val="00F45D14"/>
    <w:rsid w:val="00F83ED5"/>
    <w:rsid w:val="00FE43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7395A2"/>
  <w15:chartTrackingRefBased/>
  <w15:docId w15:val="{318C1B34-3597-4967-940E-530C5E5A6B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060A1"/>
    <w:pPr>
      <w:spacing w:after="0" w:line="240" w:lineRule="auto"/>
    </w:pPr>
  </w:style>
  <w:style w:type="character" w:styleId="Hyperlink">
    <w:name w:val="Hyperlink"/>
    <w:basedOn w:val="DefaultParagraphFont"/>
    <w:uiPriority w:val="99"/>
    <w:unhideWhenUsed/>
    <w:rsid w:val="000060A1"/>
    <w:rPr>
      <w:color w:val="0563C1" w:themeColor="hyperlink"/>
      <w:u w:val="single"/>
    </w:rPr>
  </w:style>
  <w:style w:type="character" w:styleId="UnresolvedMention">
    <w:name w:val="Unresolved Mention"/>
    <w:basedOn w:val="DefaultParagraphFont"/>
    <w:uiPriority w:val="99"/>
    <w:semiHidden/>
    <w:unhideWhenUsed/>
    <w:rsid w:val="000060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tudentsandrefugeestogether.com/wp/wp-content/uploads/2021/06/Thesis_Elena-Gnant.pdf" TargetMode="External"/><Relationship Id="rId13" Type="http://schemas.openxmlformats.org/officeDocument/2006/relationships/hyperlink" Target="https://westminsterresearch.westminster.ac.uk/download/15faf0a9cfd9107fc51dc7252fb30a2424bc417c4be2bad7a4d43bbc2a12e340/1245531/IJEFM-02-2019-0014.R2_Proof_hi.pdf" TargetMode="External"/><Relationship Id="rId3" Type="http://schemas.openxmlformats.org/officeDocument/2006/relationships/webSettings" Target="webSettings.xml"/><Relationship Id="rId7" Type="http://schemas.openxmlformats.org/officeDocument/2006/relationships/hyperlink" Target="https://dspace.stir.ac.uk/bitstream/1893/30770/1/Community%20Resilience%20to%20Extreme%20Events%20-%20Final%20Report%20Dec%202019.pdf" TargetMode="External"/><Relationship Id="rId12" Type="http://schemas.openxmlformats.org/officeDocument/2006/relationships/hyperlink" Target="https://www.frontiersin.org/articles/10.3389/fpsyg.2019.02252/full"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edenproject.com/mission/about-our-mission" TargetMode="External"/><Relationship Id="rId11" Type="http://schemas.openxmlformats.org/officeDocument/2006/relationships/hyperlink" Target="http://oro.open.ac.uk/76926/1/Final%20version%20thesis.pdf" TargetMode="External"/><Relationship Id="rId5" Type="http://schemas.openxmlformats.org/officeDocument/2006/relationships/hyperlink" Target="http://essays.wisluthsem.org:8080/bitstream/handle/123456789/4463/Berger.pdf?sequence=3&amp;isAllowed=y" TargetMode="External"/><Relationship Id="rId15" Type="http://schemas.openxmlformats.org/officeDocument/2006/relationships/hyperlink" Target="https://conservancy.umn.edu/bitstream/handle/11299/214087/Effective%20Community%20Engagement%20Strategies%20For%20Implementing%20Transit%20Advantages.pdf?sequence=1&amp;isAllowed=y" TargetMode="External"/><Relationship Id="rId10" Type="http://schemas.openxmlformats.org/officeDocument/2006/relationships/hyperlink" Target="https://journals.sagepub.com/doi/pdf/10.1177/0267323120928236" TargetMode="External"/><Relationship Id="rId4" Type="http://schemas.openxmlformats.org/officeDocument/2006/relationships/image" Target="media/image1.png"/><Relationship Id="rId9" Type="http://schemas.openxmlformats.org/officeDocument/2006/relationships/hyperlink" Target="https://eprints.whiterose.ac.uk/139751/3/Parry%20MoreInCommon%20Oct%202018%20PICTURES%20INSERTED.pdf" TargetMode="External"/><Relationship Id="rId14" Type="http://schemas.openxmlformats.org/officeDocument/2006/relationships/hyperlink" Target="https://www.researchgate.net/profile/Martin-Tironi/publication/338012555_Prototyping_public_friction_Exploring_the_political_effects_of_design_testing_in_urban_space/links/5e4e777c299bf1cdb938eb4d/Prototyping-public-friction-Exploring-the-political-effects-of-design-testing-in-urban-spac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1891</TotalTime>
  <Pages>1</Pages>
  <Words>2752</Words>
  <Characters>15687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Vasilica Gherasim (2110943)</dc:creator>
  <cp:keywords/>
  <dc:description/>
  <cp:lastModifiedBy>Vasilica Gherasim (2110943)</cp:lastModifiedBy>
  <cp:revision>8</cp:revision>
  <dcterms:created xsi:type="dcterms:W3CDTF">2023-07-31T16:04:00Z</dcterms:created>
  <dcterms:modified xsi:type="dcterms:W3CDTF">2023-08-02T16:56:00Z</dcterms:modified>
</cp:coreProperties>
</file>