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p>
    <w:p>
      <w:pPr>
        <w:jc w:val="center"/>
      </w:pPr>
    </w:p>
    <w:p>
      <w:pPr>
        <w:jc w:val="center"/>
      </w:pPr>
      <w:r>
        <w:drawing>
          <wp:inline distT="0" distB="0" distL="114300" distR="114300">
            <wp:extent cx="4324350" cy="1504950"/>
            <wp:effectExtent l="0" t="0" r="19050" b="19050"/>
            <wp:docPr id="1899501146" name="图片 1899501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501146" name="图片 1899501146"/>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4324350" cy="1504950"/>
                    </a:xfrm>
                    <a:prstGeom prst="rect">
                      <a:avLst/>
                    </a:prstGeom>
                  </pic:spPr>
                </pic:pic>
              </a:graphicData>
            </a:graphic>
          </wp:inline>
        </w:drawing>
      </w:r>
    </w:p>
    <w:p>
      <w:pPr>
        <w:jc w:val="center"/>
      </w:pPr>
    </w:p>
    <w:p>
      <w:pPr>
        <w:jc w:val="center"/>
      </w:pPr>
    </w:p>
    <w:p>
      <w:pPr>
        <w:jc w:val="center"/>
        <w:rPr>
          <w:rFonts w:ascii="Times New Roman" w:hAnsi="Times New Roman" w:cs="Times New Roman"/>
          <w:b/>
          <w:bCs/>
          <w:sz w:val="28"/>
          <w:szCs w:val="28"/>
        </w:rPr>
      </w:pPr>
      <w:r>
        <w:rPr>
          <w:rFonts w:ascii="Times New Roman" w:hAnsi="Times New Roman" w:cs="Times New Roman"/>
          <w:b/>
          <w:bCs/>
          <w:sz w:val="28"/>
          <w:szCs w:val="28"/>
        </w:rPr>
        <w:t>Sensing Fertility: My Reflective Journal</w:t>
      </w:r>
    </w:p>
    <w:p>
      <w:pPr>
        <w:jc w:val="center"/>
        <w:rPr>
          <w:rFonts w:ascii="Times New Roman" w:hAnsi="Times New Roman" w:cs="Times New Roman"/>
          <w:b/>
          <w:bCs/>
          <w:sz w:val="28"/>
          <w:szCs w:val="28"/>
        </w:rPr>
      </w:pPr>
    </w:p>
    <w:p>
      <w:pPr>
        <w:jc w:val="center"/>
        <w:rPr>
          <w:rFonts w:ascii="Times New Roman" w:hAnsi="Times New Roman" w:cs="Times New Roman"/>
          <w:b/>
          <w:bCs/>
          <w:sz w:val="28"/>
          <w:szCs w:val="28"/>
        </w:rPr>
      </w:pPr>
    </w:p>
    <w:p>
      <w:pPr>
        <w:jc w:val="center"/>
        <w:rPr>
          <w:rFonts w:ascii="Times New Roman" w:hAnsi="Times New Roman" w:cs="Times New Roman"/>
          <w:b/>
          <w:bCs/>
          <w:sz w:val="28"/>
          <w:szCs w:val="28"/>
        </w:rPr>
      </w:pPr>
    </w:p>
    <w:p>
      <w:pPr>
        <w:jc w:val="center"/>
        <w:rPr>
          <w:rFonts w:ascii="Times New Roman" w:hAnsi="Times New Roman" w:cs="Times New Roman"/>
          <w:b/>
          <w:bCs/>
          <w:sz w:val="28"/>
          <w:szCs w:val="28"/>
        </w:rPr>
      </w:pPr>
    </w:p>
    <w:p>
      <w:pPr>
        <w:spacing w:before="0" w:beforeAutospacing="0" w:after="0" w:afterAutospacing="0"/>
        <w:jc w:val="center"/>
      </w:pPr>
      <w:r>
        <w:rPr>
          <w:rFonts w:ascii="Times New Roman" w:hAnsi="Times New Roman" w:eastAsia="Times New Roman" w:cs="Times New Roman"/>
          <w:b/>
          <w:bCs/>
          <w:sz w:val="21"/>
          <w:szCs w:val="21"/>
          <w:lang w:val="en-US"/>
        </w:rPr>
        <w:t xml:space="preserve"> </w:t>
      </w:r>
    </w:p>
    <w:tbl>
      <w:tblPr>
        <w:tblStyle w:val="5"/>
        <w:tblW w:w="0" w:type="auto"/>
        <w:tblInd w:w="2025"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50"/>
        <w:gridCol w:w="6045"/>
      </w:tblGrid>
      <w:tr>
        <w:trPr>
          <w:trHeight w:val="300" w:hRule="atLeast"/>
        </w:trPr>
        <w:tc>
          <w:tcPr>
            <w:tcW w:w="2250"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Student name:</w:t>
            </w:r>
          </w:p>
        </w:tc>
        <w:tc>
          <w:tcPr>
            <w:tcW w:w="6045"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val="0"/>
                <w:bCs w:val="0"/>
                <w:sz w:val="24"/>
                <w:szCs w:val="24"/>
              </w:rPr>
            </w:pPr>
            <w:r>
              <w:rPr>
                <w:rFonts w:ascii="Times New Roman" w:hAnsi="Times New Roman" w:eastAsia="Times New Roman" w:cs="Times New Roman"/>
                <w:b w:val="0"/>
                <w:bCs w:val="0"/>
                <w:sz w:val="24"/>
                <w:szCs w:val="24"/>
              </w:rPr>
              <w:t>Xiao Feng</w:t>
            </w:r>
          </w:p>
        </w:tc>
      </w:tr>
      <w:tr>
        <w:trPr>
          <w:trHeight w:val="300" w:hRule="atLeast"/>
        </w:trPr>
        <w:tc>
          <w:tcPr>
            <w:tcW w:w="2250"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Student ID:</w:t>
            </w:r>
          </w:p>
        </w:tc>
        <w:tc>
          <w:tcPr>
            <w:tcW w:w="6045"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val="0"/>
                <w:bCs w:val="0"/>
                <w:sz w:val="24"/>
                <w:szCs w:val="24"/>
              </w:rPr>
            </w:pPr>
            <w:r>
              <w:rPr>
                <w:rFonts w:ascii="Times New Roman" w:hAnsi="Times New Roman" w:eastAsia="Times New Roman" w:cs="Times New Roman"/>
                <w:b w:val="0"/>
                <w:bCs w:val="0"/>
                <w:sz w:val="24"/>
                <w:szCs w:val="24"/>
              </w:rPr>
              <w:t>2207548</w:t>
            </w:r>
          </w:p>
        </w:tc>
      </w:tr>
      <w:tr>
        <w:trPr>
          <w:trHeight w:val="300" w:hRule="atLeast"/>
        </w:trPr>
        <w:tc>
          <w:tcPr>
            <w:tcW w:w="2250"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Module:</w:t>
            </w:r>
          </w:p>
        </w:tc>
        <w:tc>
          <w:tcPr>
            <w:tcW w:w="6045"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val="0"/>
                <w:bCs w:val="0"/>
                <w:sz w:val="24"/>
                <w:szCs w:val="24"/>
              </w:rPr>
            </w:pPr>
            <w:r>
              <w:rPr>
                <w:rFonts w:ascii="Times New Roman" w:hAnsi="Times New Roman" w:eastAsia="Times New Roman" w:cs="Times New Roman"/>
                <w:b w:val="0"/>
                <w:bCs w:val="0"/>
                <w:sz w:val="24"/>
                <w:szCs w:val="24"/>
              </w:rPr>
              <w:t>M7X02024</w:t>
            </w:r>
          </w:p>
        </w:tc>
      </w:tr>
      <w:tr>
        <w:trPr>
          <w:trHeight w:val="270" w:hRule="atLeast"/>
        </w:trPr>
        <w:tc>
          <w:tcPr>
            <w:tcW w:w="2250"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Lecture:</w:t>
            </w:r>
          </w:p>
        </w:tc>
        <w:tc>
          <w:tcPr>
            <w:tcW w:w="6045"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val="0"/>
                <w:bCs w:val="0"/>
                <w:sz w:val="24"/>
                <w:szCs w:val="24"/>
              </w:rPr>
            </w:pPr>
            <w:r>
              <w:rPr>
                <w:rFonts w:ascii="Times New Roman" w:hAnsi="Times New Roman" w:eastAsia="Times New Roman" w:cs="Times New Roman"/>
                <w:b w:val="0"/>
                <w:bCs w:val="0"/>
                <w:sz w:val="24"/>
                <w:szCs w:val="24"/>
              </w:rPr>
              <w:t>Timi O’Neil</w:t>
            </w:r>
          </w:p>
        </w:tc>
      </w:tr>
      <w:tr>
        <w:trPr>
          <w:trHeight w:val="300" w:hRule="atLeast"/>
        </w:trPr>
        <w:tc>
          <w:tcPr>
            <w:tcW w:w="2250"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Programme:</w:t>
            </w:r>
          </w:p>
        </w:tc>
        <w:tc>
          <w:tcPr>
            <w:tcW w:w="6045"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val="0"/>
                <w:bCs w:val="0"/>
                <w:sz w:val="24"/>
                <w:szCs w:val="24"/>
              </w:rPr>
            </w:pPr>
            <w:r>
              <w:rPr>
                <w:rFonts w:ascii="Times New Roman" w:hAnsi="Times New Roman" w:eastAsia="Times New Roman" w:cs="Times New Roman"/>
                <w:b w:val="0"/>
                <w:bCs w:val="0"/>
                <w:sz w:val="24"/>
                <w:szCs w:val="24"/>
              </w:rPr>
              <w:t>Dprof Art and design</w:t>
            </w:r>
          </w:p>
        </w:tc>
      </w:tr>
      <w:tr>
        <w:trPr>
          <w:trHeight w:val="300" w:hRule="atLeast"/>
        </w:trPr>
        <w:tc>
          <w:tcPr>
            <w:tcW w:w="2250"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Email:</w:t>
            </w:r>
          </w:p>
        </w:tc>
        <w:tc>
          <w:tcPr>
            <w:tcW w:w="6045" w:type="dxa"/>
            <w:tcBorders>
              <w:top w:val="nil"/>
              <w:left w:val="nil"/>
              <w:bottom w:val="nil"/>
              <w:right w:val="nil"/>
            </w:tcBorders>
            <w:tcMar>
              <w:left w:w="108" w:type="dxa"/>
              <w:right w:w="108" w:type="dxa"/>
            </w:tcMar>
            <w:vAlign w:val="top"/>
          </w:tcPr>
          <w:p>
            <w:pPr>
              <w:spacing w:before="0" w:beforeAutospacing="0" w:after="0" w:afterAutospacing="0" w:line="240" w:lineRule="auto"/>
              <w:jc w:val="left"/>
              <w:rPr>
                <w:sz w:val="24"/>
                <w:szCs w:val="24"/>
              </w:rPr>
            </w:pPr>
            <w:r>
              <w:rPr>
                <w:sz w:val="21"/>
                <w:szCs w:val="24"/>
              </w:rPr>
              <w:fldChar w:fldCharType="begin"/>
            </w:r>
            <w:r>
              <w:rPr>
                <w:sz w:val="21"/>
                <w:szCs w:val="24"/>
              </w:rPr>
              <w:instrText xml:space="preserve"> HYPERLINK "mailto:2207548@student.uwtsd.ac.uk" \h </w:instrText>
            </w:r>
            <w:r>
              <w:rPr>
                <w:sz w:val="21"/>
                <w:szCs w:val="24"/>
              </w:rPr>
              <w:fldChar w:fldCharType="separate"/>
            </w:r>
            <w:r>
              <w:rPr>
                <w:rStyle w:val="3"/>
                <w:rFonts w:ascii="Times New Roman" w:hAnsi="Times New Roman" w:eastAsia="Times New Roman" w:cs="Times New Roman"/>
                <w:b w:val="0"/>
                <w:bCs w:val="0"/>
                <w:sz w:val="24"/>
                <w:szCs w:val="24"/>
              </w:rPr>
              <w:t>2207548@student.uwtsd.ac.uk</w:t>
            </w:r>
            <w:r>
              <w:rPr>
                <w:rStyle w:val="3"/>
                <w:rFonts w:ascii="Times New Roman" w:hAnsi="Times New Roman" w:eastAsia="Times New Roman" w:cs="Times New Roman"/>
                <w:b w:val="0"/>
                <w:bCs w:val="0"/>
                <w:sz w:val="24"/>
                <w:szCs w:val="24"/>
              </w:rPr>
              <w:fldChar w:fldCharType="end"/>
            </w:r>
          </w:p>
        </w:tc>
      </w:tr>
    </w:tbl>
    <w:p>
      <w:pPr>
        <w:spacing w:before="0" w:beforeAutospacing="0" w:after="0" w:afterAutospacing="0"/>
        <w:jc w:val="center"/>
      </w:pPr>
      <w:r>
        <w:rPr>
          <w:rFonts w:ascii="Times New Roman" w:hAnsi="Times New Roman" w:eastAsia="Times New Roman" w:cs="Times New Roman"/>
          <w:b/>
          <w:bCs/>
          <w:sz w:val="21"/>
          <w:szCs w:val="21"/>
          <w:lang w:val="en-US"/>
        </w:rPr>
        <w:t xml:space="preserve"> </w:t>
      </w:r>
    </w:p>
    <w:p>
      <w:pPr>
        <w:spacing w:before="0" w:beforeAutospacing="0" w:after="0" w:afterAutospacing="0"/>
        <w:jc w:val="center"/>
      </w:pPr>
      <w:r>
        <w:rPr>
          <w:rFonts w:ascii="Times New Roman" w:hAnsi="Times New Roman" w:eastAsia="Times New Roman" w:cs="Times New Roman"/>
          <w:b/>
          <w:bCs/>
          <w:sz w:val="21"/>
          <w:szCs w:val="21"/>
          <w:lang w:val="en-US"/>
        </w:rPr>
        <w:t xml:space="preserve"> </w:t>
      </w:r>
    </w:p>
    <w:p>
      <w:pPr>
        <w:spacing w:before="0" w:beforeAutospacing="0" w:after="0" w:afterAutospacing="0"/>
        <w:jc w:val="center"/>
        <w:rPr>
          <w:rFonts w:ascii="Times New Roman" w:hAnsi="Times New Roman" w:eastAsia="Times New Roman" w:cs="Times New Roman"/>
          <w:b/>
          <w:bCs/>
          <w:sz w:val="21"/>
          <w:szCs w:val="21"/>
          <w:lang w:val="en-US"/>
        </w:rPr>
      </w:pPr>
    </w:p>
    <w:p>
      <w:pPr>
        <w:spacing w:before="0" w:beforeAutospacing="0" w:after="0" w:afterAutospacing="0"/>
        <w:jc w:val="center"/>
        <w:rPr>
          <w:rFonts w:ascii="Times New Roman" w:hAnsi="Times New Roman" w:eastAsia="Times New Roman" w:cs="Times New Roman"/>
          <w:b/>
          <w:bCs/>
          <w:sz w:val="21"/>
          <w:szCs w:val="21"/>
          <w:lang w:val="en-US"/>
        </w:rPr>
      </w:pPr>
    </w:p>
    <w:p>
      <w:pPr>
        <w:spacing w:before="0" w:beforeAutospacing="0" w:after="0" w:afterAutospacing="0"/>
        <w:jc w:val="center"/>
        <w:rPr>
          <w:rFonts w:ascii="Times New Roman" w:hAnsi="Times New Roman" w:eastAsia="Times New Roman" w:cs="Times New Roman"/>
          <w:b/>
          <w:bCs/>
          <w:sz w:val="21"/>
          <w:szCs w:val="21"/>
          <w:lang w:val="en-US"/>
        </w:rPr>
      </w:pPr>
    </w:p>
    <w:p>
      <w:pPr>
        <w:spacing w:before="0" w:beforeAutospacing="0" w:after="0" w:afterAutospacing="0"/>
        <w:jc w:val="center"/>
        <w:rPr>
          <w:rFonts w:ascii="Times New Roman" w:hAnsi="Times New Roman" w:eastAsia="Times New Roman" w:cs="Times New Roman"/>
          <w:b/>
          <w:bCs/>
          <w:sz w:val="21"/>
          <w:szCs w:val="21"/>
          <w:lang w:val="en-US"/>
        </w:rPr>
      </w:pPr>
    </w:p>
    <w:p>
      <w:pPr>
        <w:spacing w:before="0" w:beforeAutospacing="0" w:after="0" w:afterAutospacing="0"/>
        <w:jc w:val="center"/>
      </w:pPr>
      <w:r>
        <w:rPr>
          <w:rFonts w:ascii="Times New Roman" w:hAnsi="Times New Roman" w:eastAsia="Times New Roman" w:cs="Times New Roman"/>
          <w:b/>
          <w:bCs/>
          <w:sz w:val="21"/>
          <w:szCs w:val="21"/>
          <w:lang w:val="en-US"/>
        </w:rPr>
        <w:t xml:space="preserve"> </w:t>
      </w:r>
    </w:p>
    <w:p>
      <w:pPr>
        <w:spacing w:before="0" w:beforeAutospacing="0" w:after="0" w:afterAutospacing="0"/>
        <w:jc w:val="center"/>
        <w:rPr>
          <w:rFonts w:hint="default" w:ascii="Times New Roman" w:hAnsi="Times New Roman" w:eastAsia="Times New Roman" w:cs="Times New Roman"/>
          <w:b w:val="0"/>
          <w:bCs w:val="0"/>
          <w:sz w:val="28"/>
          <w:szCs w:val="28"/>
          <w:lang w:val="en-US"/>
        </w:rPr>
      </w:pPr>
      <w:r>
        <w:rPr>
          <w:rFonts w:hint="default" w:ascii="Times New Roman" w:hAnsi="Times New Roman" w:eastAsia="Times New Roman" w:cs="Times New Roman"/>
          <w:b w:val="0"/>
          <w:bCs w:val="0"/>
          <w:sz w:val="28"/>
          <w:szCs w:val="28"/>
          <w:lang w:val="en-US"/>
        </w:rPr>
        <w:t>07082023</w:t>
      </w:r>
    </w:p>
    <w:p>
      <w:pPr>
        <w:spacing w:before="0" w:beforeAutospacing="0" w:after="0" w:afterAutospacing="0"/>
        <w:jc w:val="center"/>
        <w:rPr>
          <w:rFonts w:hint="default" w:ascii="Times New Roman" w:hAnsi="Times New Roman" w:eastAsia="Times New Roman" w:cs="Times New Roman"/>
          <w:b w:val="0"/>
          <w:bCs w:val="0"/>
          <w:sz w:val="28"/>
          <w:szCs w:val="28"/>
          <w:lang w:val="en-US"/>
        </w:rPr>
      </w:pPr>
      <w:r>
        <w:rPr>
          <w:rFonts w:hint="default" w:ascii="Times New Roman" w:hAnsi="Times New Roman" w:eastAsia="Times New Roman" w:cs="Times New Roman"/>
          <w:b w:val="0"/>
          <w:bCs w:val="0"/>
          <w:sz w:val="28"/>
          <w:szCs w:val="28"/>
          <w:lang w:val="en-US"/>
        </w:rPr>
        <w:t>University of Wales Trinity Saint David</w:t>
      </w:r>
    </w:p>
    <w:p>
      <w:pPr>
        <w:jc w:val="both"/>
        <w:rPr>
          <w:rFonts w:ascii="Times New Roman" w:hAnsi="Times New Roman" w:cs="Times New Roman"/>
          <w:b/>
          <w:bCs/>
          <w:sz w:val="28"/>
          <w:szCs w:val="28"/>
        </w:rPr>
      </w:pPr>
    </w:p>
    <w:p>
      <w:pPr>
        <w:jc w:val="both"/>
        <w:rPr>
          <w:rFonts w:ascii="Times New Roman" w:hAnsi="Times New Roman" w:cs="Times New Roman"/>
          <w:b/>
          <w:bCs/>
          <w:sz w:val="28"/>
          <w:szCs w:val="28"/>
        </w:rPr>
      </w:pPr>
    </w:p>
    <w:p>
      <w:pPr>
        <w:jc w:val="center"/>
      </w:pPr>
    </w:p>
    <w:p>
      <w:pPr>
        <w:jc w:val="center"/>
        <w:rPr>
          <w:rFonts w:ascii="Times New Roman" w:hAnsi="Times New Roman" w:cs="Times New Roman"/>
          <w:b/>
          <w:bCs/>
          <w:sz w:val="28"/>
          <w:szCs w:val="36"/>
        </w:rPr>
      </w:pPr>
      <w:r>
        <w:rPr>
          <w:rFonts w:ascii="Times New Roman" w:hAnsi="Times New Roman" w:cs="Times New Roman"/>
          <w:b/>
          <w:bCs/>
          <w:sz w:val="28"/>
          <w:szCs w:val="36"/>
        </w:rPr>
        <w:t>Sensing Fertility: My Reflective Journal</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Section 1 Beginning of the research story</w:t>
      </w:r>
    </w:p>
    <w:p>
      <w:pPr>
        <w:pStyle w:val="6"/>
        <w:numPr>
          <w:ilvl w:val="1"/>
          <w:numId w:val="1"/>
        </w:numPr>
        <w:ind w:firstLineChars="0"/>
        <w:rPr>
          <w:rFonts w:ascii="Times New Roman" w:hAnsi="Times New Roman" w:cs="Times New Roman"/>
        </w:rPr>
      </w:pPr>
      <w:r>
        <w:rPr>
          <w:rFonts w:hint="eastAsia" w:ascii="Times New Roman" w:hAnsi="Times New Roman" w:cs="Times New Roman"/>
        </w:rPr>
        <w:t>Background</w:t>
      </w:r>
      <w:r>
        <w:rPr>
          <w:rFonts w:ascii="Times New Roman" w:hAnsi="Times New Roman" w:cs="Times New Roman"/>
        </w:rPr>
        <w:t xml:space="preserve"> and Context</w:t>
      </w:r>
    </w:p>
    <w:p>
      <w:pPr>
        <w:pStyle w:val="6"/>
        <w:ind w:left="360" w:firstLine="0" w:firstLineChars="0"/>
        <w:rPr>
          <w:rFonts w:ascii="Times New Roman" w:hAnsi="Times New Roman" w:cs="Times New Roman"/>
        </w:rPr>
      </w:pPr>
      <w:r>
        <w:rPr>
          <w:rFonts w:ascii="Times New Roman" w:hAnsi="Times New Roman" w:cs="Times New Roman"/>
        </w:rPr>
        <w:t>“Knowing yourself is the beginning of all wisdom.”</w:t>
      </w:r>
    </w:p>
    <w:p>
      <w:pPr>
        <w:pStyle w:val="6"/>
        <w:ind w:left="360" w:firstLine="0" w:firstLineChars="0"/>
        <w:rPr>
          <w:rFonts w:ascii="Times New Roman" w:hAnsi="Times New Roman" w:cs="Times New Roman"/>
        </w:rPr>
      </w:pPr>
      <w:r>
        <w:rPr>
          <w:rFonts w:hint="eastAsia" w:ascii="Times New Roman" w:hAnsi="Times New Roman" w:cs="Times New Roman"/>
        </w:rPr>
        <w:t>——A</w:t>
      </w:r>
      <w:r>
        <w:rPr>
          <w:rFonts w:ascii="Times New Roman" w:hAnsi="Times New Roman" w:cs="Times New Roman"/>
        </w:rPr>
        <w:t>ristotle</w:t>
      </w:r>
    </w:p>
    <w:p>
      <w:pPr>
        <w:pStyle w:val="6"/>
        <w:ind w:left="360" w:firstLine="0" w:firstLineChars="0"/>
        <w:rPr>
          <w:rFonts w:ascii="Times New Roman" w:hAnsi="Times New Roman" w:cs="Times New Roman"/>
        </w:rPr>
      </w:pPr>
    </w:p>
    <w:p>
      <w:pPr>
        <w:pStyle w:val="6"/>
        <w:ind w:left="360" w:firstLine="0" w:firstLineChars="0"/>
        <w:rPr>
          <w:rFonts w:ascii="Times New Roman" w:hAnsi="Times New Roman" w:cs="Times New Roman"/>
        </w:rPr>
      </w:pPr>
      <w:r>
        <w:rPr>
          <w:rFonts w:ascii="Times New Roman" w:hAnsi="Times New Roman" w:cs="Times New Roman"/>
        </w:rPr>
        <w:t>Before moving to the UK, I didn't identify as a feminist; instead, I simply loved perusing the creations of a few female artists, noticing the results of the feminine perspective, and concentrating on the metaphorical symbols produced by women. I was familiar with feminist philosophy, but I hadn't delved deeply enough into the evolution of feminism to comprehend what the four waves of feminism represented or the issues they sought to address. More precisely, I was ill-informed about my own identity, my worldview, the way my world was built, and how I felt about women. But once I moved to the UK to pursue my studies, I yearned to hear my own voice since that was when I started to dissect and rebuild myself.</w:t>
      </w:r>
    </w:p>
    <w:p>
      <w:pPr>
        <w:pStyle w:val="6"/>
        <w:ind w:left="360" w:firstLine="0" w:firstLineChars="0"/>
        <w:rPr>
          <w:rFonts w:ascii="Times New Roman" w:hAnsi="Times New Roman" w:cs="Times New Roman"/>
        </w:rPr>
      </w:pPr>
    </w:p>
    <w:p>
      <w:pPr>
        <w:pStyle w:val="6"/>
        <w:ind w:left="360" w:firstLine="0" w:firstLineChars="0"/>
        <w:rPr>
          <w:rFonts w:ascii="Times New Roman" w:hAnsi="Times New Roman" w:cs="Times New Roman"/>
        </w:rPr>
      </w:pPr>
      <w:r>
        <w:rPr>
          <w:rFonts w:ascii="Times New Roman" w:hAnsi="Times New Roman" w:cs="Times New Roman"/>
        </w:rPr>
        <w:t xml:space="preserve">“Do you think the female symbols you are concerned with are the products of a female perspective, or are they the products influenced by a male perspective?” This is a question asked after the tutor knew my research interest. This query motivated me to concentrate on feminist philosophy and research the opinions of feminist artists. When I go back and look at the body symbols made by the female artists I initially looked at, such Georgia Eugene's flower symbols, I realize that flowers are an indication of what a female body looks like from a male perspective. And from the standpoint of a woman, what should the body symbols be? What should women look for in their bodies? With these inquiries, I started my search for solutions. </w:t>
      </w:r>
    </w:p>
    <w:p>
      <w:pPr>
        <w:pStyle w:val="6"/>
        <w:ind w:left="360" w:firstLine="0" w:firstLineChars="0"/>
        <w:rPr>
          <w:rFonts w:ascii="Times New Roman" w:hAnsi="Times New Roman" w:cs="Times New Roman"/>
        </w:rPr>
      </w:pPr>
    </w:p>
    <w:p>
      <w:pPr>
        <w:pStyle w:val="6"/>
        <w:numPr>
          <w:ilvl w:val="1"/>
          <w:numId w:val="1"/>
        </w:numPr>
        <w:ind w:firstLineChars="0"/>
        <w:rPr>
          <w:rFonts w:ascii="Times New Roman" w:hAnsi="Times New Roman" w:cs="Times New Roman"/>
        </w:rPr>
      </w:pPr>
      <w:r>
        <w:rPr>
          <w:rFonts w:ascii="Times New Roman" w:hAnsi="Times New Roman" w:cs="Times New Roman"/>
        </w:rPr>
        <w:t>Research objects and scope</w:t>
      </w:r>
    </w:p>
    <w:p>
      <w:pPr>
        <w:pStyle w:val="6"/>
        <w:ind w:left="360" w:firstLine="0" w:firstLineChars="0"/>
        <w:rPr>
          <w:rFonts w:ascii="Times New Roman" w:hAnsi="Times New Roman" w:cs="Times New Roman"/>
        </w:rPr>
      </w:pPr>
      <w:r>
        <w:rPr>
          <w:rFonts w:ascii="Times New Roman" w:hAnsi="Times New Roman" w:cs="Times New Roman"/>
        </w:rPr>
        <w:t xml:space="preserve">In </w:t>
      </w:r>
      <w:r>
        <w:rPr>
          <w:rFonts w:ascii="Times New Roman" w:hAnsi="Times New Roman" w:cs="Times New Roman"/>
          <w:i/>
          <w:iCs/>
        </w:rPr>
        <w:t>Volatile Bodies: Towards a Corporeal Feminism</w:t>
      </w:r>
      <w:r>
        <w:rPr>
          <w:rFonts w:ascii="Times New Roman" w:hAnsi="Times New Roman" w:cs="Times New Roman"/>
        </w:rPr>
        <w:t xml:space="preserve">, Elizabeth Grosz (1994) reviewed the theories of Freud, Racon, Mello-Ponti, Foucault, Delors, and others on the issue of the body, and she held that the body they theorized was masculine. She looked to the bodily processes that are unique to women: menstruation, pregnancy, childbirth, breastfeeding, and menopause because these thinkers did not provide an explanation of the "human" body but rather of the masculine body. Since I've been afraid of fertility since I was a young child and believed it to be painful and bloody, and because Chinese fertility education is flawed and I wasn't taught professional fertility knowledge, I was interested in learning whether women's experiences with pregnancy can change how they view their bodies. My attention was drawn to fertility art, a distinctive subset of feminist culture. </w:t>
      </w:r>
    </w:p>
    <w:p>
      <w:pPr>
        <w:pStyle w:val="6"/>
        <w:ind w:left="360" w:firstLine="0" w:firstLineChars="0"/>
        <w:rPr>
          <w:rFonts w:ascii="Times New Roman" w:hAnsi="Times New Roman" w:cs="Times New Roman"/>
        </w:rPr>
      </w:pPr>
    </w:p>
    <w:p>
      <w:pPr>
        <w:pStyle w:val="6"/>
        <w:ind w:left="360" w:firstLine="0" w:firstLineChars="0"/>
        <w:rPr>
          <w:rFonts w:ascii="Times New Roman" w:hAnsi="Times New Roman" w:cs="Times New Roman"/>
        </w:rPr>
      </w:pPr>
      <w:r>
        <w:rPr>
          <w:rFonts w:ascii="Times New Roman" w:hAnsi="Times New Roman" w:cs="Times New Roman"/>
        </w:rPr>
        <w:t xml:space="preserve">Judy Chicago, a feminist artist, created "The Birth Project", an artwork that explores the topic. Few birth pictures, especially from a female perspective, can be found in Western art, according to Judy Chicago (2013). Judy Chicago (2013) believes that male artists focus only on topics they think are important and therefore avoid depicting births. In response, her artistic practice employs the numerous facets of design, composition, and content to depict this fundamental experience of birth (DeBiaso, 2013). 150 female participants were sewn onto a needle sample that Judy Chicago had previously designed as part of the participatory project. In addition to being required to translate the artist's original concept into needle line, participants also had to fulfil the many demands placed on them by their jobs, families, and homework (DeBiaso, 2013). This led to the creation of artwork that not only depicts the viewpoint of Judy Chicago but also that of the other participants as well as their respective professional and familial backgrounds, illustrating the differing views that diverse women have on conception. Additionally, Chicago (2013) noted the potential for the different textile and needle-living techniques used in the "birth plan" work to produce instructional visuals of the labor and delivery process (fig. 1). </w:t>
      </w:r>
    </w:p>
    <w:p>
      <w:pPr>
        <w:pStyle w:val="6"/>
        <w:ind w:left="360" w:firstLine="0" w:firstLineChars="0"/>
        <w:rPr>
          <w:rFonts w:ascii="Times New Roman" w:hAnsi="Times New Roman" w:cs="Times New Roman"/>
        </w:rPr>
      </w:pPr>
    </w:p>
    <w:p>
      <w:pPr>
        <w:jc w:val="center"/>
      </w:pPr>
      <w:r>
        <w:drawing>
          <wp:inline distT="0" distB="0" distL="0" distR="0">
            <wp:extent cx="1557655" cy="1633855"/>
            <wp:effectExtent l="0" t="0" r="4445" b="4445"/>
            <wp:docPr id="1" name="图片 1"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中度可信度描述已自动生成"/>
                    <pic:cNvPicPr>
                      <a:picLocks noChangeAspect="1"/>
                    </pic:cNvPicPr>
                  </pic:nvPicPr>
                  <pic:blipFill>
                    <a:blip r:embed="rId5"/>
                    <a:stretch>
                      <a:fillRect/>
                    </a:stretch>
                  </pic:blipFill>
                  <pic:spPr>
                    <a:xfrm>
                      <a:off x="0" y="0"/>
                      <a:ext cx="1579752" cy="1657444"/>
                    </a:xfrm>
                    <a:prstGeom prst="rect">
                      <a:avLst/>
                    </a:prstGeom>
                  </pic:spPr>
                </pic:pic>
              </a:graphicData>
            </a:graphic>
          </wp:inline>
        </w:drawing>
      </w:r>
    </w:p>
    <w:p>
      <w:pPr>
        <w:jc w:val="center"/>
        <w:rPr>
          <w:rFonts w:ascii="Times New Roman" w:hAnsi="Times New Roman" w:cs="Times New Roman"/>
          <w:sz w:val="18"/>
          <w:szCs w:val="21"/>
        </w:rPr>
      </w:pPr>
      <w:r>
        <w:rPr>
          <w:rFonts w:ascii="Times New Roman" w:hAnsi="Times New Roman" w:cs="Times New Roman"/>
          <w:sz w:val="18"/>
          <w:szCs w:val="21"/>
        </w:rPr>
        <w:t>Fig 1, Judy Chicago, Birth Garment 2: Flowering Shrub, 1984,</w:t>
      </w:r>
    </w:p>
    <w:p>
      <w:pPr>
        <w:jc w:val="center"/>
        <w:rPr>
          <w:rFonts w:ascii="Times New Roman" w:hAnsi="Times New Roman" w:cs="Times New Roman"/>
          <w:sz w:val="18"/>
          <w:szCs w:val="21"/>
        </w:rPr>
      </w:pPr>
      <w:r>
        <w:rPr>
          <w:rFonts w:ascii="Times New Roman" w:hAnsi="Times New Roman" w:cs="Times New Roman"/>
          <w:sz w:val="18"/>
          <w:szCs w:val="21"/>
        </w:rPr>
        <w:t>dyeing, spinning, weaving, and needlepoint on fabric.</w:t>
      </w:r>
    </w:p>
    <w:p>
      <w:pPr>
        <w:rPr>
          <w:rFonts w:ascii="Times New Roman" w:hAnsi="Times New Roman" w:cs="Times New Roman"/>
        </w:rPr>
      </w:pPr>
    </w:p>
    <w:p>
      <w:pPr>
        <w:ind w:left="420" w:leftChars="200"/>
        <w:rPr>
          <w:rFonts w:ascii="Times New Roman" w:hAnsi="Times New Roman" w:cs="Times New Roman"/>
        </w:rPr>
      </w:pPr>
      <w:r>
        <w:rPr>
          <w:rFonts w:ascii="Times New Roman" w:hAnsi="Times New Roman" w:cs="Times New Roman"/>
        </w:rPr>
        <w:t>I was inspired by Judy Chicago's participatory art programme to think about the fertility arts that are currently being practised in China, and I used the questions that followed to mimic those practices:</w:t>
      </w:r>
    </w:p>
    <w:p>
      <w:pPr>
        <w:ind w:left="420" w:leftChars="200"/>
        <w:rPr>
          <w:rFonts w:ascii="Times New Roman" w:hAnsi="Times New Roman" w:cs="Times New Roman"/>
        </w:rPr>
      </w:pPr>
      <w:r>
        <w:rPr>
          <w:rFonts w:ascii="Times New Roman" w:hAnsi="Times New Roman" w:cs="Times New Roman"/>
        </w:rPr>
        <w:t>Is Chinese fertility art a product of a woman’s perspective?</w:t>
      </w:r>
    </w:p>
    <w:p>
      <w:pPr>
        <w:ind w:left="420" w:leftChars="200"/>
        <w:rPr>
          <w:rFonts w:ascii="Times New Roman" w:hAnsi="Times New Roman" w:cs="Times New Roman"/>
        </w:rPr>
      </w:pPr>
      <w:r>
        <w:rPr>
          <w:rFonts w:ascii="Times New Roman" w:hAnsi="Times New Roman" w:cs="Times New Roman"/>
        </w:rPr>
        <w:t>Does Chinese birth art have birth images?</w:t>
      </w:r>
    </w:p>
    <w:p>
      <w:pPr>
        <w:ind w:left="420" w:leftChars="200"/>
        <w:rPr>
          <w:rFonts w:ascii="Times New Roman" w:hAnsi="Times New Roman" w:cs="Times New Roman"/>
        </w:rPr>
      </w:pPr>
      <w:r>
        <w:rPr>
          <w:rFonts w:ascii="Times New Roman" w:hAnsi="Times New Roman" w:cs="Times New Roman"/>
        </w:rPr>
        <w:t>Does Chinese fertility art have a function of disseminating fertility knowledge?</w:t>
      </w:r>
    </w:p>
    <w:p>
      <w:pPr>
        <w:rPr>
          <w:rFonts w:ascii="Times New Roman" w:hAnsi="Times New Roman" w:cs="Times New Roman"/>
        </w:rPr>
      </w:pPr>
    </w:p>
    <w:p>
      <w:pPr>
        <w:ind w:left="420" w:leftChars="200"/>
        <w:rPr>
          <w:rFonts w:ascii="Times New Roman" w:hAnsi="Times New Roman" w:cs="Times New Roman"/>
        </w:rPr>
      </w:pPr>
      <w:r>
        <w:rPr>
          <w:rFonts w:ascii="Times New Roman" w:hAnsi="Times New Roman" w:cs="Times New Roman"/>
        </w:rPr>
        <w:t xml:space="preserve">I discovered that some of the fertility art works in China are the result of a female perspective but lack the presence of birth imagery and do not serve the purpose of disseminating fertile knowledge when I re-understood the fertile art of Chinese female artists and the story behind their works. Furthermore, as a young woman raised in a traditional Confucian culture and under the influence of Chinese nationalism, the triangle, moral principles, life experiences, and family perspectives all contributed to my development of a psychological fear of fertility. At the same time, however, my lack of knowledge about fertility left me both curious and terrified about this particular experience that women have. Additionally, Judy Chicago's interactive art initiative inspired me to start considering the significance of participatory arts. </w:t>
      </w:r>
    </w:p>
    <w:p>
      <w:pPr>
        <w:rPr>
          <w:rFonts w:ascii="Times New Roman" w:hAnsi="Times New Roman" w:cs="Times New Roman"/>
        </w:rPr>
      </w:pPr>
    </w:p>
    <w:p>
      <w:pPr>
        <w:ind w:left="420" w:leftChars="200"/>
        <w:rPr>
          <w:rFonts w:ascii="Times New Roman" w:hAnsi="Times New Roman" w:cs="Times New Roman"/>
        </w:rPr>
      </w:pPr>
      <w:r>
        <w:rPr>
          <w:rFonts w:ascii="Times New Roman" w:hAnsi="Times New Roman" w:cs="Times New Roman"/>
        </w:rPr>
        <w:t xml:space="preserve">Fertility, the transmission of fertility experiences, perception, and interaction are the three key prompt words that drive my research. The topic I've studied is fertility, but having children is a special experience for women those unborn girls do not have. Having children is a chance for women to become more self-aware and to rediscover their body's power and awareness. This distinction can be seen in the reproductive arts, where the artwork of fertile female artists reflects the physical meaning while the work of infertile female artists expresses radical feminism and is an expression of the opposition to paternity by featuring female fertility themes. Where is the female self-position in these avant-garde works? Can participatory art, like the Chicago Project, evoke women's viewpoints and promote knowledge about fertility? </w:t>
      </w:r>
    </w:p>
    <w:p>
      <w:pPr>
        <w:ind w:left="420" w:leftChars="200"/>
        <w:rPr>
          <w:rFonts w:ascii="Times New Roman" w:hAnsi="Times New Roman" w:cs="Times New Roman"/>
        </w:rPr>
      </w:pPr>
      <w:bookmarkStart w:id="0" w:name="_GoBack"/>
      <w:bookmarkEnd w:id="0"/>
    </w:p>
    <w:p>
      <w:pPr>
        <w:pStyle w:val="6"/>
        <w:numPr>
          <w:ilvl w:val="1"/>
          <w:numId w:val="1"/>
        </w:numPr>
        <w:ind w:firstLineChars="0"/>
        <w:rPr>
          <w:rFonts w:ascii="Times New Roman" w:hAnsi="Times New Roman" w:cs="Times New Roman"/>
        </w:rPr>
      </w:pPr>
      <w:r>
        <w:rPr>
          <w:rFonts w:ascii="Times New Roman" w:hAnsi="Times New Roman" w:cs="Times New Roman"/>
        </w:rPr>
        <w:t>The power of art encounter</w:t>
      </w:r>
    </w:p>
    <w:p>
      <w:pPr>
        <w:pStyle w:val="6"/>
        <w:ind w:left="360" w:firstLine="0" w:firstLineChars="0"/>
        <w:rPr>
          <w:rFonts w:ascii="Times New Roman" w:hAnsi="Times New Roman" w:cs="Times New Roman"/>
        </w:rPr>
      </w:pPr>
      <w:r>
        <w:rPr>
          <w:rFonts w:ascii="Times New Roman" w:hAnsi="Times New Roman" w:cs="Times New Roman"/>
        </w:rPr>
        <w:t xml:space="preserve">I clarified the research question before starting to consider the design of my study. Autoethnography, ethnography, narrative research, and interpretative phenomenology were the methodologies I intended to apply. In order to understand why I had psychological grounds for fearing pregnancy, I first wanted to convey my personal experiences and growth via self-nationality. In the process of doing so, I also intended to inadvertently highlight changes in the status of women in China. I place a lot of importance on my experiences with art in addition to my upbringing. An encounter may cause a certain bodily sensation. An emotion is a change from one condition to another; it is a change in the body's ability to act or in its power or capacity to do so (Deleuze 1988b). The art encounter is perceived as being reconsidered as a transforming machine, or a combination, that permits unique generative and lived experiments, as opposed to a technology that propagates adaptive and habitual postures (Beier, 2014). Art encounter, in the opinion of Deleuze and Guattari (1994), are thought to be learning catalysts. My art encounter with Loie Hollowell and Yuetong Chen prompted me to reevaluate the value of female pregnancy. Female artist Yuetong Chen recently gave birth, and the stretch marks she acquired throughout her pregnancy caused her to reflect on the inclusivity of the female body. Unavoidable for all pregnant women, stretch marks are a nuisance. YueTong Chen made the decision to watch trees, look at online stretch mark photographs, and discover ways to accept herself in order to reduce her anxiety. However, reality and fantasy are not the same thing. Since there was no way to avoid the pitted lines that started to develop on YueTong Chen's body, she explains, "I started to let myself watch and photograph them for a lengthy period, watching, getting used to, and adjusting to them. I allowed myself to recover by transforming them into photography pieces (fig.2). I am appreciative to art for providing me with a creative outlet and daring me to expose my lines to the public. I had a big wave of emotions as a result of this art encounter, and her work gave me the impression that art was no longer merely a jumbled-up compositional plane (Deleuze &amp; Guattari 1994, p. 118). But as Broderick (2015) points out, art is an extraordinary thing that has the power to go beyond what the body can comprehend, create, and connect to. I first witnessed the artistic potential for education and its capacity to foster psychological transformation. This experience caused me to start thinking about the purpose of art, the purpose of art education, and the potential for art engagement. Deleuze argues that contemporary art has transcended the boundaries of traditional aesthetics and that the goal of art should be to capture power rather than to replicate form by rejecting the aesthetic regime in which compositional vigor operates solely within the frame of the work (Deleuze, 2005). After having a new perspective on the value of art as a result of this creative experience, I started to consider how my theoretical framework and methods of practice should address my research question, which is whether participatory art can spread information about fertility and improve the social well-being of women. </w:t>
      </w:r>
    </w:p>
    <w:p>
      <w:pPr>
        <w:pStyle w:val="6"/>
        <w:ind w:left="360"/>
        <w:rPr>
          <w:rFonts w:ascii="Times New Roman" w:hAnsi="Times New Roman" w:cs="Times New Roman"/>
        </w:rPr>
      </w:pPr>
    </w:p>
    <w:p>
      <w:pPr>
        <w:pStyle w:val="6"/>
        <w:ind w:left="360"/>
        <w:jc w:val="center"/>
        <w:rPr>
          <w:rFonts w:ascii="Times New Roman" w:hAnsi="Times New Roman" w:cs="Times New Roman"/>
        </w:rPr>
      </w:pPr>
      <w:r>
        <w:rPr>
          <w:rFonts w:ascii="Times New Roman" w:hAnsi="Times New Roman" w:cs="Times New Roman"/>
        </w:rPr>
        <w:drawing>
          <wp:inline distT="0" distB="0" distL="0" distR="0">
            <wp:extent cx="1595755" cy="1196975"/>
            <wp:effectExtent l="0" t="0" r="4445" b="0"/>
            <wp:docPr id="2" name="图片 2" descr="许多照片放在一起&#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许多照片放在一起&#10;&#10;描述已自动生成"/>
                    <pic:cNvPicPr>
                      <a:picLocks noChangeAspect="1"/>
                    </pic:cNvPicPr>
                  </pic:nvPicPr>
                  <pic:blipFill>
                    <a:blip r:embed="rId6"/>
                    <a:stretch>
                      <a:fillRect/>
                    </a:stretch>
                  </pic:blipFill>
                  <pic:spPr>
                    <a:xfrm>
                      <a:off x="0" y="0"/>
                      <a:ext cx="1596044" cy="1197129"/>
                    </a:xfrm>
                    <a:prstGeom prst="rect">
                      <a:avLst/>
                    </a:prstGeom>
                  </pic:spPr>
                </pic:pic>
              </a:graphicData>
            </a:graphic>
          </wp:inline>
        </w:drawing>
      </w:r>
    </w:p>
    <w:p>
      <w:pPr>
        <w:pStyle w:val="6"/>
        <w:ind w:left="360" w:firstLine="360"/>
        <w:jc w:val="center"/>
        <w:rPr>
          <w:rFonts w:hint="eastAsia" w:ascii="Times New Roman" w:hAnsi="Times New Roman" w:cs="Times New Roman"/>
          <w:sz w:val="16"/>
          <w:szCs w:val="20"/>
        </w:rPr>
      </w:pPr>
      <w:r>
        <w:rPr>
          <w:rFonts w:ascii="Times New Roman" w:hAnsi="Times New Roman" w:cs="Times New Roman"/>
          <w:sz w:val="18"/>
          <w:szCs w:val="21"/>
        </w:rPr>
        <w:t>Fig 2, Rebirth, Yuetong Chen</w:t>
      </w:r>
    </w:p>
    <w:p>
      <w:pPr>
        <w:pStyle w:val="6"/>
        <w:ind w:left="360"/>
        <w:rPr>
          <w:rFonts w:ascii="Times New Roman" w:hAnsi="Times New Roman" w:cs="Times New Roman"/>
        </w:rPr>
      </w:pPr>
    </w:p>
    <w:p>
      <w:pPr>
        <w:jc w:val="left"/>
        <w:rPr>
          <w:rFonts w:ascii="Times New Roman" w:hAnsi="Times New Roman" w:cs="Times New Roman"/>
        </w:rPr>
      </w:pPr>
      <w:r>
        <w:rPr>
          <w:rFonts w:ascii="Times New Roman" w:hAnsi="Times New Roman" w:cs="Times New Roman"/>
        </w:rPr>
        <w:t>Section 2 Theory and Practice</w:t>
      </w:r>
    </w:p>
    <w:p>
      <w:pPr>
        <w:jc w:val="left"/>
        <w:rPr>
          <w:rFonts w:ascii="Times New Roman" w:hAnsi="Times New Roman" w:cs="Times New Roman"/>
        </w:rPr>
      </w:pPr>
      <w:r>
        <w:rPr>
          <w:rFonts w:hint="eastAsia" w:ascii="Times New Roman" w:hAnsi="Times New Roman" w:cs="Times New Roman"/>
        </w:rPr>
        <w:t>2</w:t>
      </w:r>
      <w:r>
        <w:rPr>
          <w:rFonts w:ascii="Times New Roman" w:hAnsi="Times New Roman" w:cs="Times New Roman"/>
        </w:rPr>
        <w:t>.1 Theoretical framework and constructs</w:t>
      </w:r>
    </w:p>
    <w:p>
      <w:pPr>
        <w:ind w:left="315" w:leftChars="150"/>
        <w:rPr>
          <w:rFonts w:ascii="Times New Roman" w:hAnsi="Times New Roman" w:cs="Times New Roman"/>
        </w:rPr>
      </w:pPr>
      <w:r>
        <w:rPr>
          <w:rFonts w:ascii="Times New Roman" w:hAnsi="Times New Roman" w:cs="Times New Roman"/>
        </w:rPr>
        <w:t xml:space="preserve">As a practice-based Ph.D. candidate in the arts, my creative practice serves as the vehicle through which I respond to my research concerns, and theory serves as the framework for my artistic practice. </w:t>
      </w:r>
    </w:p>
    <w:p>
      <w:pPr>
        <w:ind w:left="420" w:leftChars="200" w:firstLine="420" w:firstLineChars="200"/>
        <w:jc w:val="left"/>
        <w:rPr>
          <w:rFonts w:ascii="Times New Roman" w:hAnsi="Times New Roman" w:cs="Times New Roman"/>
        </w:rPr>
      </w:pPr>
    </w:p>
    <w:p>
      <w:pPr>
        <w:ind w:left="315" w:leftChars="150"/>
        <w:rPr>
          <w:rFonts w:ascii="Times New Roman Regular" w:hAnsi="Times New Roman Regular" w:eastAsia="Times New Roman"/>
          <w:color w:val="000000"/>
        </w:rPr>
      </w:pPr>
      <w:r>
        <w:rPr>
          <w:rFonts w:ascii="Times New Roman" w:hAnsi="Times New Roman" w:cs="Times New Roman"/>
        </w:rPr>
        <w:t>Over the last decade, there have been several attempts to develop and extend research methodologies in the creative arts that have a particular focus on creative practice (Frayling,1993,1997; Sreand, 1998; Margolin, 1998)</w:t>
      </w:r>
      <w:r>
        <w:t xml:space="preserve">. </w:t>
      </w:r>
      <w:r>
        <w:rPr>
          <w:rFonts w:ascii="Times New Roman" w:hAnsi="Times New Roman" w:cs="Times New Roman"/>
        </w:rPr>
        <w:t>Since it "typically does not begin with a predetermined set of questions or hypotheses, but rather emerges from the particular situation or context being investigated," creative arts research is sometimes viewed as qualitative (Frayling, 1997). I've been a young woman in China for 20 years, and throughout that time I have seen both the economic growth and the steady drop in its birthrate. Unquestionably, one of the factors preventing women from becoming mothers is the pressures of the workplace and the economy. The security and well-being of women after giving birth have been improved through measures adopted by some academics. The low fertility rate in China has not improved, despite these policies. There are a lot of comments that state "Fertility is unfortunate," "Fertility hurts, I don't want to have a baby in my life!" when looking for fertility/pregnancy themes on Xiaohongshu, one of China's social media platforms. "I don't want to have kids in my life," and "Isn't it true that having kids puts people's lives in danger?" There is no mention of money, employment, or other factors in these women's actual thoughts. Consequently, the status of women is disregarded, as are the actual causes of women's fear of childbirth. And as a feminist, I want to hear from diverse girls and comprehend the views of other women on childbirth. As a result, I have selected perspective feminism as my theory in terms of feminism. In order to comprehend how women's realities are structured and how social relationships and societal institutions affect their experiences, Smith (1987) developed viewpoint theory by analyzing women's expressions. In a nutshell, its information produced by women (</w:t>
      </w:r>
      <w:r>
        <w:rPr>
          <w:rFonts w:ascii="Times New Roman Regular" w:hAnsi="Times New Roman Regular" w:eastAsia="Times New Roman"/>
          <w:color w:val="000000"/>
        </w:rPr>
        <w:t>Wigginton; Lafrance</w:t>
      </w:r>
      <w:r>
        <w:rPr>
          <w:rFonts w:eastAsia="Times New Roman"/>
          <w:color w:val="000000"/>
        </w:rPr>
        <w:t xml:space="preserve">, </w:t>
      </w:r>
      <w:r>
        <w:rPr>
          <w:rFonts w:ascii="Times New Roman Regular" w:hAnsi="Times New Roman Regular" w:eastAsia="Times New Roman"/>
          <w:color w:val="000000"/>
        </w:rPr>
        <w:t xml:space="preserve">2019). In order to highlight "marginalized voices," standpoint theorists have started to investigate the experiences of people who do not belong to the dominant population rather than beginning with the a priori categories and presumptions of empiricist science. This research aims to open new perspectives on the world and advance understanding. Although feminism has helped some women in China gain more mental freedom, males still hold most of the power, therefore women's "marginalized voices" need to be heard. Furthermore, the contextual knowledge argument supports the standpoint theory's claim that social location systematically shapes and limits what we encounter, hence influencing how we learn and forming the viewpoint from which information is obtained (Wylie, 2003). Despite the fact that some young women in China have the same fear of childbirth, their opinions on it vary according to their varying social statuses and educational backgrounds. It is impossible to ignore the similarities between their stances as a whole, though. According to Smith (1997), women are able to recognize patterns in their experiences and link those patterns to oppressive systems. As a result, from this level, the defense of the theory of feminist positions is based on recognizing communities rather than individuals (Intemann, 2010). </w:t>
      </w:r>
    </w:p>
    <w:p>
      <w:pPr>
        <w:ind w:left="420" w:leftChars="20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Standpoint feminism can help me understand positions from women in order to target fertility anxieties from women and promote social well-being. However, outside of the traditional classroom delivery model, how women can understand the experience of and learn about fertility needs to be gained through interactions with experienced people or experts. Although there are numerous aspects that affect active learning (Bell &amp; Kozlowski, 2010), the literature suggests that social connection is a major factor (Hrastinski, 2008). Sims (2003) believes that interaction not only encourages students to learn, but also encourages them to concentrate, actively engage and commit to exchanging ideas with each other. This study assumes that through creative engagement between young women and female artists or female fertility experts, women might develop new ideas about fertility, hence boosting social well-being. Women's perceptions of fertility are based on a certain position in this study. In addition to interaction, being in a certain situation can also promote cognition. Situated cognition is a theory that believes that knowledge is inseparable from action (Brown, Collins, &amp; Duguid, 1989; Greeno, 1989), and that knowledge lies in activities related to social, cultural and physical backgrounds (Greeno &amp; Moore, 1993). According to Clancey (1997), the basis of situated cognition is the notion that each human thought is specifically suited to the immediate environment. A person's perception, their ability to envisage their actions, and their physical behaviors all develop at the same time. The socio-cultural environment, rather than only the surroundings of the individual, is the foundation of the situated cognition theory. According to Driscoll (2005), people in a society acquire knowledge through their daily activities. The context created by participatory art interaction is an interactive activity that is socially and culturally relevant in which women interact and share ideas through language, and experienced women pass on their experiences to inexperienced women through language and other forms of interaction, allowing inexperienced women to learn new information. </w:t>
      </w:r>
    </w:p>
    <w:p>
      <w:pPr>
        <w:ind w:left="420" w:leftChars="20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In summary, the theoretical framework of my study is made up of standpoint feminism, interaction theory and situated cognition theory (fig.3). The newly acquired knowledge generated through interaction theory and situated cognition theory may aid the initial cognition, as the image illustrates. While both situated cognition theory and theory of situational knowledge of Haraway (1988) are theories that concentrate on situations, in this study, feminist standpoint theory of situational knowledge focuses on the social location of childbearing anxious women and the knowledge that they have acquired in previous situations. Interaction theory focuses on new knowledge acquired through interactions in a setting, whereas situational cognition theory emphasizes new knowledge received through interactions in a situation. </w:t>
      </w:r>
    </w:p>
    <w:p>
      <w:pPr>
        <w:ind w:left="420" w:leftChars="200"/>
        <w:rPr>
          <w:rFonts w:ascii="Times New Roman Regular" w:hAnsi="Times New Roman Regular" w:eastAsia="Times New Roman"/>
          <w:color w:val="000000"/>
        </w:rPr>
      </w:pPr>
    </w:p>
    <w:p>
      <w:pPr>
        <w:ind w:left="420" w:leftChars="200"/>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2825750" cy="1320800"/>
            <wp:effectExtent l="0" t="0" r="0" b="0"/>
            <wp:docPr id="3" name="图片 3" descr="图示,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 文本&#10;&#10;描述已自动生成"/>
                    <pic:cNvPicPr>
                      <a:picLocks noChangeAspect="1"/>
                    </pic:cNvPicPr>
                  </pic:nvPicPr>
                  <pic:blipFill>
                    <a:blip r:embed="rId7"/>
                    <a:stretch>
                      <a:fillRect/>
                    </a:stretch>
                  </pic:blipFill>
                  <pic:spPr>
                    <a:xfrm>
                      <a:off x="0" y="0"/>
                      <a:ext cx="2839119" cy="1327269"/>
                    </a:xfrm>
                    <a:prstGeom prst="rect">
                      <a:avLst/>
                    </a:prstGeom>
                  </pic:spPr>
                </pic:pic>
              </a:graphicData>
            </a:graphic>
          </wp:inline>
        </w:drawing>
      </w:r>
    </w:p>
    <w:p>
      <w:pPr>
        <w:ind w:left="420" w:leftChars="200"/>
        <w:jc w:val="center"/>
        <w:rPr>
          <w:rFonts w:hint="eastAsia"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3, Theoretical framework image</w:t>
      </w:r>
    </w:p>
    <w:p>
      <w:pPr>
        <w:jc w:val="left"/>
        <w:rPr>
          <w:rFonts w:ascii="Times New Roman Regular" w:hAnsi="Times New Roman Regular" w:eastAsia="Times New Roman"/>
          <w:color w:val="000000"/>
        </w:rPr>
      </w:pPr>
    </w:p>
    <w:p>
      <w:pPr>
        <w:jc w:val="left"/>
        <w:rPr>
          <w:rFonts w:ascii="Times New Roman Regular" w:hAnsi="Times New Roman Regular" w:eastAsia="Times New Roman"/>
          <w:color w:val="000000"/>
        </w:rPr>
      </w:pPr>
      <w:r>
        <w:rPr>
          <w:rFonts w:hint="eastAsia" w:ascii="Times New Roman Regular" w:hAnsi="Times New Roman Regular" w:eastAsia="Times New Roman"/>
          <w:color w:val="000000"/>
        </w:rPr>
        <w:t>2</w:t>
      </w:r>
      <w:r>
        <w:rPr>
          <w:rFonts w:ascii="Times New Roman Regular" w:hAnsi="Times New Roman Regular" w:eastAsia="Times New Roman"/>
          <w:color w:val="000000"/>
        </w:rPr>
        <w:t>.2 Vision for Artistic Practice</w:t>
      </w:r>
    </w:p>
    <w:p>
      <w:pPr>
        <w:ind w:left="315" w:leftChars="150"/>
        <w:jc w:val="left"/>
        <w:rPr>
          <w:rFonts w:ascii="Times New Roman Regular" w:hAnsi="Times New Roman Regular" w:eastAsia="Times New Roman"/>
          <w:color w:val="000000"/>
        </w:rPr>
      </w:pPr>
      <w:r>
        <w:rPr>
          <w:rFonts w:ascii="Times New Roman Regular" w:hAnsi="Times New Roman Regular" w:eastAsia="Times New Roman"/>
          <w:color w:val="000000"/>
        </w:rPr>
        <w:t>“I never made a painting as a work of art, it is all research.”</w:t>
      </w:r>
    </w:p>
    <w:p>
      <w:pPr>
        <w:ind w:left="315" w:leftChars="150"/>
        <w:jc w:val="left"/>
        <w:rPr>
          <w:rFonts w:ascii="Times New Roman Regular" w:hAnsi="Times New Roman Regular" w:eastAsia="Times New Roman"/>
          <w:color w:val="000000"/>
        </w:rPr>
      </w:pPr>
      <w:r>
        <w:rPr>
          <w:rFonts w:hint="eastAsia" w:ascii="Times New Roman Regular" w:hAnsi="Times New Roman Regular" w:eastAsia="Times New Roman"/>
          <w:color w:val="000000"/>
        </w:rPr>
        <w:t>—</w:t>
      </w:r>
      <w:r>
        <w:rPr>
          <w:rFonts w:ascii="Times New Roman Regular" w:hAnsi="Times New Roman Regular" w:eastAsia="Times New Roman"/>
          <w:color w:val="000000"/>
        </w:rPr>
        <w:t>—Pablo Picasso</w:t>
      </w:r>
    </w:p>
    <w:p>
      <w:pPr>
        <w:ind w:left="315" w:leftChars="150" w:firstLine="340"/>
        <w:jc w:val="left"/>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Art-based research can be described as the methodical application of the creative process to actual artistic expression across all art genres. These studies are different from those where the arts might be a significant component of the research; instead, they serve as data for research projects being done in academic areas (Shaun McNiff, 2007).  Today, arts practice comprises a wide range of forms, such as music, dance, theatre, interactive arts, and participatory arts, in addition to traditional art forms like painting. With a focus on direct involvement with local objectives and views, participatory arts are a research-to-performance method of participatory research (Cornwall &amp; Jewkes, 1995). According to Jagosh et al. (2012), participatory research (PR) places a high priority on the co-construction of research through collaborations between researchers and community members, stakeholders, or other people with firsthand knowledge and lived experience. Participatory arts and wellbeing are strongly tied since being creative professionally is frequently thought to be a happy experience. This is particularly true with engaging in the arts, which has been shown to frequently enhance physical and mental well-being (Stuckey &amp; Nobel, 2010). Participatory arts are frequently mentioned in studies of elderly persons, women, and young people in current research. Taking part in professionally run community-based creative initiatives over the long term among older populations has been shown to lower medical visits, substance use, falls, sadness, and loneliness (Demecs &amp; Miller, 2018). Furthermore, according to Cohen et al. (2006), social participation in a variety of creative arts, such as singing, writing, painting, and poetry, promotes a sense of personal mastery and lifelong learning. </w:t>
      </w:r>
    </w:p>
    <w:p>
      <w:pPr>
        <w:ind w:left="315" w:leftChars="15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Participatory art has been employed in studies with women as well as research involving older adults, such as that with older persons in Uganda (Waite &amp; Conn, 2011), research involving motherhood (Hogan, 2015), and more. The function of interactive art aligns with my study goal of trying to advance the welfare of women in China, but that is not the sole justification. When I visited the London Design Biennale in June of this year, I was immediately drawn to an interactive art piece that used knitting. The weaving facility in the project is conceptually shown in Figure 4 and is organized around five components (Figure 5), which are knowledge, nature, well-being, creativity, and inspiration. Participants can select one of these five factors that they feel is crucial to weaving a natural and better future (Figure 6). It is hypothesized that these five elements will generate the prosperity of the next generation. When I arrived, the project had made some headway and the machine had already been knitted in part, which would have been a positive prayer for the future from various people (Fig. 7). It also functions as a form of telling at the same time. </w:t>
      </w:r>
    </w:p>
    <w:p>
      <w:pPr>
        <w:ind w:left="420" w:leftChars="200"/>
        <w:rPr>
          <w:rFonts w:ascii="Times New Roman Regular" w:hAnsi="Times New Roman Regular" w:eastAsia="Times New Roman"/>
          <w:color w:val="000000"/>
        </w:rPr>
      </w:pPr>
    </w:p>
    <w:p>
      <w:pPr>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2884170" cy="1627505"/>
            <wp:effectExtent l="0" t="0" r="0" b="0"/>
            <wp:docPr id="4" name="图片 4" descr="图片包含 桌子, 蛋糕, 前, 乐高&#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包含 桌子, 蛋糕, 前, 乐高&#10;&#10;描述已自动生成"/>
                    <pic:cNvPicPr>
                      <a:picLocks noChangeAspect="1"/>
                    </pic:cNvPicPr>
                  </pic:nvPicPr>
                  <pic:blipFill>
                    <a:blip r:embed="rId8"/>
                    <a:stretch>
                      <a:fillRect/>
                    </a:stretch>
                  </pic:blipFill>
                  <pic:spPr>
                    <a:xfrm>
                      <a:off x="0" y="0"/>
                      <a:ext cx="2901616" cy="1637354"/>
                    </a:xfrm>
                    <a:prstGeom prst="rect">
                      <a:avLst/>
                    </a:prstGeom>
                  </pic:spPr>
                </pic:pic>
              </a:graphicData>
            </a:graphic>
          </wp:inline>
        </w:drawing>
      </w:r>
    </w:p>
    <w:p>
      <w:pPr>
        <w:jc w:val="center"/>
        <w:rPr>
          <w:rFonts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4, weaving project model</w:t>
      </w:r>
    </w:p>
    <w:p>
      <w:pPr>
        <w:ind w:left="420" w:leftChars="200"/>
        <w:rPr>
          <w:rFonts w:ascii="Times New Roman Regular" w:hAnsi="Times New Roman Regular" w:eastAsia="Times New Roman"/>
          <w:color w:val="000000"/>
        </w:rPr>
      </w:pPr>
    </w:p>
    <w:p>
      <w:pPr>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1319530" cy="1404620"/>
            <wp:effectExtent l="0" t="0" r="1270" b="5080"/>
            <wp:docPr id="6" name="图片 6"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形用户界面&#10;&#10;描述已自动生成"/>
                    <pic:cNvPicPr>
                      <a:picLocks noChangeAspect="1"/>
                    </pic:cNvPicPr>
                  </pic:nvPicPr>
                  <pic:blipFill>
                    <a:blip r:embed="rId9"/>
                    <a:stretch>
                      <a:fillRect/>
                    </a:stretch>
                  </pic:blipFill>
                  <pic:spPr>
                    <a:xfrm>
                      <a:off x="0" y="0"/>
                      <a:ext cx="1337593" cy="1424199"/>
                    </a:xfrm>
                    <a:prstGeom prst="rect">
                      <a:avLst/>
                    </a:prstGeom>
                  </pic:spPr>
                </pic:pic>
              </a:graphicData>
            </a:graphic>
          </wp:inline>
        </w:drawing>
      </w:r>
      <w:r>
        <w:rPr>
          <w:rFonts w:ascii="Times New Roman Regular" w:hAnsi="Times New Roman Regular" w:eastAsia="Times New Roman"/>
          <w:color w:val="000000"/>
        </w:rPr>
        <w:drawing>
          <wp:inline distT="0" distB="0" distL="0" distR="0">
            <wp:extent cx="2534285" cy="1406525"/>
            <wp:effectExtent l="0" t="0" r="0" b="3175"/>
            <wp:docPr id="7" name="图片 7" descr="木桌子上的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木桌子上的人&#10;&#10;中度可信度描述已自动生成"/>
                    <pic:cNvPicPr>
                      <a:picLocks noChangeAspect="1"/>
                    </pic:cNvPicPr>
                  </pic:nvPicPr>
                  <pic:blipFill>
                    <a:blip r:embed="rId10"/>
                    <a:stretch>
                      <a:fillRect/>
                    </a:stretch>
                  </pic:blipFill>
                  <pic:spPr>
                    <a:xfrm flipH="1">
                      <a:off x="0" y="0"/>
                      <a:ext cx="2616099" cy="1452305"/>
                    </a:xfrm>
                    <a:prstGeom prst="rect">
                      <a:avLst/>
                    </a:prstGeom>
                  </pic:spPr>
                </pic:pic>
              </a:graphicData>
            </a:graphic>
          </wp:inline>
        </w:drawing>
      </w:r>
    </w:p>
    <w:p>
      <w:pPr>
        <w:ind w:firstLine="1520" w:firstLineChars="950"/>
        <w:rPr>
          <w:rFonts w:ascii="Times New Roman Regular" w:hAnsi="Times New Roman Regular" w:eastAsia="Times New Roman"/>
          <w:color w:val="000000"/>
          <w:sz w:val="16"/>
          <w:szCs w:val="20"/>
        </w:rPr>
      </w:pPr>
      <w:r>
        <w:rPr>
          <w:rFonts w:ascii="Times New Roman Regular" w:hAnsi="Times New Roman Regular" w:eastAsia="Times New Roman"/>
          <w:color w:val="000000"/>
          <w:sz w:val="16"/>
          <w:szCs w:val="20"/>
        </w:rPr>
        <w:t>Fig 5, design concept     Fig 6, Participants are involved in the weaving project process</w:t>
      </w:r>
    </w:p>
    <w:p>
      <w:pPr>
        <w:ind w:left="420" w:leftChars="200"/>
        <w:rPr>
          <w:rFonts w:ascii="Times New Roman Regular" w:hAnsi="Times New Roman Regular" w:eastAsia="Times New Roman"/>
          <w:color w:val="000000"/>
        </w:rPr>
      </w:pPr>
    </w:p>
    <w:p>
      <w:pPr>
        <w:ind w:firstLine="2940" w:firstLineChars="1400"/>
        <w:jc w:val="left"/>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1429385" cy="1908175"/>
            <wp:effectExtent l="0" t="0" r="5715" b="0"/>
            <wp:docPr id="8" name="图片 8" descr="图片包含 室内, 木, 桌子, 关&#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包含 室内, 木, 桌子, 关&#10;&#10;描述已自动生成"/>
                    <pic:cNvPicPr>
                      <a:picLocks noChangeAspect="1"/>
                    </pic:cNvPicPr>
                  </pic:nvPicPr>
                  <pic:blipFill>
                    <a:blip r:embed="rId11"/>
                    <a:stretch>
                      <a:fillRect/>
                    </a:stretch>
                  </pic:blipFill>
                  <pic:spPr>
                    <a:xfrm>
                      <a:off x="0" y="0"/>
                      <a:ext cx="1446260" cy="1929971"/>
                    </a:xfrm>
                    <a:prstGeom prst="rect">
                      <a:avLst/>
                    </a:prstGeom>
                  </pic:spPr>
                </pic:pic>
              </a:graphicData>
            </a:graphic>
          </wp:inline>
        </w:drawing>
      </w:r>
    </w:p>
    <w:p>
      <w:pPr>
        <w:ind w:firstLine="2520" w:firstLineChars="1400"/>
        <w:jc w:val="left"/>
        <w:rPr>
          <w:rFonts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7, Selected results of the weaving project</w:t>
      </w:r>
    </w:p>
    <w:p>
      <w:pPr>
        <w:ind w:left="420" w:leftChars="20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Not only does this make me think about my own research. My hometown of Qingdao will serve as the focus of my project's investigation. First, I want to create a questionnaire that will allow me to set up numerous options and leave blank places for women to fill in other possible sources of their worry that aren't covered by the questions. The five to six components that were cited the most frequently will be extracted from the questionnaire's answers after analysis. Then, based on the preferences of the participants, I will choose 15 to 20 young ladies to participate in the art workshop curriculum. The art workshop will be split into two sections: the first section will solely include young women, and the second section will welcome women artists who have already had children to join the young women in making art. The main form of art workshops is knitting projects, as craft making is considered a meaningful and therapeutic occupation, whether as daily leisure or a coping resource (Demecs &amp; Miller, 2018). In addition, the ancient craft of weaving has also been revitalized in recent years as a means of encouraging community interaction and cooperative storytelling, in which members of the public collaborate with artists to weave their stories into tapestries (Demecs &amp; Miller, 2018).</w:t>
      </w:r>
    </w:p>
    <w:p>
      <w:pPr>
        <w:ind w:left="420" w:leftChars="20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As seen in Figure 8, the colors used in the first section of the weaving only carry elements that are connected to the topic of fertility anxiety. During this stage, as permitted by moral and ethical censorship, I will record the conversations that occur during the weaving process while also conducting a narrative analysis in conjunction with the elements that the young woman has chosen to explore her story. In the second part, I will invite 1-2 female artists who have already given birth and created reflective fertility art to come to the art workshop to interact with the young women. In the process of continuous interaction, the young women can incorporate their new understanding of fertility into the art of weaving. These new comprehensions may have their origins in the linguistic symbols that artists who have had children have used more frequently, or they may have them in the conceptions of fertility that young women have. The work that connects the two sections might be interpreted as a process of ongoing contemplation by the young ladies, as a narrative story, and as a learning process of ongoing acceptance of fertility knowledge. </w:t>
      </w:r>
    </w:p>
    <w:p>
      <w:pPr>
        <w:ind w:left="420" w:leftChars="200"/>
        <w:rPr>
          <w:rFonts w:ascii="Times New Roman Regular" w:hAnsi="Times New Roman Regular" w:eastAsia="Times New Roman"/>
          <w:color w:val="000000"/>
        </w:rPr>
      </w:pPr>
    </w:p>
    <w:p>
      <w:pPr>
        <w:ind w:left="420" w:leftChars="200"/>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2988310" cy="2181225"/>
            <wp:effectExtent l="0" t="0" r="0" b="3175"/>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a:picLocks noChangeAspect="1"/>
                    </pic:cNvPicPr>
                  </pic:nvPicPr>
                  <pic:blipFill>
                    <a:blip r:embed="rId12"/>
                    <a:stretch>
                      <a:fillRect/>
                    </a:stretch>
                  </pic:blipFill>
                  <pic:spPr>
                    <a:xfrm>
                      <a:off x="0" y="0"/>
                      <a:ext cx="3018893" cy="2204017"/>
                    </a:xfrm>
                    <a:prstGeom prst="rect">
                      <a:avLst/>
                    </a:prstGeom>
                  </pic:spPr>
                </pic:pic>
              </a:graphicData>
            </a:graphic>
          </wp:inline>
        </w:drawing>
      </w:r>
    </w:p>
    <w:p>
      <w:pPr>
        <w:ind w:left="420" w:leftChars="200"/>
        <w:jc w:val="center"/>
        <w:rPr>
          <w:rFonts w:hint="eastAsia"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8, Weaving project effect diagram</w:t>
      </w:r>
    </w:p>
    <w:p>
      <w:pPr>
        <w:ind w:left="420" w:leftChars="20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I also intend to keep a visual diary in addition to knitting. "Visual support" (VS) is the term used to describe a collection of all-purpose resources that serve a range of functions, are more durable than text, and can be consulted long after the text has vanished (Marion Rutherford, 2020). 'Visual supports' (VS) are objects that can be seen and/or held and are used to convey visual information to improve a person's understanding of the physical environment, the human and social environment (communication, speech, actions, rules, and expectations, as well as verbal or unspoken intentions or expectations), and more abstract concepts (Marion Rutherford, 2020). Visual diary is a form of "visual support", which is a daily diary to record the participants' experiences, reflections and emotional changes. The arts, according to Eisner (2002, 2011) and Sullivan (2006), can encourage students to think carefully about their coursework. It is an event that gives people access to an encounter that is not offered by any other source and aids in the expression of what cannot be articulated clearly. In the process of participation, what the participants think, see, and think about on a daily basis is a process in which the participants think about themselves, about their self-position, and about the value of women. A visual diary is more than a book, it is a record, a document, a discourse, a research tool (Alexandra Lasczik, 2019). According to McNiff (1988), the visuals and creative processes of the arts are always one step ahead of reflective thinking. The curriculum acknowledges that the VAPD, or "diary," as it is more commonly referred as, is not required for artistic creativity and that it should not be utilized as a "end in itself" or have a "life of its own" (Bostes, 2009). But in my research, the use of visual diaries was crucial. While it may take a while to keep track of visual diaries in order to observe outcomes, there is a chance that some individuals won't be as dedicated over the course of so much time. The visual journal, on the other hand, offers a secure setting where participants can "talk" to themselves and express their feelings viscerally. The visual journal also has an interactive component, which will be reflected in upcoming shows (Alexandra Lasczik, 2019). For example, when a visual diary is displayed on a wall or through an immersive device in a space, the participant begins to interact with the visual diary when she comes to the space and views it. The visual diaries offer practice and proof for the creation of numerous layers of meaning in artworks when participants connect with the visual diaries or develop empathy as a result (Lasczik, 2019). Visual diaries from participants might be integrated into the immersive atmosphere of the institution for the exhibition's finale (Figure 9).</w:t>
      </w:r>
    </w:p>
    <w:p>
      <w:pPr>
        <w:ind w:left="420" w:leftChars="200"/>
        <w:rPr>
          <w:rFonts w:ascii="Times New Roman Regular" w:hAnsi="Times New Roman Regular" w:eastAsia="Times New Roman"/>
          <w:color w:val="000000"/>
        </w:rPr>
      </w:pPr>
    </w:p>
    <w:p>
      <w:pPr>
        <w:ind w:left="420" w:leftChars="200"/>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3227070" cy="1624965"/>
            <wp:effectExtent l="0" t="0" r="0" b="635"/>
            <wp:docPr id="10" name="图片 10" descr="房间里的墙上挂着一幅画&#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房间里的墙上挂着一幅画&#10;&#10;中度可信度描述已自动生成"/>
                    <pic:cNvPicPr>
                      <a:picLocks noChangeAspect="1"/>
                    </pic:cNvPicPr>
                  </pic:nvPicPr>
                  <pic:blipFill>
                    <a:blip r:embed="rId13"/>
                    <a:stretch>
                      <a:fillRect/>
                    </a:stretch>
                  </pic:blipFill>
                  <pic:spPr>
                    <a:xfrm>
                      <a:off x="0" y="0"/>
                      <a:ext cx="3270976" cy="1647302"/>
                    </a:xfrm>
                    <a:prstGeom prst="rect">
                      <a:avLst/>
                    </a:prstGeom>
                  </pic:spPr>
                </pic:pic>
              </a:graphicData>
            </a:graphic>
          </wp:inline>
        </w:drawing>
      </w:r>
    </w:p>
    <w:p>
      <w:pPr>
        <w:ind w:left="420" w:leftChars="200"/>
        <w:jc w:val="center"/>
        <w:rPr>
          <w:rFonts w:hint="eastAsia"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9, visual diagram effect diagram</w:t>
      </w:r>
    </w:p>
    <w:p>
      <w:pPr>
        <w:ind w:left="420" w:leftChars="20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These are the components of practice I had in mind, and I also planned to conduct semi-structured interviews with the participants following the art workshop to test its value and see if the interactions with the context might affect the participants' perceptions, among other things. I chose to concentrate on three factors: wellbeing, encounters, and self-worth (Figure 10) due to the similarities that emerged from the practice approach. In this case, the encounter refers to the interaction between the participants and between the participants and the invited female artists. The three elements are also the key words that form the main research question, whereby the concerns of the practice correspond to the research question, which examines problem solving through artistic practice.</w:t>
      </w:r>
    </w:p>
    <w:p>
      <w:pPr>
        <w:ind w:left="420" w:leftChars="200"/>
        <w:rPr>
          <w:rFonts w:ascii="Times New Roman Regular" w:hAnsi="Times New Roman Regular" w:eastAsia="Times New Roman"/>
          <w:color w:val="000000"/>
        </w:rPr>
      </w:pPr>
    </w:p>
    <w:p>
      <w:pPr>
        <w:ind w:left="420" w:leftChars="200"/>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3302635" cy="1169670"/>
            <wp:effectExtent l="0" t="0" r="0" b="0"/>
            <wp:docPr id="11" name="图片 11" descr="图片包含 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片包含 图形用户界面&#10;&#10;描述已自动生成"/>
                    <pic:cNvPicPr>
                      <a:picLocks noChangeAspect="1"/>
                    </pic:cNvPicPr>
                  </pic:nvPicPr>
                  <pic:blipFill>
                    <a:blip r:embed="rId14"/>
                    <a:stretch>
                      <a:fillRect/>
                    </a:stretch>
                  </pic:blipFill>
                  <pic:spPr>
                    <a:xfrm>
                      <a:off x="0" y="0"/>
                      <a:ext cx="3356713" cy="1188954"/>
                    </a:xfrm>
                    <a:prstGeom prst="rect">
                      <a:avLst/>
                    </a:prstGeom>
                  </pic:spPr>
                </pic:pic>
              </a:graphicData>
            </a:graphic>
          </wp:inline>
        </w:drawing>
      </w:r>
    </w:p>
    <w:p>
      <w:pPr>
        <w:ind w:left="420" w:leftChars="200"/>
        <w:jc w:val="center"/>
        <w:rPr>
          <w:rFonts w:hint="eastAsia"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10, practice framework image</w:t>
      </w:r>
    </w:p>
    <w:p>
      <w:pPr>
        <w:ind w:left="420" w:leftChars="200"/>
        <w:rPr>
          <w:rFonts w:ascii="Times New Roman Regular" w:hAnsi="Times New Roman Regular" w:eastAsia="Times New Roman"/>
          <w:color w:val="000000"/>
        </w:rPr>
      </w:pPr>
    </w:p>
    <w:p>
      <w:pPr>
        <w:ind w:left="420" w:leftChars="200"/>
        <w:rPr>
          <w:rFonts w:ascii="Times New Roman Regular" w:hAnsi="Times New Roman Regular" w:eastAsia="Times New Roman"/>
          <w:color w:val="000000"/>
        </w:rPr>
      </w:pPr>
    </w:p>
    <w:p>
      <w:pPr>
        <w:jc w:val="left"/>
        <w:rPr>
          <w:rFonts w:ascii="Times New Roman Regular" w:hAnsi="Times New Roman Regular" w:eastAsia="Times New Roman"/>
          <w:color w:val="000000"/>
        </w:rPr>
      </w:pPr>
      <w:r>
        <w:rPr>
          <w:rFonts w:hint="eastAsia" w:ascii="Times New Roman Regular" w:hAnsi="Times New Roman Regular" w:eastAsia="Times New Roman"/>
          <w:color w:val="000000"/>
        </w:rPr>
        <w:t>S</w:t>
      </w:r>
      <w:r>
        <w:rPr>
          <w:rFonts w:ascii="Times New Roman Regular" w:hAnsi="Times New Roman Regular" w:eastAsia="Times New Roman"/>
          <w:color w:val="000000"/>
        </w:rPr>
        <w:t>ection 3 The future and influence of research</w:t>
      </w:r>
    </w:p>
    <w:p>
      <w:pPr>
        <w:jc w:val="left"/>
        <w:rPr>
          <w:rFonts w:ascii="Times New Roman Regular" w:hAnsi="Times New Roman Regular" w:eastAsia="Times New Roman"/>
          <w:color w:val="000000"/>
        </w:rPr>
      </w:pPr>
      <w:r>
        <w:rPr>
          <w:rFonts w:hint="eastAsia" w:ascii="Times New Roman Regular" w:hAnsi="Times New Roman Regular" w:eastAsia="Times New Roman"/>
          <w:color w:val="000000"/>
        </w:rPr>
        <w:t>3</w:t>
      </w:r>
      <w:r>
        <w:rPr>
          <w:rFonts w:ascii="Times New Roman Regular" w:hAnsi="Times New Roman Regular" w:eastAsia="Times New Roman"/>
          <w:color w:val="000000"/>
        </w:rPr>
        <w:t>.1 Progress and Prospects in Participatory Arts</w:t>
      </w: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Contemporary visual and performing art created through participatory processes has attracted increasing attention in recent decades. Its value is the subject of considerable controversy, including lively discussions around the ethics of the practice and the vocabulary best suited to describe and criticize it. The terms interactive art, relational art, collaborative art, event art, discourse art, and community-based art are all overlapping terms that refer to participatory art (Kelly, 2014). However, it also serves as further evidence of the importance of community-based participatory art, which is why I selected it, as well as engagement, relationships, cooperation, and dialogue. Some instances involve a variety of people contributing to the creation of a piece of art, while other instances refer to the act of participation as art (Kelly, 2014). By inviting a group of people to take part in my research and then collaborating with them to create a piece of art, I was able to conduct my study.</w:t>
      </w:r>
    </w:p>
    <w:p>
      <w:pPr>
        <w:ind w:left="315" w:leftChars="15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According to Kelly (2014), participatory art can be broadly divided into three categories: relational, socially engaged, and confrontational art. While the three strategies may have unique goals and methods, they all have one thing in common: involvement. My research falls under the category of socially engaged art since this form of participatory art seeks to improve the lives of its audience (Kelly, 2014). In spite of the fact that participatory art has been the subject of critical debate in Europe and the US since the 1990s, however, early 1990s initiatives "Places with a Past" and "Culture in Action" from Mary Jane Jacob are credited for establishing it as a mainstream practice. Participatory art also emerged at the same time in Europe. Nicolas Bourriaud, a critic and curator from France, asserted that "there can be an aesthetics to human interaction" in his 1996 exhibition Traffic at the Musée d'Art Contemporain de Bordeaux.</w:t>
      </w:r>
    </w:p>
    <w:p>
      <w:pPr>
        <w:ind w:left="315" w:leftChars="15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Participatory art is used more frequently in the western than in China, nevertheless. Contemporary art in China reflects current trends, but only from the viewpoint of the artists; it does not convey the idea that "everyone is an artist" (Joseph Beuys). Additionally, studies on the intersection of participatory art and feminism have been conducted in both Europe and the United States. One such study is Maggie O'Neill's (2017) investigation of ten women in the Northeast of England who used participatory art to examine the role of walking on their journey towards new understandings of community, citizenship, and political subjectivity. In contrast to conventional research methodologies, Jamie Bird (2018) developed transitional stories about domestic violence that take place in the past, present, and future using an arts-based approach. As for China, feminism is expanding there, and women's consciousness is rising. But the majority of women still do not get their voices heard by the general public, and interactive art offers a chance to change that. </w:t>
      </w:r>
    </w:p>
    <w:p>
      <w:pPr>
        <w:ind w:left="315" w:leftChars="150"/>
        <w:rPr>
          <w:rFonts w:ascii="Times New Roman Regular" w:hAnsi="Times New Roman Regular" w:eastAsia="Times New Roman"/>
          <w:color w:val="000000"/>
        </w:rPr>
      </w:pPr>
    </w:p>
    <w:p>
      <w:pPr>
        <w:jc w:val="left"/>
        <w:rPr>
          <w:rFonts w:ascii="Times New Roman Regular" w:hAnsi="Times New Roman Regular" w:eastAsia="Times New Roman"/>
          <w:color w:val="000000"/>
        </w:rPr>
      </w:pPr>
      <w:r>
        <w:rPr>
          <w:rFonts w:hint="eastAsia" w:ascii="Times New Roman Regular" w:hAnsi="Times New Roman Regular" w:eastAsia="Times New Roman"/>
          <w:color w:val="000000"/>
        </w:rPr>
        <w:t>3</w:t>
      </w:r>
      <w:r>
        <w:rPr>
          <w:rFonts w:ascii="Times New Roman Regular" w:hAnsi="Times New Roman Regular" w:eastAsia="Times New Roman"/>
          <w:color w:val="000000"/>
        </w:rPr>
        <w:t>.2 Future research plans</w:t>
      </w: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The logic behind my research has become clearer, more theoretical, and more systematic over the course of almost a year of study. The research's overall theme has also been narrowed down. Female symbols to female viewpoints, female perspectives to women's particular experience - reproductive art, and reproductive art to the educational function of art are the three main transitions that my research programme has undergone (Fig 11). </w:t>
      </w:r>
    </w:p>
    <w:p>
      <w:pPr>
        <w:ind w:left="315" w:leftChars="150"/>
        <w:rPr>
          <w:rFonts w:ascii="Times New Roman Regular" w:hAnsi="Times New Roman Regular" w:eastAsia="Times New Roman"/>
          <w:color w:val="000000"/>
        </w:rPr>
      </w:pPr>
    </w:p>
    <w:p>
      <w:pPr>
        <w:ind w:left="315" w:leftChars="150"/>
        <w:jc w:val="center"/>
        <w:rPr>
          <w:rFonts w:ascii="Times New Roman Regular" w:hAnsi="Times New Roman Regular" w:eastAsia="Times New Roman"/>
          <w:color w:val="000000"/>
        </w:rPr>
      </w:pPr>
      <w:r>
        <w:rPr>
          <w:rFonts w:ascii="Times New Roman Regular" w:hAnsi="Times New Roman Regular" w:eastAsia="Times New Roman"/>
          <w:color w:val="000000"/>
        </w:rPr>
        <w:drawing>
          <wp:inline distT="0" distB="0" distL="0" distR="0">
            <wp:extent cx="2426335" cy="1239520"/>
            <wp:effectExtent l="0" t="0" r="0" b="5080"/>
            <wp:docPr id="12" name="图片 1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示&#10;&#10;描述已自动生成"/>
                    <pic:cNvPicPr>
                      <a:picLocks noChangeAspect="1"/>
                    </pic:cNvPicPr>
                  </pic:nvPicPr>
                  <pic:blipFill>
                    <a:blip r:embed="rId15"/>
                    <a:stretch>
                      <a:fillRect/>
                    </a:stretch>
                  </pic:blipFill>
                  <pic:spPr>
                    <a:xfrm>
                      <a:off x="0" y="0"/>
                      <a:ext cx="2440019" cy="1246448"/>
                    </a:xfrm>
                    <a:prstGeom prst="rect">
                      <a:avLst/>
                    </a:prstGeom>
                  </pic:spPr>
                </pic:pic>
              </a:graphicData>
            </a:graphic>
          </wp:inline>
        </w:drawing>
      </w:r>
    </w:p>
    <w:p>
      <w:pPr>
        <w:ind w:left="315" w:leftChars="150"/>
        <w:jc w:val="center"/>
        <w:rPr>
          <w:rFonts w:ascii="Times New Roman Regular" w:hAnsi="Times New Roman Regular" w:eastAsia="Times New Roman"/>
          <w:color w:val="000000"/>
          <w:sz w:val="18"/>
          <w:szCs w:val="21"/>
        </w:rPr>
      </w:pPr>
      <w:r>
        <w:rPr>
          <w:rFonts w:ascii="Times New Roman Regular" w:hAnsi="Times New Roman Regular" w:eastAsia="Times New Roman"/>
          <w:color w:val="000000"/>
          <w:sz w:val="18"/>
          <w:szCs w:val="21"/>
        </w:rPr>
        <w:t>Fig 11, Evolution of the research process</w:t>
      </w:r>
    </w:p>
    <w:p>
      <w:pPr>
        <w:ind w:left="315" w:leftChars="150"/>
        <w:rPr>
          <w:rFonts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The central question of study is whether participatory arts may increase sense of value and social wellbeing of women while disseminating information about fertility. Participatory arts, reproductive knowledge, and self-worth and wellbeing are the three main components of this question. According to this study, teaching young women about fertility through collaborative art fosters their perceptions of their own worth as well as their sense of social wellbeing. As a result, there is a cyclical relationship between knowing about fertility and encouraging self-worth and social well-being, which implies that this study should first determine whether participatory art conveys reproductive knowledge. Therefore, there will be phases of minor problems to be solved in this study, respectively:</w:t>
      </w:r>
    </w:p>
    <w:p>
      <w:pPr>
        <w:pStyle w:val="6"/>
        <w:numPr>
          <w:ilvl w:val="0"/>
          <w:numId w:val="2"/>
        </w:numPr>
        <w:ind w:firstLineChars="0"/>
        <w:rPr>
          <w:rFonts w:ascii="Times New Roman Regular" w:hAnsi="Times New Roman Regular" w:eastAsia="Times New Roman"/>
          <w:color w:val="000000"/>
        </w:rPr>
      </w:pPr>
      <w:r>
        <w:rPr>
          <w:rFonts w:ascii="Times New Roman Regular" w:hAnsi="Times New Roman Regular" w:eastAsia="Times New Roman"/>
          <w:color w:val="000000"/>
        </w:rPr>
        <w:t>Is a lack of understanding about fertility to blame for low fertility rate in China?</w:t>
      </w:r>
    </w:p>
    <w:p>
      <w:pPr>
        <w:pStyle w:val="6"/>
        <w:numPr>
          <w:ilvl w:val="0"/>
          <w:numId w:val="2"/>
        </w:numPr>
        <w:ind w:firstLineChars="0"/>
        <w:rPr>
          <w:rFonts w:ascii="Times New Roman Regular" w:hAnsi="Times New Roman Regular" w:eastAsia="Times New Roman"/>
          <w:color w:val="000000"/>
        </w:rPr>
      </w:pPr>
      <w:r>
        <w:rPr>
          <w:rFonts w:ascii="Times New Roman Regular" w:hAnsi="Times New Roman Regular" w:eastAsia="Times New Roman"/>
          <w:color w:val="000000"/>
        </w:rPr>
        <w:t>Can participatory art provide the function of disseminating fertility knowledge?</w:t>
      </w:r>
    </w:p>
    <w:p>
      <w:pPr>
        <w:pStyle w:val="6"/>
        <w:numPr>
          <w:ilvl w:val="0"/>
          <w:numId w:val="2"/>
        </w:numPr>
        <w:ind w:firstLineChars="0"/>
        <w:rPr>
          <w:rFonts w:ascii="Times New Roman Regular" w:hAnsi="Times New Roman Regular" w:eastAsia="Times New Roman"/>
          <w:color w:val="000000"/>
        </w:rPr>
      </w:pPr>
      <w:r>
        <w:rPr>
          <w:rFonts w:ascii="Times New Roman Regular" w:hAnsi="Times New Roman Regular" w:eastAsia="Times New Roman"/>
          <w:color w:val="000000"/>
        </w:rPr>
        <w:t>Can female self-worth and social well-being be enhanced when they learn about fertility?</w:t>
      </w:r>
    </w:p>
    <w:p>
      <w:pPr>
        <w:ind w:left="315"/>
        <w:rPr>
          <w:rFonts w:ascii="Times New Roman Regular" w:hAnsi="Times New Roman Regular" w:eastAsia="Times New Roman"/>
          <w:color w:val="000000"/>
        </w:rPr>
      </w:pPr>
    </w:p>
    <w:p>
      <w:pPr>
        <w:ind w:left="315"/>
        <w:rPr>
          <w:rFonts w:ascii="Times New Roman Regular" w:hAnsi="Times New Roman Regular" w:eastAsia="Times New Roman"/>
          <w:color w:val="000000"/>
        </w:rPr>
      </w:pPr>
      <w:r>
        <w:rPr>
          <w:rFonts w:ascii="Times New Roman Regular" w:hAnsi="Times New Roman Regular" w:eastAsia="Times New Roman"/>
          <w:color w:val="000000"/>
        </w:rPr>
        <w:t>Within a theoretical framework that incorporates standpoint feminism, interaction theory, and situated cognition theory, the research will be guided by ethnography, narrative studies, and hermeneutic phenomenology. Data will be collected using documentary analysis, questionnaires, art workshops, and semi-structured interviews. In contrast to conventional text-based research methodologies, the goal of this study is to show how art-based approaches can help women feel less anxious about their fertility and advance their understanding of it. The art-based research that I have conducted with other female artists and young women who have fertility anxiety will be included in the context of this study. This research culminated in an exhibition called "Interaction and Perception" that shows the causes of young women's fertility anxiety and how it can be reduced through interaction.</w:t>
      </w:r>
    </w:p>
    <w:p>
      <w:pPr>
        <w:rPr>
          <w:rFonts w:ascii="Times New Roman Regular" w:hAnsi="Times New Roman Regular" w:eastAsia="Times New Roman"/>
          <w:color w:val="000000"/>
        </w:rPr>
      </w:pPr>
    </w:p>
    <w:p>
      <w:pPr>
        <w:rPr>
          <w:rFonts w:hint="eastAsia" w:ascii="Times New Roman Regular" w:hAnsi="Times New Roman Regular" w:eastAsia="Times New Roman"/>
          <w:color w:val="000000"/>
        </w:rPr>
      </w:pPr>
      <w:r>
        <w:rPr>
          <w:rFonts w:hint="eastAsia" w:ascii="Times New Roman Regular" w:hAnsi="Times New Roman Regular" w:eastAsia="Times New Roman"/>
          <w:color w:val="000000"/>
        </w:rPr>
        <w:t>3</w:t>
      </w:r>
      <w:r>
        <w:rPr>
          <w:rFonts w:ascii="Times New Roman Regular" w:hAnsi="Times New Roman Regular" w:eastAsia="Times New Roman"/>
          <w:color w:val="000000"/>
        </w:rPr>
        <w:t>.3 Conclusion</w:t>
      </w: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 xml:space="preserve">This essay can be thought of as a textual reflective diary that showcases my research methodology along with a graphic reflective diary portfolio. In China, there is an adage that goes, "When a tree is moved to death, a man is moved to life." The implication is that when a tree is moved, its roots are severed from the ground and may cause the tree to perish. A person, however, will be influenced by new surroundings, new factors, and new people when they are on the move, such as when they are studying abroad, migrating, visiting schools, etc. This will result in them learning new information, which may then cause the development of new perspectives. My research adventure started the day I landed in the UK, where I was faced with a new academic setting, educational model, philosophical framework, and research methodology that required me to participate in a continuous process of self-reflection. I broke down my current research interests into a few important components, dissected each one once again, and then put them back together to create new impressions. As an artist and researcher, in the course of my research, I have become more convinced that art has a very powerful energy. </w:t>
      </w:r>
    </w:p>
    <w:p>
      <w:pPr>
        <w:ind w:left="315" w:leftChars="150"/>
        <w:rPr>
          <w:rFonts w:ascii="Times New Roman Regular" w:hAnsi="Times New Roman Regular" w:eastAsia="Times New Roman"/>
          <w:color w:val="000000"/>
        </w:rPr>
      </w:pPr>
      <w:r>
        <w:rPr>
          <w:rFonts w:ascii="Times New Roman Regular" w:hAnsi="Times New Roman Regular" w:eastAsia="Times New Roman"/>
          <w:color w:val="000000"/>
        </w:rPr>
        <w:t>Art is something we cannot redefine or assimilate into our fixed and ingrained patterns of thinking. According to Jessie Lauren Beier (2014), art is not best understood as a physical item apart from the environment in which it exists but rather as an emotive assemblage that aims to create new connections and opportunities for future generations. The instructional value of the arts becomes clear in this "generation," as Deleuze (1987) terms it.</w:t>
      </w:r>
    </w:p>
    <w:p>
      <w:pPr>
        <w:ind w:left="315" w:leftChars="150"/>
        <w:rPr>
          <w:rFonts w:ascii="Times New Roman Regular" w:hAnsi="Times New Roman Regular" w:eastAsia="Times New Roman"/>
          <w:color w:val="000000"/>
        </w:rPr>
      </w:pPr>
    </w:p>
    <w:p>
      <w:pPr>
        <w:jc w:val="left"/>
        <w:rPr>
          <w:rFonts w:ascii="Times New Roman Regular" w:hAnsi="Times New Roman Regular" w:eastAsia="Times New Roman"/>
          <w:color w:val="000000"/>
        </w:rPr>
      </w:pPr>
      <w:r>
        <w:rPr>
          <w:rFonts w:hint="eastAsia" w:ascii="Times New Roman Regular" w:hAnsi="Times New Roman Regular" w:eastAsia="Times New Roman"/>
          <w:color w:val="000000"/>
        </w:rPr>
        <w:t>R</w:t>
      </w:r>
      <w:r>
        <w:rPr>
          <w:rFonts w:ascii="Times New Roman Regular" w:hAnsi="Times New Roman Regular" w:eastAsia="Times New Roman"/>
          <w:color w:val="000000"/>
        </w:rPr>
        <w:t>eference</w:t>
      </w:r>
    </w:p>
    <w:p>
      <w:pPr>
        <w:rPr>
          <w:rFonts w:ascii="Times New Roman" w:hAnsi="Times New Roman" w:cs="Times New Roman"/>
        </w:rPr>
      </w:pPr>
      <w:r>
        <w:rPr>
          <w:rFonts w:ascii="Times New Roman" w:hAnsi="Times New Roman" w:cs="Times New Roman"/>
        </w:rPr>
        <w:t xml:space="preserve">Beier, J.L. (2014) </w:t>
      </w:r>
      <w:r>
        <w:rPr>
          <w:rFonts w:ascii="Times New Roman" w:hAnsi="Times New Roman" w:cs="Times New Roman"/>
          <w:i/>
          <w:iCs/>
        </w:rPr>
        <w:t>Schizophrenizing the Art Encounter: Towards a Politics of Dehabituation</w:t>
      </w:r>
      <w:r>
        <w:rPr>
          <w:rFonts w:ascii="Times New Roman" w:hAnsi="Times New Roman" w:cs="Times New Roman"/>
        </w:rPr>
        <w:t>. Master Thesis, University of Alberta.</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Bell, B. S., &amp; Kozlowski, S. W. J. (2010) ‘Toward a theory of learner-centered training design: An integrative framework of active learning’,</w:t>
      </w:r>
      <w:r>
        <w:rPr>
          <w:rFonts w:ascii="Times New Roman" w:hAnsi="Times New Roman" w:cs="Times New Roman"/>
          <w:i/>
          <w:iCs/>
        </w:rPr>
        <w:t xml:space="preserve"> Learning, training, and development in organizations</w:t>
      </w:r>
      <w:r>
        <w:rPr>
          <w:rFonts w:ascii="Times New Roman" w:hAnsi="Times New Roman" w:cs="Times New Roman"/>
        </w:rPr>
        <w:t xml:space="preserve">, pp. 263–300.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Bird, J. (2018) ‘Art therapy, arts-based research and transitional stories of domestic violence and abuse’, </w:t>
      </w:r>
      <w:r>
        <w:rPr>
          <w:rFonts w:ascii="Times New Roman" w:hAnsi="Times New Roman" w:cs="Times New Roman"/>
          <w:i/>
          <w:iCs/>
        </w:rPr>
        <w:t>International Journal of Art Therapy</w:t>
      </w:r>
      <w:r>
        <w:rPr>
          <w:rFonts w:ascii="Times New Roman" w:hAnsi="Times New Roman" w:cs="Times New Roman"/>
        </w:rPr>
        <w:t>, 23(1), pp.14-24.</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Brown J.S., Collins A. and Duguid P. (1989) ‘Situated cognition and the culture of learning’, </w:t>
      </w:r>
      <w:r>
        <w:rPr>
          <w:rFonts w:ascii="Times New Roman" w:hAnsi="Times New Roman" w:cs="Times New Roman"/>
          <w:i/>
          <w:iCs/>
        </w:rPr>
        <w:t>Institute of inquiry</w:t>
      </w:r>
      <w:r>
        <w:rPr>
          <w:rFonts w:ascii="Times New Roman" w:hAnsi="Times New Roman" w:cs="Times New Roman"/>
        </w:rPr>
        <w:t>, 18(1), pp.32-42.</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Cornwall, A., &amp; Jewkes, R. (1995) ‘What is participatory research?’, </w:t>
      </w:r>
      <w:r>
        <w:rPr>
          <w:rFonts w:ascii="Times New Roman" w:hAnsi="Times New Roman" w:cs="Times New Roman"/>
          <w:i/>
          <w:iCs/>
        </w:rPr>
        <w:t>Social Science &amp; Medicine</w:t>
      </w:r>
      <w:r>
        <w:rPr>
          <w:rFonts w:ascii="Times New Roman" w:hAnsi="Times New Roman" w:cs="Times New Roman"/>
        </w:rPr>
        <w:t>, 41(12), pp.1667–1676.</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Clancey,W.J. (1997) ‘The conceptual nature of knowledge, situations, and activity’, </w:t>
      </w:r>
      <w:r>
        <w:rPr>
          <w:rFonts w:ascii="Times New Roman" w:hAnsi="Times New Roman" w:cs="Times New Roman"/>
          <w:i/>
          <w:iCs/>
        </w:rPr>
        <w:t>Human and Machine Expertise in Context</w:t>
      </w:r>
      <w:r>
        <w:rPr>
          <w:rFonts w:ascii="Times New Roman" w:hAnsi="Times New Roman" w:cs="Times New Roman"/>
        </w:rPr>
        <w:t xml:space="preserve">, pp.247–291. </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Greeno, J.G. and Moore, J.J. (1993) ‘Situativity and symbols: response to vera and simon’, </w:t>
      </w:r>
      <w:r>
        <w:rPr>
          <w:rFonts w:ascii="Times New Roman" w:hAnsi="Times New Roman" w:cs="Times New Roman"/>
          <w:i/>
          <w:iCs/>
        </w:rPr>
        <w:t>Cognitive Science</w:t>
      </w:r>
      <w:r>
        <w:rPr>
          <w:rFonts w:ascii="Times New Roman" w:hAnsi="Times New Roman" w:cs="Times New Roman"/>
        </w:rPr>
        <w:t>, 17(1), pp.49-59.</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Dellow, P. (2004) ‘Representing creativeness: practice-based approaches to research in creative arts’, </w:t>
      </w:r>
      <w:r>
        <w:rPr>
          <w:rFonts w:ascii="Times New Roman" w:hAnsi="Times New Roman" w:cs="Times New Roman"/>
          <w:i/>
          <w:iCs/>
        </w:rPr>
        <w:t>Art, Design &amp; Communication in Higher Education</w:t>
      </w:r>
      <w:r>
        <w:rPr>
          <w:rFonts w:ascii="Times New Roman" w:hAnsi="Times New Roman" w:cs="Times New Roman"/>
        </w:rPr>
        <w:t>, 2(1&amp;2), pp.49-66.</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DeBiaso, F. S. (2013) ‘Judy Chicago: the birth project’, </w:t>
      </w:r>
      <w:r>
        <w:rPr>
          <w:rFonts w:ascii="Times New Roman" w:hAnsi="Times New Roman" w:cs="Times New Roman"/>
          <w:i/>
          <w:iCs/>
        </w:rPr>
        <w:t>Schmucker art catalogs</w:t>
      </w:r>
      <w:r>
        <w:rPr>
          <w:rFonts w:ascii="Times New Roman" w:hAnsi="Times New Roman" w:cs="Times New Roman"/>
        </w:rPr>
        <w:t xml:space="preserve">.3. </w:t>
      </w:r>
      <w:r>
        <w:fldChar w:fldCharType="begin"/>
      </w:r>
      <w:r>
        <w:instrText xml:space="preserve"> HYPERLINK "https://cupola.gettysburg.edu/artcatalogs/3" </w:instrText>
      </w:r>
      <w:r>
        <w:fldChar w:fldCharType="separate"/>
      </w:r>
      <w:r>
        <w:rPr>
          <w:rStyle w:val="7"/>
          <w:rFonts w:ascii="Times New Roman" w:hAnsi="Times New Roman" w:cs="Times New Roman"/>
        </w:rPr>
        <w:t>https://cupola.gettysburg.edu/artcatalogs/3</w:t>
      </w:r>
      <w:r>
        <w:rPr>
          <w:rStyle w:val="7"/>
          <w:rFonts w:ascii="Times New Roman" w:hAnsi="Times New Roman" w:cs="Times New Roman"/>
        </w:rPr>
        <w:fldChar w:fldCharType="end"/>
      </w:r>
    </w:p>
    <w:p/>
    <w:p>
      <w:pPr>
        <w:rPr>
          <w:rFonts w:ascii="Times New Roman" w:hAnsi="Times New Roman" w:cs="Times New Roman"/>
        </w:rPr>
      </w:pPr>
      <w:r>
        <w:rPr>
          <w:rFonts w:ascii="Times New Roman" w:hAnsi="Times New Roman" w:cs="Times New Roman"/>
        </w:rPr>
        <w:t>Frayling, C. (1993),</w:t>
      </w:r>
      <w:r>
        <w:rPr>
          <w:rFonts w:ascii="Times New Roman" w:hAnsi="Times New Roman" w:cs="Times New Roman"/>
          <w:i/>
          <w:iCs/>
        </w:rPr>
        <w:t xml:space="preserve"> Research in Art and Design</w:t>
      </w:r>
      <w:r>
        <w:rPr>
          <w:rFonts w:ascii="Times New Roman" w:hAnsi="Times New Roman" w:cs="Times New Roman"/>
        </w:rPr>
        <w:t>, Royal College of Art Research Papers 1:1.</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Frayling, C. (1997) </w:t>
      </w:r>
      <w:r>
        <w:rPr>
          <w:rFonts w:ascii="Times New Roman" w:hAnsi="Times New Roman" w:cs="Times New Roman"/>
          <w:i/>
          <w:iCs/>
        </w:rPr>
        <w:t>Practice-Based Doctorates in The Creative and Performing Arts and Design,</w:t>
      </w:r>
      <w:r>
        <w:rPr>
          <w:rFonts w:ascii="Times New Roman" w:hAnsi="Times New Roman" w:cs="Times New Roman"/>
        </w:rPr>
        <w:t xml:space="preserve"> Coventry: UK Council for Graduate Education. </w:t>
      </w:r>
    </w:p>
    <w:p>
      <w:pPr>
        <w:rPr>
          <w:rFonts w:ascii="Times New Roman" w:hAnsi="Times New Roman" w:cs="Times New Roman"/>
        </w:rPr>
      </w:pPr>
      <w:r>
        <w:rPr>
          <w:rFonts w:ascii="Times New Roman" w:hAnsi="Times New Roman" w:cs="Times New Roman"/>
        </w:rPr>
        <w:t xml:space="preserve"> </w:t>
      </w:r>
    </w:p>
    <w:p>
      <w:pPr>
        <w:rPr>
          <w:rFonts w:ascii="Times New Roman" w:hAnsi="Times New Roman" w:cs="Times New Roman"/>
        </w:rPr>
      </w:pPr>
      <w:r>
        <w:rPr>
          <w:rFonts w:ascii="Times New Roman" w:hAnsi="Times New Roman" w:cs="Times New Roman"/>
        </w:rPr>
        <w:t xml:space="preserve">Grosz, E. (1994) </w:t>
      </w:r>
      <w:r>
        <w:rPr>
          <w:rFonts w:ascii="Times New Roman" w:hAnsi="Times New Roman" w:cs="Times New Roman"/>
          <w:i/>
          <w:iCs/>
        </w:rPr>
        <w:t>Volatile bodies: towards a corporeal feminism</w:t>
      </w:r>
      <w:r>
        <w:rPr>
          <w:rFonts w:ascii="Times New Roman" w:hAnsi="Times New Roman" w:cs="Times New Roman"/>
        </w:rPr>
        <w:t>.1st Edition. London: Routledge.</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Hogan, S. (2015) ‘Mothers make art: using participatory art to explore the transition to motherhood’, </w:t>
      </w:r>
      <w:r>
        <w:rPr>
          <w:rFonts w:ascii="Times New Roman" w:hAnsi="Times New Roman" w:cs="Times New Roman"/>
          <w:i/>
          <w:iCs/>
        </w:rPr>
        <w:t>Journal of Applied Arts &amp; Health</w:t>
      </w:r>
      <w:r>
        <w:rPr>
          <w:rFonts w:ascii="Times New Roman" w:hAnsi="Times New Roman" w:cs="Times New Roman"/>
        </w:rPr>
        <w:t>, 6(1), pp.23-32.</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Intemann, K. (2010) ‘25 Years of Feminist Empiricism and Standpoint Theory: Where Are We Now?’, </w:t>
      </w:r>
      <w:r>
        <w:rPr>
          <w:rFonts w:ascii="Times New Roman" w:hAnsi="Times New Roman" w:cs="Times New Roman"/>
          <w:i/>
          <w:iCs/>
        </w:rPr>
        <w:t>Hypatia</w:t>
      </w:r>
      <w:r>
        <w:rPr>
          <w:rFonts w:ascii="Times New Roman" w:hAnsi="Times New Roman" w:cs="Times New Roman"/>
        </w:rPr>
        <w:t xml:space="preserve">, 25(4), pp.778–796. </w:t>
      </w:r>
      <w:r>
        <w:fldChar w:fldCharType="begin"/>
      </w:r>
      <w:r>
        <w:instrText xml:space="preserve"> HYPERLINK "http://www.jstor.org/stable/40928656" </w:instrText>
      </w:r>
      <w:r>
        <w:fldChar w:fldCharType="separate"/>
      </w:r>
      <w:r>
        <w:rPr>
          <w:rStyle w:val="7"/>
          <w:rFonts w:ascii="Times New Roman" w:hAnsi="Times New Roman" w:cs="Times New Roman"/>
        </w:rPr>
        <w:t>http://www.jstor.org/stable/40928656</w:t>
      </w:r>
      <w:r>
        <w:rPr>
          <w:rStyle w:val="7"/>
          <w:rFonts w:ascii="Times New Roman" w:hAnsi="Times New Roman" w:cs="Times New Roman"/>
        </w:rPr>
        <w:fldChar w:fldCharType="end"/>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Kelly, M. (2014) ‘Participatory art’, </w:t>
      </w:r>
      <w:r>
        <w:rPr>
          <w:rFonts w:ascii="Times New Roman" w:hAnsi="Times New Roman" w:cs="Times New Roman"/>
          <w:i/>
          <w:iCs/>
        </w:rPr>
        <w:t>Encyclopedia of aesthetic</w:t>
      </w:r>
      <w:r>
        <w:rPr>
          <w:rFonts w:ascii="Times New Roman" w:hAnsi="Times New Roman" w:cs="Times New Roman"/>
        </w:rPr>
        <w:t>.</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Knowles, J.G. and Cole, A.L. (2008)</w:t>
      </w:r>
      <w:r>
        <w:rPr>
          <w:rFonts w:ascii="Times New Roman" w:hAnsi="Times New Roman" w:cs="Times New Roman"/>
          <w:i/>
          <w:iCs/>
        </w:rPr>
        <w:t xml:space="preserve"> Handbook of the arts in qualitative research : perspectives, methodologies, examples, and issues</w:t>
      </w:r>
      <w:r>
        <w:rPr>
          <w:rFonts w:ascii="Times New Roman" w:hAnsi="Times New Roman" w:cs="Times New Roman"/>
        </w:rPr>
        <w:t>. London: SAGE Publications.</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Lasczik, A. (2019) ‘The Visual Diary, the Conceptual Framework, the Practices, and the Frames: Pedagogical Possibilities of the Secondary Visual Arts Curriculum in New South Wales, Australia’, </w:t>
      </w:r>
      <w:r>
        <w:rPr>
          <w:rFonts w:ascii="Times New Roman" w:hAnsi="Times New Roman" w:cs="Times New Roman"/>
          <w:i/>
          <w:iCs/>
        </w:rPr>
        <w:t>The international encyclopedia of art and design education</w:t>
      </w:r>
      <w:r>
        <w:rPr>
          <w:rFonts w:ascii="Times New Roman" w:hAnsi="Times New Roman" w:cs="Times New Roman"/>
        </w:rPr>
        <w:t>, pp.1-18.</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O’Neill, M. (2018) ‘Walking, well-being and community: racialized mothers building cultural citizenship using participatory arts and participatory action research’,</w:t>
      </w:r>
      <w:r>
        <w:rPr>
          <w:rFonts w:ascii="Times New Roman" w:hAnsi="Times New Roman" w:cs="Times New Roman"/>
          <w:i/>
          <w:iCs/>
        </w:rPr>
        <w:t xml:space="preserve"> Ethnic and Racial Studies</w:t>
      </w:r>
      <w:r>
        <w:rPr>
          <w:rFonts w:ascii="Times New Roman" w:hAnsi="Times New Roman" w:cs="Times New Roman"/>
        </w:rPr>
        <w:t>, 41(1), pp.73-97.</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Pappne Demecs, I. and Miller, E. (2019) ‘Participatory art in residential aged care: A visual and interpretative phenomenological analysis of older residents’ engagement with tapestry weaving’, </w:t>
      </w:r>
      <w:r>
        <w:rPr>
          <w:rFonts w:ascii="Times New Roman" w:hAnsi="Times New Roman" w:cs="Times New Roman"/>
          <w:i/>
          <w:iCs/>
        </w:rPr>
        <w:t>Journal of Occupational Science</w:t>
      </w:r>
      <w:r>
        <w:rPr>
          <w:rFonts w:ascii="Times New Roman" w:hAnsi="Times New Roman" w:cs="Times New Roman"/>
        </w:rPr>
        <w:t>, 26(1), pp.99-114.</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Qureshi, M.A., Khaskheli, A., Qureshi, J.A., Raza, S.A. and Yousufi, S.Q. (2023) ‘Factors affecting students’ learning performance through collaborative learning and engagement’, </w:t>
      </w:r>
      <w:r>
        <w:rPr>
          <w:rFonts w:ascii="Times New Roman" w:hAnsi="Times New Roman" w:cs="Times New Roman"/>
          <w:i/>
          <w:iCs/>
        </w:rPr>
        <w:t>Interactive Learning Environments</w:t>
      </w:r>
      <w:r>
        <w:rPr>
          <w:rFonts w:ascii="Times New Roman" w:hAnsi="Times New Roman" w:cs="Times New Roman"/>
        </w:rPr>
        <w:t>, 31(4), pp.2371-2391.</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Rutherford, M., Baxter, J., Grayson, Z., Johnston, L. and O’Hare, A. (2020) ‘Visual supports at home and in the community for individuals with autism spectrum disorders: A scoping review’, </w:t>
      </w:r>
      <w:r>
        <w:rPr>
          <w:rFonts w:ascii="Times New Roman" w:hAnsi="Times New Roman" w:cs="Times New Roman"/>
          <w:i/>
          <w:iCs/>
        </w:rPr>
        <w:t>Autism</w:t>
      </w:r>
      <w:r>
        <w:rPr>
          <w:rFonts w:ascii="Times New Roman" w:hAnsi="Times New Roman" w:cs="Times New Roman"/>
        </w:rPr>
        <w:t>, 24(2), pp.447-469.</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Vaughn, L.M. and Jacquez, F. (2020) ‘Participatory research methods -- choice points in the research process’, </w:t>
      </w:r>
      <w:r>
        <w:rPr>
          <w:rFonts w:ascii="Times New Roman" w:hAnsi="Times New Roman" w:cs="Times New Roman"/>
          <w:i/>
          <w:iCs/>
        </w:rPr>
        <w:t>Journal of participatory research methods</w:t>
      </w:r>
      <w:r>
        <w:rPr>
          <w:rFonts w:ascii="Times New Roman" w:hAnsi="Times New Roman" w:cs="Times New Roman"/>
        </w:rPr>
        <w:t>, 1(1),pp.1-13.</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Waite, L. and Conn, C. (2011) ‘Creative a space for young women’s voices: using ‘participatory video drama’ in Uganda’, </w:t>
      </w:r>
      <w:r>
        <w:rPr>
          <w:rFonts w:ascii="Times New Roman" w:hAnsi="Times New Roman" w:cs="Times New Roman"/>
          <w:i/>
          <w:iCs/>
        </w:rPr>
        <w:t>Gender, Place and Culture,</w:t>
      </w:r>
      <w:r>
        <w:rPr>
          <w:rFonts w:ascii="Times New Roman" w:hAnsi="Times New Roman" w:cs="Times New Roman"/>
        </w:rPr>
        <w:t xml:space="preserve"> 18(1), pp.115-135.</w:t>
      </w:r>
    </w:p>
    <w:p>
      <w:pPr>
        <w:rPr>
          <w:rFonts w:ascii="Times New Roman" w:hAnsi="Times New Roman" w:cs="Times New Roman"/>
        </w:rPr>
      </w:pPr>
    </w:p>
    <w:p>
      <w:pPr>
        <w:rPr>
          <w:rFonts w:ascii="Times New Roman" w:hAnsi="Times New Roman" w:cs="Times New Roman"/>
        </w:rPr>
      </w:pPr>
      <w:r>
        <w:rPr>
          <w:rFonts w:ascii="Times New Roman" w:hAnsi="Times New Roman" w:cs="Times New Roman"/>
        </w:rPr>
        <w:t xml:space="preserve">Wigginton, B. and Lafrance, M.N. (2019) ‘Learning critical feminist research: A brief introduction to feminist epistemologies and methodologies’, </w:t>
      </w:r>
      <w:r>
        <w:rPr>
          <w:rFonts w:ascii="Times New Roman" w:hAnsi="Times New Roman" w:cs="Times New Roman"/>
          <w:i/>
          <w:iCs/>
        </w:rPr>
        <w:t>Feminism &amp; Psychology</w:t>
      </w:r>
      <w:r>
        <w:rPr>
          <w:rFonts w:ascii="Times New Roman" w:hAnsi="Times New Roman" w:cs="Times New Roman"/>
        </w:rPr>
        <w:t>,0(0),pp.1-7.</w:t>
      </w: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ascii="Times New Roman" w:hAnsi="Times New Roman" w:cs="Times New Roman"/>
        </w:rPr>
      </w:pPr>
    </w:p>
    <w:p>
      <w:pPr>
        <w:rPr>
          <w:rFonts w:hint="eastAsia" w:ascii="Times New Roman" w:hAnsi="Times New Roman" w:cs="Times New Roman"/>
        </w:rPr>
      </w:pPr>
    </w:p>
    <w:p>
      <w:pPr>
        <w:rPr>
          <w:rFonts w:hint="eastAsia" w:ascii="Times New Roman" w:hAnsi="Times New Roman" w:cs="Times New Roman"/>
        </w:rPr>
      </w:pPr>
    </w:p>
    <w:p>
      <w:pPr>
        <w:rPr>
          <w:rFonts w:hint="eastAsia" w:ascii="Times New Roman" w:hAnsi="Times New Roman" w:cs="Times New Roman"/>
        </w:rPr>
      </w:pPr>
    </w:p>
    <w:p>
      <w:pPr>
        <w:jc w:val="left"/>
        <w:rPr>
          <w:rFonts w:hint="eastAsia"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p>
    <w:p>
      <w:pPr>
        <w:ind w:left="315" w:leftChars="150"/>
        <w:rPr>
          <w:rFonts w:hint="eastAsia" w:ascii="Times New Roman Regular" w:hAnsi="Times New Roman Regular" w:eastAsia="Times New Roman"/>
          <w:color w:val="000000"/>
        </w:rPr>
      </w:pPr>
    </w:p>
    <w:p>
      <w:pPr>
        <w:ind w:left="315" w:leftChars="150"/>
        <w:rPr>
          <w:rFonts w:ascii="Times New Roman Regular" w:hAnsi="Times New Roman Regular" w:eastAsia="Times New Roman"/>
          <w:color w:val="000000"/>
        </w:rPr>
      </w:pPr>
    </w:p>
    <w:p>
      <w:pPr>
        <w:ind w:left="420" w:leftChars="200"/>
        <w:rPr>
          <w:rFonts w:hint="eastAsia" w:ascii="Times New Roman Regular" w:hAnsi="Times New Roman Regular" w:eastAsia="Times New Roman"/>
          <w:color w:val="000000"/>
        </w:rPr>
      </w:pPr>
    </w:p>
    <w:p>
      <w:pPr>
        <w:ind w:left="420" w:leftChars="200"/>
        <w:rPr>
          <w:rFonts w:ascii="Times New Roman Regular" w:hAnsi="Times New Roman Regular" w:eastAsia="Times New Roman"/>
          <w:color w:val="000000"/>
        </w:rPr>
      </w:pPr>
    </w:p>
    <w:p>
      <w:pPr>
        <w:ind w:left="420" w:leftChars="200"/>
        <w:rPr>
          <w:rFonts w:ascii="Times New Roman Regular" w:hAnsi="Times New Roman Regular" w:eastAsia="Times New Roman"/>
          <w:color w:val="000000"/>
        </w:rPr>
      </w:pPr>
    </w:p>
    <w:p>
      <w:pPr>
        <w:ind w:firstLine="340"/>
        <w:jc w:val="left"/>
        <w:rPr>
          <w:rFonts w:hint="eastAsia" w:ascii="Times New Roman Regular" w:hAnsi="Times New Roman Regular" w:eastAsia="Times New Roman"/>
          <w:color w:val="000000"/>
        </w:rPr>
      </w:pPr>
    </w:p>
    <w:p>
      <w:pPr>
        <w:ind w:firstLine="420" w:firstLineChars="200"/>
        <w:rPr>
          <w:rFonts w:hint="eastAsia" w:ascii="Times New Roman Regular" w:hAnsi="Times New Roman Regular" w:eastAsia="Times New Roman"/>
          <w:color w:val="000000"/>
        </w:rPr>
      </w:pPr>
    </w:p>
    <w:p>
      <w:pPr>
        <w:ind w:firstLine="420" w:firstLineChars="200"/>
      </w:pPr>
    </w:p>
    <w:p>
      <w:r>
        <w:rPr>
          <w:rFonts w:ascii="Times New Roman" w:hAnsi="Times New Roman" w:cs="Times New Roman"/>
        </w:rPr>
        <w:t>.</w:t>
      </w:r>
    </w:p>
    <w:p>
      <w:pPr>
        <w:jc w:val="left"/>
        <w:rPr>
          <w:rFonts w:ascii="Times New Roman" w:hAnsi="Times New Roman" w:cs="Times New Roman"/>
        </w:rPr>
      </w:pPr>
    </w:p>
    <w:p>
      <w:pPr>
        <w:jc w:val="left"/>
        <w:rPr>
          <w:rFonts w:ascii="Times New Roman" w:hAnsi="Times New Roman" w:cs="Times New Roman"/>
        </w:rPr>
      </w:pPr>
    </w:p>
    <w:p>
      <w:pPr>
        <w:pStyle w:val="6"/>
        <w:ind w:left="360"/>
        <w:rPr>
          <w:rFonts w:ascii="Times New Roman" w:hAnsi="Times New Roman" w:cs="Times New Roman"/>
        </w:rPr>
      </w:pPr>
    </w:p>
    <w:p>
      <w:pPr>
        <w:pStyle w:val="6"/>
        <w:ind w:left="360"/>
        <w:rPr>
          <w:rFonts w:ascii="Times New Roman" w:hAnsi="Times New Roman" w:cs="Times New Roman"/>
        </w:rPr>
      </w:pPr>
    </w:p>
    <w:p>
      <w:pPr>
        <w:pStyle w:val="6"/>
        <w:ind w:left="360" w:firstLine="0" w:firstLineChars="0"/>
        <w:rPr>
          <w:rFonts w:ascii="Times New Roman" w:hAnsi="Times New Roman" w:cs="Times New Roman"/>
        </w:rPr>
      </w:pPr>
    </w:p>
    <w:p>
      <w:pPr>
        <w:rPr>
          <w:rFonts w:ascii="Times New Roman" w:hAnsi="Times New Roman" w:cs="Times New Roman"/>
        </w:rPr>
      </w:pPr>
    </w:p>
    <w:p>
      <w:pPr>
        <w:pStyle w:val="6"/>
        <w:ind w:left="360" w:firstLine="0" w:firstLineChars="0"/>
        <w:rPr>
          <w:rFonts w:ascii="Times New Roman" w:hAnsi="Times New Roman" w:cs="Times New Roma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CC"/>
    <w:family w:val="roman"/>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KTJ">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B24">
    <w:altName w:val="苹方-简"/>
    <w:panose1 w:val="00000000000000000000"/>
    <w:charset w:val="00"/>
    <w:family w:val="auto"/>
    <w:pitch w:val="default"/>
    <w:sig w:usb0="00000000" w:usb1="00000000" w:usb2="00000000" w:usb3="00000000" w:csb0="00000000" w:csb1="00000000"/>
  </w:font>
  <w:font w:name="B9">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隶书">
    <w:altName w:val="报隶-简"/>
    <w:panose1 w:val="0201050906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报隶-简">
    <w:panose1 w:val="02010600040101010101"/>
    <w:charset w:val="86"/>
    <w:family w:val="auto"/>
    <w:pitch w:val="default"/>
    <w:sig w:usb0="80000287" w:usb1="280F3C52" w:usb2="00000016" w:usb3="00000000" w:csb0="0004001F" w:csb1="00000000"/>
  </w:font>
  <w:font w:name="汉仪中黑KW">
    <w:panose1 w:val="00020600040101010101"/>
    <w:charset w:val="86"/>
    <w:family w:val="auto"/>
    <w:pitch w:val="default"/>
    <w:sig w:usb0="A00002BF" w:usb1="18EF7CFA" w:usb2="00000016" w:usb3="00000000" w:csb0="00040000" w:csb1="00000000"/>
  </w:font>
  <w:font w:name="Times New Roman Regular">
    <w:panose1 w:val="02020503050405090304"/>
    <w:charset w:val="00"/>
    <w:family w:val="auto"/>
    <w:pitch w:val="default"/>
    <w:sig w:usb0="E0000AFF" w:usb1="0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仿宋_GB2312">
    <w:altName w:val="方正仿宋_GBK"/>
    <w:panose1 w:val="02010609030101010101"/>
    <w:charset w:val="86"/>
    <w:family w:val="modern"/>
    <w:pitch w:val="default"/>
    <w:sig w:usb0="00000000" w:usb1="00000000" w:usb2="00000000" w:usb3="00000000" w:csb0="00040000" w:csb1="00000000"/>
  </w:font>
  <w:font w:name="微软雅黑">
    <w:altName w:val="汉仪旗黑"/>
    <w:panose1 w:val="020B0503020204020204"/>
    <w:charset w:val="86"/>
    <w:family w:val="swiss"/>
    <w:pitch w:val="default"/>
    <w:sig w:usb0="00000000" w:usb1="00000000" w:usb2="00000016" w:usb3="00000000" w:csb0="0004001F" w:csb1="00000000"/>
  </w:font>
  <w:font w:name="方正小标宋_GBK">
    <w:altName w:val="苹方-简"/>
    <w:panose1 w:val="00000000000000000000"/>
    <w:charset w:val="86"/>
    <w:family w:val="script"/>
    <w:pitch w:val="default"/>
    <w:sig w:usb0="00000000" w:usb1="00000000" w:usb2="00000010" w:usb3="00000000" w:csb0="00040000" w:csb1="00000000"/>
  </w:font>
  <w:font w:name="微软简行楷">
    <w:altName w:val="苹方-简"/>
    <w:panose1 w:val="00000000000000000000"/>
    <w:charset w:val="00"/>
    <w:family w:val="auto"/>
    <w:pitch w:val="default"/>
    <w:sig w:usb0="00000000" w:usb1="00000000" w:usb2="00000000" w:usb3="00000000" w:csb0="00000000" w:csb1="00000000"/>
  </w:font>
  <w:font w:name="華康行書體">
    <w:altName w:val="苹方-简"/>
    <w:panose1 w:val="02010609000101010101"/>
    <w:charset w:val="00"/>
    <w:family w:val="auto"/>
    <w:pitch w:val="default"/>
    <w:sig w:usb0="00000000" w:usb1="00000000" w:usb2="00000000" w:usb3="00000000" w:csb0="00000000" w:csb1="00000000"/>
  </w:font>
  <w:font w:name="微软简粗黑">
    <w:altName w:val="苹方-简"/>
    <w:panose1 w:val="00000000000000000000"/>
    <w:charset w:val="00"/>
    <w:family w:val="auto"/>
    <w:pitch w:val="default"/>
    <w:sig w:usb0="00000000" w:usb1="00000000" w:usb2="00000000" w:usb3="00000000" w:csb0="00000000" w:csb1="00000000"/>
  </w:font>
  <w:font w:name="思源黑体">
    <w:altName w:val="苹方-简"/>
    <w:panose1 w:val="020B0500000000090000"/>
    <w:charset w:val="86"/>
    <w:family w:val="auto"/>
    <w:pitch w:val="default"/>
    <w:sig w:usb0="00000000" w:usb1="00000000" w:usb2="00000016" w:usb3="00000000" w:csb0="60060107" w:csb1="00000000"/>
  </w:font>
  <w:font w:name="方正仿宋_GBK">
    <w:panose1 w:val="02000000000000000000"/>
    <w:charset w:val="86"/>
    <w:family w:val="auto"/>
    <w:pitch w:val="default"/>
    <w:sig w:usb0="A00002BF" w:usb1="38CF7CFA" w:usb2="00082016" w:usb3="00000000" w:csb0="00040001"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Arial Regular">
    <w:panose1 w:val="020B0604020202090204"/>
    <w:charset w:val="00"/>
    <w:family w:val="auto"/>
    <w:pitch w:val="default"/>
    <w:sig w:usb0="E0000AFF" w:usb1="00007843" w:usb2="00000001" w:usb3="00000000" w:csb0="400001BF" w:csb1="DFF70000"/>
  </w:font>
  <w:font w:name="Thonburi Regular">
    <w:panose1 w:val="00000400000000000000"/>
    <w:charset w:val="00"/>
    <w:family w:val="auto"/>
    <w:pitch w:val="default"/>
    <w:sig w:usb0="01000000" w:usb1="00000000" w:usb2="00000000" w:usb3="00000000" w:csb0="20000193" w:csb1="4D000000"/>
  </w:font>
  <w:font w:name="儷宋 Pro">
    <w:panose1 w:val="02020300000000000000"/>
    <w:charset w:val="88"/>
    <w:family w:val="auto"/>
    <w:pitch w:val="default"/>
    <w:sig w:usb0="80000001" w:usb1="28091800" w:usb2="00000016" w:usb3="00000000" w:csb0="00100000" w:csb1="00000000"/>
  </w:font>
  <w:font w:name="Times New Roman Bold">
    <w:panose1 w:val="02020503050405090304"/>
    <w:charset w:val="00"/>
    <w:family w:val="auto"/>
    <w:pitch w:val="default"/>
    <w:sig w:usb0="E0000AFF" w:usb1="00007843" w:usb2="00000001" w:usb3="00000000" w:csb0="400001BF" w:csb1="DFF70000"/>
  </w:font>
  <w:font w:name="Arial Unicode MS">
    <w:panose1 w:val="020B0604020202020204"/>
    <w:charset w:val="86"/>
    <w:family w:val="auto"/>
    <w:pitch w:val="default"/>
    <w:sig w:usb0="FFFFFFFF" w:usb1="E9FFFFFF" w:usb2="0000003F" w:usb3="00000000" w:csb0="603F01FF" w:csb1="FFFF0000"/>
  </w:font>
  <w:font w:name="Apple Color Emoji">
    <w:panose1 w:val="00000000000000000000"/>
    <w:charset w:val="00"/>
    <w:family w:val="auto"/>
    <w:pitch w:val="default"/>
    <w:sig w:usb0="00000003" w:usb1="18000000" w:usb2="14000000" w:usb3="00000000" w:csb0="00000001"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 w:name="华文楷体">
    <w:panose1 w:val="02010600040101010101"/>
    <w:charset w:val="86"/>
    <w:family w:val="auto"/>
    <w:pitch w:val="default"/>
    <w:sig w:usb0="80000287" w:usb1="280F3C52" w:usb2="00000016" w:usb3="00000000" w:csb0="0004001F" w:csb1="00000000"/>
  </w:font>
  <w:font w:name="Yuanti TC Regular">
    <w:panose1 w:val="02010600040101010101"/>
    <w:charset w:val="86"/>
    <w:family w:val="auto"/>
    <w:pitch w:val="default"/>
    <w:sig w:usb0="80000287" w:usb1="280F3C52" w:usb2="00000016" w:usb3="00000000" w:csb0="0004001F" w:csb1="00000000"/>
  </w:font>
  <w:font w:name="Heiti SC Light">
    <w:panose1 w:val="02000000000000000000"/>
    <w:charset w:val="86"/>
    <w:family w:val="auto"/>
    <w:pitch w:val="default"/>
    <w:sig w:usb0="8000002F" w:usb1="0800004A" w:usb2="00000000" w:usb3="00000000" w:csb0="203E0000" w:csb1="00000000"/>
  </w:font>
  <w:font w:name="Traditional Arabic">
    <w:altName w:val="苹方-简"/>
    <w:panose1 w:val="02020603050405020304"/>
    <w:charset w:val="00"/>
    <w:family w:val="auto"/>
    <w:pitch w:val="default"/>
    <w:sig w:usb0="00000000" w:usb1="00000000" w:usb2="00000008" w:usb3="00000000" w:csb0="00000041" w:csb1="20080000"/>
  </w:font>
  <w:font w:name="仿宋">
    <w:altName w:val="方正仿宋_GBK"/>
    <w:panose1 w:val="02010609060101010101"/>
    <w:charset w:val="86"/>
    <w:family w:val="auto"/>
    <w:pitch w:val="default"/>
    <w:sig w:usb0="00000000" w:usb1="00000000" w:usb2="00000016" w:usb3="00000000" w:csb0="00040001" w:csb1="00000000"/>
  </w:font>
  <w:font w:name="手札体-繁">
    <w:panose1 w:val="03000500000000000000"/>
    <w:charset w:val="86"/>
    <w:family w:val="auto"/>
    <w:pitch w:val="default"/>
    <w:sig w:usb0="A00002FF" w:usb1="7ACF7CFB" w:usb2="00000016" w:usb3="00000000" w:csb0="00040001" w:csb1="00000000"/>
  </w:font>
  <w:font w:name="兰亭黑-繁">
    <w:panose1 w:val="03000509000000000000"/>
    <w:charset w:val="88"/>
    <w:family w:val="auto"/>
    <w:pitch w:val="default"/>
    <w:sig w:usb0="00000001" w:usb1="080E0000" w:usb2="00000000" w:usb3="00000000" w:csb0="00100000" w:csb1="00000000"/>
  </w:font>
  <w:font w:name="Times New Roman Italic">
    <w:panose1 w:val="02020503050405090304"/>
    <w:charset w:val="00"/>
    <w:family w:val="auto"/>
    <w:pitch w:val="default"/>
    <w:sig w:usb0="E0000AFF" w:usb1="00007843" w:usb2="00000001" w:usb3="00000000" w:csb0="400001BF" w:csb1="DFF7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Times New Roman Medium">
    <w:altName w:val="苹方-简"/>
    <w:panose1 w:val="00000000000000000000"/>
    <w:charset w:val="00"/>
    <w:family w:val="auto"/>
    <w:pitch w:val="default"/>
    <w:sig w:usb0="00000000" w:usb1="00000000" w:usb2="00000000" w:usb3="00000000" w:csb0="000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娃娃体-简">
    <w:panose1 w:val="040B0500000000000000"/>
    <w:charset w:val="86"/>
    <w:family w:val="auto"/>
    <w:pitch w:val="default"/>
    <w:sig w:usb0="A00002FF" w:usb1="38CF7CFB" w:usb2="00000016" w:usb3="00000000" w:csb0="00040003" w:csb1="00000000"/>
  </w:font>
  <w:font w:name="HanziPen TC Regular">
    <w:panose1 w:val="03000300000000000000"/>
    <w:charset w:val="86"/>
    <w:family w:val="auto"/>
    <w:pitch w:val="default"/>
    <w:sig w:usb0="A00002FF" w:usb1="7ACF7CFB" w:usb2="00000016" w:usb3="00000000" w:csb0="00040001" w:csb1="00000000"/>
  </w:font>
  <w:font w:name="魏碑-繁">
    <w:altName w:val="苹方-简"/>
    <w:panose1 w:val="03000800000000000000"/>
    <w:charset w:val="88"/>
    <w:family w:val="auto"/>
    <w:pitch w:val="default"/>
    <w:sig w:usb0="00000000" w:usb1="00000000" w:usb2="00000016" w:usb3="00000000" w:csb0="20120187" w:csb1="00000000"/>
  </w:font>
  <w:font w:name="Andale Mono">
    <w:panose1 w:val="020B0509000000000004"/>
    <w:charset w:val="00"/>
    <w:family w:val="auto"/>
    <w:pitch w:val="default"/>
    <w:sig w:usb0="00000287" w:usb1="00000000" w:usb2="00000000" w:usb3="00000000" w:csb0="6000009F" w:csb1="DFD70000"/>
  </w:font>
  <w:font w:name="Arial Black">
    <w:panose1 w:val="020B0A04020102020204"/>
    <w:charset w:val="00"/>
    <w:family w:val="auto"/>
    <w:pitch w:val="default"/>
    <w:sig w:usb0="00000287" w:usb1="00000000" w:usb2="00000000" w:usb3="00000000" w:csb0="2000009F" w:csb1="DFD70000"/>
  </w:font>
  <w:font w:name="STHeiti Light">
    <w:panose1 w:val="02010600040101010101"/>
    <w:charset w:val="86"/>
    <w:family w:val="auto"/>
    <w:pitch w:val="default"/>
    <w:sig w:usb0="00000287" w:usb1="080F0000" w:usb2="00000000" w:usb3="00000000" w:csb0="0004009F" w:csb1="DFD70000"/>
  </w:font>
  <w:font w:name="Apple Symbols">
    <w:panose1 w:val="02000000000000000000"/>
    <w:charset w:val="00"/>
    <w:family w:val="auto"/>
    <w:pitch w:val="default"/>
    <w:sig w:usb0="800000A3" w:usb1="08007BEB" w:usb2="01840034" w:usb3="0000A268" w:csb0="200001FB" w:csb1="DDFF0000"/>
  </w:font>
  <w:font w:name="Baloo Da">
    <w:altName w:val="苹方-简"/>
    <w:panose1 w:val="03080902040302020200"/>
    <w:charset w:val="00"/>
    <w:family w:val="auto"/>
    <w:pitch w:val="default"/>
    <w:sig w:usb0="00000000" w:usb1="00000000" w:usb2="00000000" w:usb3="00000000" w:csb0="20000193" w:csb1="00000000"/>
  </w:font>
  <w:font w:name="Corsiva Hebrew Regular">
    <w:panose1 w:val="00000000000000000000"/>
    <w:charset w:val="00"/>
    <w:family w:val="auto"/>
    <w:pitch w:val="default"/>
    <w:sig w:usb0="80000843" w:usb1="40000002" w:usb2="00000000" w:usb3="00000000" w:csb0="00000001" w:csb1="00000000"/>
  </w:font>
  <w:font w:name="Kannada Sangam MN Regular">
    <w:panose1 w:val="00000500000000000000"/>
    <w:charset w:val="00"/>
    <w:family w:val="auto"/>
    <w:pitch w:val="default"/>
    <w:sig w:usb0="00400001" w:usb1="00000000" w:usb2="00000000" w:usb3="00000000" w:csb0="00000001" w:csb1="00000000"/>
  </w:font>
  <w:font w:name="InaiMathi Regular">
    <w:panose1 w:val="00000500000000000000"/>
    <w:charset w:val="00"/>
    <w:family w:val="auto"/>
    <w:pitch w:val="default"/>
    <w:sig w:usb0="00100001" w:usb1="00000000" w:usb2="00000000" w:usb3="00000000" w:csb0="00000001" w:csb1="00000000"/>
  </w:font>
  <w:font w:name="雅痞-简">
    <w:panose1 w:val="020F0603040207020204"/>
    <w:charset w:val="86"/>
    <w:family w:val="auto"/>
    <w:pitch w:val="default"/>
    <w:sig w:usb0="A00002FF" w:usb1="7ACF7CFB" w:usb2="0000001E" w:usb3="00000000" w:csb0="00040001" w:csb1="00000000"/>
  </w:font>
  <w:font w:name="標楷體">
    <w:altName w:val="苹方-简"/>
    <w:panose1 w:val="02010601000101010101"/>
    <w:charset w:val="00"/>
    <w:family w:val="auto"/>
    <w:pitch w:val="default"/>
    <w:sig w:usb0="00000000" w:usb1="00000000" w:usb2="00000000" w:usb3="00000000" w:csb0="00000000" w:csb1="00000000"/>
  </w:font>
  <w:font w:name="蘋果儷中黑">
    <w:panose1 w:val="00000000000000000000"/>
    <w:charset w:val="00"/>
    <w:family w:val="auto"/>
    <w:pitch w:val="default"/>
    <w:sig w:usb0="800000E3" w:usb1="30C97878" w:usb2="00000016" w:usb3="00000000" w:csb0="00000001" w:csb1="00000000"/>
  </w:font>
  <w:font w:name="报隶-繁">
    <w:panose1 w:val="02010600040101010101"/>
    <w:charset w:val="86"/>
    <w:family w:val="auto"/>
    <w:pitch w:val="default"/>
    <w:sig w:usb0="80000287" w:usb1="280F3C52" w:usb2="00000016" w:usb3="00000000" w:csb0="0004001F" w:csb1="00000000"/>
  </w:font>
  <w:font w:name="Devanagari MT Regular">
    <w:panose1 w:val="02000500020000000000"/>
    <w:charset w:val="00"/>
    <w:family w:val="auto"/>
    <w:pitch w:val="default"/>
    <w:sig w:usb0="80008003" w:usb1="1000C0C0" w:usb2="00000000" w:usb3="00000000" w:csb0="00000001" w:csb1="00000000"/>
  </w:font>
  <w:font w:name="Kefa Regular">
    <w:panose1 w:val="02000506000000020004"/>
    <w:charset w:val="00"/>
    <w:family w:val="auto"/>
    <w:pitch w:val="default"/>
    <w:sig w:usb0="800000AF" w:usb1="4000204B" w:usb2="00000800" w:usb3="00000000" w:csb0="20000001" w:csb1="00000000"/>
  </w:font>
  <w:font w:name="Nanum Gothic Regular">
    <w:panose1 w:val="020D0604000000000000"/>
    <w:charset w:val="81"/>
    <w:family w:val="auto"/>
    <w:pitch w:val="default"/>
    <w:sig w:usb0="900002A7" w:usb1="29D7FCFB" w:usb2="00000010" w:usb3="00000000" w:csb0="00080001" w:csb1="00000000"/>
  </w:font>
  <w:font w:name="Noto Sans Meetei Mayek">
    <w:altName w:val="苹方-简"/>
    <w:panose1 w:val="020B0502040504020204"/>
    <w:charset w:val="00"/>
    <w:family w:val="auto"/>
    <w:pitch w:val="default"/>
    <w:sig w:usb0="00000000" w:usb1="00000000" w:usb2="00000000" w:usb3="00000000" w:csb0="00000001" w:csb1="00000000"/>
  </w:font>
  <w:font w:name="Noto Sans Tai Tham">
    <w:altName w:val="苹方-简"/>
    <w:panose1 w:val="020B0502040504020204"/>
    <w:charset w:val="00"/>
    <w:family w:val="auto"/>
    <w:pitch w:val="default"/>
    <w:sig w:usb0="00000000" w:usb1="00000000" w:usb2="00000000" w:usb3="00000000" w:csb0="00000001" w:csb1="00000000"/>
  </w:font>
  <w:font w:name="Silom">
    <w:panose1 w:val="00000400000000000000"/>
    <w:charset w:val="00"/>
    <w:family w:val="auto"/>
    <w:pitch w:val="default"/>
    <w:sig w:usb0="A10000FF" w:usb1="5000205A" w:usb2="00000020" w:usb3="00000000" w:csb0="20000193" w:csb1="4D000000"/>
  </w:font>
  <w:font w:name="Noto Sans Chakma">
    <w:altName w:val="苹方-简"/>
    <w:panose1 w:val="020B0502040504020204"/>
    <w:charset w:val="00"/>
    <w:family w:val="auto"/>
    <w:pitch w:val="default"/>
    <w:sig w:usb0="00000000" w:usb1="00000000" w:usb2="00000400" w:usb3="00000000" w:csb0="00000001" w:csb1="00000000"/>
  </w:font>
  <w:font w:name="儷黑 Pro">
    <w:panose1 w:val="020B0500000000000000"/>
    <w:charset w:val="88"/>
    <w:family w:val="auto"/>
    <w:pitch w:val="default"/>
    <w:sig w:usb0="80000001" w:usb1="28091800" w:usb2="00000016" w:usb3="00000000" w:csb0="00100000" w:csb1="00000000"/>
  </w:font>
  <w:font w:name="微软雅黑">
    <w:altName w:val="汉仪旗黑"/>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隶变-繁">
    <w:panose1 w:val="02010600040101010101"/>
    <w:charset w:val="86"/>
    <w:family w:val="auto"/>
    <w:pitch w:val="default"/>
    <w:sig w:usb0="80000287" w:usb1="280F3C52" w:usb2="00000016" w:usb3="00000000" w:csb0="0004001F" w:csb1="00000000"/>
  </w:font>
  <w:font w:name="Zapf Dingbats">
    <w:panose1 w:val="05020102010704020609"/>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Wingdings 3">
    <w:panose1 w:val="05040102010807070707"/>
    <w:charset w:val="00"/>
    <w:family w:val="auto"/>
    <w:pitch w:val="default"/>
    <w:sig w:usb0="00000000" w:usb1="00000000" w:usb2="00000000" w:usb3="00000000" w:csb0="80000000" w:csb1="00000000"/>
  </w:font>
  <w:font w:name="Al Bayan Plain">
    <w:panose1 w:val="00000000000000000000"/>
    <w:charset w:val="00"/>
    <w:family w:val="auto"/>
    <w:pitch w:val="default"/>
    <w:sig w:usb0="00002000" w:usb1="00000000" w:usb2="00000008" w:usb3="00000000" w:csb0="00000040" w:csb1="20000000"/>
  </w:font>
  <w:font w:name="Heiti TC Light">
    <w:panose1 w:val="02000000000000000000"/>
    <w:charset w:val="86"/>
    <w:family w:val="auto"/>
    <w:pitch w:val="default"/>
    <w:sig w:usb0="8000002F" w:usb1="0800004A" w:usb2="00000000" w:usb3="00000000" w:csb0="203E0000" w:csb1="00000000"/>
  </w:font>
  <w:font w:name="Heiti SC Bold">
    <w:altName w:val="苹方-简"/>
    <w:panose1 w:val="00000000000000000000"/>
    <w:charset w:val="00"/>
    <w:family w:val="auto"/>
    <w:pitch w:val="default"/>
    <w:sig w:usb0="00000000" w:usb1="00000000" w:usb2="00000000" w:usb3="00000000" w:csb0="00000000" w:csb1="00000000"/>
  </w:font>
  <w:font w:name="Songti SC Bold">
    <w:panose1 w:val="02010800040101010101"/>
    <w:charset w:val="86"/>
    <w:family w:val="auto"/>
    <w:pitch w:val="default"/>
    <w:sig w:usb0="00000001" w:usb1="080F0000" w:usb2="00000000" w:usb3="00000000" w:csb0="00040000" w:csb1="00000000"/>
  </w:font>
  <w:font w:name="Arial Italic">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47B6A"/>
    <w:multiLevelType w:val="multilevel"/>
    <w:tmpl w:val="07D47B6A"/>
    <w:lvl w:ilvl="0" w:tentative="0">
      <w:start w:val="1"/>
      <w:numFmt w:val="decimal"/>
      <w:lvlText w:val="%1"/>
      <w:lvlJc w:val="left"/>
      <w:pPr>
        <w:ind w:left="360" w:hanging="360"/>
      </w:pPr>
      <w:rPr>
        <w:rFonts w:hint="default"/>
      </w:rPr>
    </w:lvl>
    <w:lvl w:ilvl="1" w:tentative="0">
      <w:start w:val="1"/>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080" w:hanging="108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440" w:hanging="1440"/>
      </w:pPr>
      <w:rPr>
        <w:rFonts w:hint="default"/>
      </w:rPr>
    </w:lvl>
  </w:abstractNum>
  <w:abstractNum w:abstractNumId="1">
    <w:nsid w:val="08357A00"/>
    <w:multiLevelType w:val="multilevel"/>
    <w:tmpl w:val="08357A00"/>
    <w:lvl w:ilvl="0" w:tentative="0">
      <w:start w:val="1"/>
      <w:numFmt w:val="decimal"/>
      <w:lvlText w:val="%1."/>
      <w:lvlJc w:val="left"/>
      <w:pPr>
        <w:ind w:left="675" w:hanging="360"/>
      </w:pPr>
      <w:rPr>
        <w:rFonts w:hint="default"/>
      </w:rPr>
    </w:lvl>
    <w:lvl w:ilvl="1" w:tentative="0">
      <w:start w:val="3"/>
      <w:numFmt w:val="decimal"/>
      <w:isLgl/>
      <w:lvlText w:val="%1.%2"/>
      <w:lvlJc w:val="left"/>
      <w:pPr>
        <w:ind w:left="675" w:hanging="360"/>
      </w:pPr>
      <w:rPr>
        <w:rFonts w:hint="default"/>
      </w:rPr>
    </w:lvl>
    <w:lvl w:ilvl="2" w:tentative="0">
      <w:start w:val="1"/>
      <w:numFmt w:val="decimal"/>
      <w:isLgl/>
      <w:lvlText w:val="%1.%2.%3"/>
      <w:lvlJc w:val="left"/>
      <w:pPr>
        <w:ind w:left="1035" w:hanging="720"/>
      </w:pPr>
      <w:rPr>
        <w:rFonts w:hint="default"/>
      </w:rPr>
    </w:lvl>
    <w:lvl w:ilvl="3" w:tentative="0">
      <w:start w:val="1"/>
      <w:numFmt w:val="decimal"/>
      <w:isLgl/>
      <w:lvlText w:val="%1.%2.%3.%4"/>
      <w:lvlJc w:val="left"/>
      <w:pPr>
        <w:ind w:left="1035" w:hanging="720"/>
      </w:pPr>
      <w:rPr>
        <w:rFonts w:hint="default"/>
      </w:rPr>
    </w:lvl>
    <w:lvl w:ilvl="4" w:tentative="0">
      <w:start w:val="1"/>
      <w:numFmt w:val="decimal"/>
      <w:isLgl/>
      <w:lvlText w:val="%1.%2.%3.%4.%5"/>
      <w:lvlJc w:val="left"/>
      <w:pPr>
        <w:ind w:left="1395" w:hanging="1080"/>
      </w:pPr>
      <w:rPr>
        <w:rFonts w:hint="default"/>
      </w:rPr>
    </w:lvl>
    <w:lvl w:ilvl="5" w:tentative="0">
      <w:start w:val="1"/>
      <w:numFmt w:val="decimal"/>
      <w:isLgl/>
      <w:lvlText w:val="%1.%2.%3.%4.%5.%6"/>
      <w:lvlJc w:val="left"/>
      <w:pPr>
        <w:ind w:left="1395" w:hanging="1080"/>
      </w:pPr>
      <w:rPr>
        <w:rFonts w:hint="default"/>
      </w:rPr>
    </w:lvl>
    <w:lvl w:ilvl="6" w:tentative="0">
      <w:start w:val="1"/>
      <w:numFmt w:val="decimal"/>
      <w:isLgl/>
      <w:lvlText w:val="%1.%2.%3.%4.%5.%6.%7"/>
      <w:lvlJc w:val="left"/>
      <w:pPr>
        <w:ind w:left="1395" w:hanging="1080"/>
      </w:pPr>
      <w:rPr>
        <w:rFonts w:hint="default"/>
      </w:rPr>
    </w:lvl>
    <w:lvl w:ilvl="7" w:tentative="0">
      <w:start w:val="1"/>
      <w:numFmt w:val="decimal"/>
      <w:isLgl/>
      <w:lvlText w:val="%1.%2.%3.%4.%5.%6.%7.%8"/>
      <w:lvlJc w:val="left"/>
      <w:pPr>
        <w:ind w:left="1755" w:hanging="1440"/>
      </w:pPr>
      <w:rPr>
        <w:rFonts w:hint="default"/>
      </w:rPr>
    </w:lvl>
    <w:lvl w:ilvl="8" w:tentative="0">
      <w:start w:val="1"/>
      <w:numFmt w:val="decimal"/>
      <w:isLgl/>
      <w:lvlText w:val="%1.%2.%3.%4.%5.%6.%7.%8.%9"/>
      <w:lvlJc w:val="left"/>
      <w:pPr>
        <w:ind w:left="1755"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3"/>
  <w:doNotDisplayPageBoundaries w:val="1"/>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BB6"/>
    <w:rsid w:val="000049AC"/>
    <w:rsid w:val="00011AE1"/>
    <w:rsid w:val="00012591"/>
    <w:rsid w:val="00035A83"/>
    <w:rsid w:val="00095A06"/>
    <w:rsid w:val="000A4A95"/>
    <w:rsid w:val="000C0C11"/>
    <w:rsid w:val="000E4D1C"/>
    <w:rsid w:val="000F0288"/>
    <w:rsid w:val="000F22D6"/>
    <w:rsid w:val="000F7AE5"/>
    <w:rsid w:val="001036D7"/>
    <w:rsid w:val="00114F8A"/>
    <w:rsid w:val="0011505D"/>
    <w:rsid w:val="0012113D"/>
    <w:rsid w:val="001431E3"/>
    <w:rsid w:val="001C61C5"/>
    <w:rsid w:val="001D1B62"/>
    <w:rsid w:val="001E78F7"/>
    <w:rsid w:val="002047C8"/>
    <w:rsid w:val="00226C7C"/>
    <w:rsid w:val="00233727"/>
    <w:rsid w:val="00235C17"/>
    <w:rsid w:val="00260A8A"/>
    <w:rsid w:val="002663DC"/>
    <w:rsid w:val="002730DC"/>
    <w:rsid w:val="002A554B"/>
    <w:rsid w:val="002C2F99"/>
    <w:rsid w:val="002C3EC8"/>
    <w:rsid w:val="002D1176"/>
    <w:rsid w:val="002D274D"/>
    <w:rsid w:val="00317811"/>
    <w:rsid w:val="003400A7"/>
    <w:rsid w:val="00342531"/>
    <w:rsid w:val="00345BEE"/>
    <w:rsid w:val="003470FD"/>
    <w:rsid w:val="00366766"/>
    <w:rsid w:val="00375273"/>
    <w:rsid w:val="00391AC3"/>
    <w:rsid w:val="003933D0"/>
    <w:rsid w:val="003E42DD"/>
    <w:rsid w:val="004252DA"/>
    <w:rsid w:val="00433B48"/>
    <w:rsid w:val="00474C7F"/>
    <w:rsid w:val="004805A7"/>
    <w:rsid w:val="0048172A"/>
    <w:rsid w:val="00482257"/>
    <w:rsid w:val="00483ADF"/>
    <w:rsid w:val="004A3739"/>
    <w:rsid w:val="004A6893"/>
    <w:rsid w:val="004B6083"/>
    <w:rsid w:val="004F124E"/>
    <w:rsid w:val="004F1758"/>
    <w:rsid w:val="00504579"/>
    <w:rsid w:val="0051248C"/>
    <w:rsid w:val="00524362"/>
    <w:rsid w:val="00527C37"/>
    <w:rsid w:val="00530174"/>
    <w:rsid w:val="00530FC0"/>
    <w:rsid w:val="005426F5"/>
    <w:rsid w:val="00547EA6"/>
    <w:rsid w:val="00552753"/>
    <w:rsid w:val="00583563"/>
    <w:rsid w:val="00585CBE"/>
    <w:rsid w:val="005970F8"/>
    <w:rsid w:val="005B1657"/>
    <w:rsid w:val="005B6ACF"/>
    <w:rsid w:val="005E5A28"/>
    <w:rsid w:val="005F60AC"/>
    <w:rsid w:val="00620C7C"/>
    <w:rsid w:val="006270B4"/>
    <w:rsid w:val="00627BBF"/>
    <w:rsid w:val="00647F7E"/>
    <w:rsid w:val="00653309"/>
    <w:rsid w:val="006561AD"/>
    <w:rsid w:val="00664FE3"/>
    <w:rsid w:val="006779CE"/>
    <w:rsid w:val="006879B5"/>
    <w:rsid w:val="006D53AA"/>
    <w:rsid w:val="006F3257"/>
    <w:rsid w:val="00714620"/>
    <w:rsid w:val="007276F2"/>
    <w:rsid w:val="007470B2"/>
    <w:rsid w:val="00752DD9"/>
    <w:rsid w:val="00775C4A"/>
    <w:rsid w:val="00776E3E"/>
    <w:rsid w:val="00784F49"/>
    <w:rsid w:val="007E1820"/>
    <w:rsid w:val="00801CC5"/>
    <w:rsid w:val="008034A7"/>
    <w:rsid w:val="0080674E"/>
    <w:rsid w:val="00824C2E"/>
    <w:rsid w:val="008579AE"/>
    <w:rsid w:val="008611EE"/>
    <w:rsid w:val="00865348"/>
    <w:rsid w:val="008723B4"/>
    <w:rsid w:val="00872A26"/>
    <w:rsid w:val="00881097"/>
    <w:rsid w:val="00893BB6"/>
    <w:rsid w:val="008A181A"/>
    <w:rsid w:val="008F4475"/>
    <w:rsid w:val="008F4914"/>
    <w:rsid w:val="008F6F02"/>
    <w:rsid w:val="00900CF2"/>
    <w:rsid w:val="0090479D"/>
    <w:rsid w:val="00914B21"/>
    <w:rsid w:val="009654B1"/>
    <w:rsid w:val="0097511F"/>
    <w:rsid w:val="00980776"/>
    <w:rsid w:val="009837BE"/>
    <w:rsid w:val="009A1548"/>
    <w:rsid w:val="009E16E8"/>
    <w:rsid w:val="009E6776"/>
    <w:rsid w:val="009F3D98"/>
    <w:rsid w:val="00A05FE1"/>
    <w:rsid w:val="00A1013B"/>
    <w:rsid w:val="00A265D0"/>
    <w:rsid w:val="00A378EC"/>
    <w:rsid w:val="00A50DE0"/>
    <w:rsid w:val="00A6071D"/>
    <w:rsid w:val="00A72E38"/>
    <w:rsid w:val="00A77177"/>
    <w:rsid w:val="00A90B84"/>
    <w:rsid w:val="00A91210"/>
    <w:rsid w:val="00A91825"/>
    <w:rsid w:val="00AB6ABE"/>
    <w:rsid w:val="00B0027F"/>
    <w:rsid w:val="00B0128D"/>
    <w:rsid w:val="00B05502"/>
    <w:rsid w:val="00B3360B"/>
    <w:rsid w:val="00B36DF4"/>
    <w:rsid w:val="00B65BD1"/>
    <w:rsid w:val="00B96B79"/>
    <w:rsid w:val="00BA16DC"/>
    <w:rsid w:val="00BA3CF3"/>
    <w:rsid w:val="00BA43A2"/>
    <w:rsid w:val="00BB5570"/>
    <w:rsid w:val="00BC1A77"/>
    <w:rsid w:val="00BD45AD"/>
    <w:rsid w:val="00BF135D"/>
    <w:rsid w:val="00C03AEE"/>
    <w:rsid w:val="00C17192"/>
    <w:rsid w:val="00C22ABB"/>
    <w:rsid w:val="00C378B7"/>
    <w:rsid w:val="00C37C7D"/>
    <w:rsid w:val="00C440EC"/>
    <w:rsid w:val="00C57AB1"/>
    <w:rsid w:val="00C60230"/>
    <w:rsid w:val="00C83782"/>
    <w:rsid w:val="00C97F99"/>
    <w:rsid w:val="00CA4A0F"/>
    <w:rsid w:val="00CB62C7"/>
    <w:rsid w:val="00CB6C03"/>
    <w:rsid w:val="00CB77CD"/>
    <w:rsid w:val="00CE5D31"/>
    <w:rsid w:val="00CF2DC9"/>
    <w:rsid w:val="00D006E5"/>
    <w:rsid w:val="00D5090D"/>
    <w:rsid w:val="00D605B1"/>
    <w:rsid w:val="00D617DB"/>
    <w:rsid w:val="00D65723"/>
    <w:rsid w:val="00D8441F"/>
    <w:rsid w:val="00DA48B5"/>
    <w:rsid w:val="00DC1C49"/>
    <w:rsid w:val="00DD1B8D"/>
    <w:rsid w:val="00DE0475"/>
    <w:rsid w:val="00DF4170"/>
    <w:rsid w:val="00DF54E7"/>
    <w:rsid w:val="00E04CA5"/>
    <w:rsid w:val="00E108DC"/>
    <w:rsid w:val="00E23941"/>
    <w:rsid w:val="00E65599"/>
    <w:rsid w:val="00EA1236"/>
    <w:rsid w:val="00EA39AB"/>
    <w:rsid w:val="00EB00EE"/>
    <w:rsid w:val="00EB4AF6"/>
    <w:rsid w:val="00EC5D2A"/>
    <w:rsid w:val="00ED2705"/>
    <w:rsid w:val="00EE3DC8"/>
    <w:rsid w:val="00F1003E"/>
    <w:rsid w:val="00F11DB2"/>
    <w:rsid w:val="00F20C44"/>
    <w:rsid w:val="00F21315"/>
    <w:rsid w:val="00F21DD2"/>
    <w:rsid w:val="00F35CEC"/>
    <w:rsid w:val="00F47C64"/>
    <w:rsid w:val="00F65B08"/>
    <w:rsid w:val="00F816E8"/>
    <w:rsid w:val="00F831F8"/>
    <w:rsid w:val="00FA654B"/>
    <w:rsid w:val="00FC17D3"/>
    <w:rsid w:val="00FD15F0"/>
    <w:rsid w:val="00FD60C8"/>
    <w:rsid w:val="00FE3F1E"/>
    <w:rsid w:val="00FE7AA9"/>
    <w:rsid w:val="00FF076B"/>
    <w:rsid w:val="3EFF3904"/>
    <w:rsid w:val="7CBE8F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unhideWhenUsed/>
    <w:uiPriority w:val="1"/>
  </w:style>
  <w:style w:type="table" w:default="1" w:styleId="4">
    <w:name w:val="Normal Table"/>
    <w:unhideWhenUsed/>
    <w:uiPriority w:val="99"/>
    <w:tblPr>
      <w:tblCellMar>
        <w:top w:w="0" w:type="dxa"/>
        <w:left w:w="108" w:type="dxa"/>
        <w:bottom w:w="0" w:type="dxa"/>
        <w:right w:w="108" w:type="dxa"/>
      </w:tblCellMar>
    </w:tblPr>
  </w:style>
  <w:style w:type="character" w:styleId="3">
    <w:name w:val="Hyperlink"/>
    <w:basedOn w:val="2"/>
    <w:unhideWhenUsed/>
    <w:uiPriority w:val="99"/>
    <w:rPr>
      <w:color w:val="0563C1" w:themeColor="hyperlink"/>
      <w:u w:val="single"/>
      <w14:textFill>
        <w14:solidFill>
          <w14:schemeClr w14:val="hlink"/>
        </w14:solidFill>
      </w14:textFill>
    </w:rPr>
  </w:style>
  <w:style w:type="table" w:styleId="5">
    <w:name w:val="Table Grid"/>
    <w:basedOn w:val="4"/>
    <w:uiPriority w:val="3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customStyle="1" w:styleId="6">
    <w:name w:val="List Paragraph"/>
    <w:basedOn w:val="1"/>
    <w:qFormat/>
    <w:uiPriority w:val="34"/>
    <w:pPr>
      <w:ind w:firstLine="420" w:firstLineChars="200"/>
    </w:pPr>
  </w:style>
  <w:style w:type="character" w:customStyle="1" w:styleId="7">
    <w:name w:val="15"/>
    <w:basedOn w:val="2"/>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14</Pages>
  <Words>5495</Words>
  <Characters>31324</Characters>
  <Lines>261</Lines>
  <Paragraphs>73</Paragraphs>
  <ScaleCrop>false</ScaleCrop>
  <LinksUpToDate>false</LinksUpToDate>
  <CharactersWithSpaces>36746</CharactersWithSpaces>
  <Application>WPS Office_2.7.1.4479_F1E327BC-269C-435d-A152-05C5408002CA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2023-08-04T12:05:00Z</dcterms:created>
  <dc:creator>fengxxx39@163.com</dc:creator>
  <cp:lastModifiedBy>fengxiao</cp:lastModifiedBy>
  <dcterms:modified xsi:type="dcterms:W3CDTF">2023-08-07T10:06:03Z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2052-2.7.1.4479</vt:lpwstr>
  </property>
</Properties>
</file>