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A9A09" w14:textId="77777777" w:rsidR="00CA2626" w:rsidRPr="00CA2626" w:rsidRDefault="00CA2626" w:rsidP="001A4316">
      <w:pPr>
        <w:spacing w:line="360" w:lineRule="auto"/>
        <w:jc w:val="center"/>
        <w:rPr>
          <w:rFonts w:ascii="Arial" w:hAnsi="Arial" w:cs="Arial"/>
        </w:rPr>
      </w:pPr>
      <w:r w:rsidRPr="00CA2626">
        <w:rPr>
          <w:rFonts w:ascii="Arial" w:hAnsi="Arial" w:cs="Arial"/>
        </w:rPr>
        <w:t>Student Name: Fizza Rizwan</w:t>
      </w:r>
    </w:p>
    <w:p w14:paraId="54E43285" w14:textId="77777777" w:rsidR="00CA2626" w:rsidRPr="00CA2626" w:rsidRDefault="00CA2626" w:rsidP="001A4316">
      <w:pPr>
        <w:spacing w:line="360" w:lineRule="auto"/>
        <w:jc w:val="center"/>
        <w:rPr>
          <w:rFonts w:ascii="Arial" w:hAnsi="Arial" w:cs="Arial"/>
        </w:rPr>
      </w:pPr>
      <w:r w:rsidRPr="00CA2626">
        <w:rPr>
          <w:rFonts w:ascii="Arial" w:hAnsi="Arial" w:cs="Arial"/>
        </w:rPr>
        <w:t>Student ID: 2422238</w:t>
      </w:r>
    </w:p>
    <w:p w14:paraId="51730928" w14:textId="77777777" w:rsidR="00CA2626" w:rsidRPr="00CA2626" w:rsidRDefault="00CA2626" w:rsidP="001A4316">
      <w:pPr>
        <w:spacing w:line="360" w:lineRule="auto"/>
        <w:jc w:val="center"/>
        <w:rPr>
          <w:rFonts w:ascii="Arial" w:hAnsi="Arial" w:cs="Arial"/>
        </w:rPr>
      </w:pPr>
      <w:r w:rsidRPr="00CA2626">
        <w:rPr>
          <w:rFonts w:ascii="Arial" w:hAnsi="Arial" w:cs="Arial"/>
        </w:rPr>
        <w:t>Module Code: LCHS4003</w:t>
      </w:r>
    </w:p>
    <w:p w14:paraId="45333280" w14:textId="77777777" w:rsidR="00CA2626" w:rsidRPr="00CA2626" w:rsidRDefault="00CA2626" w:rsidP="001A4316">
      <w:pPr>
        <w:spacing w:line="360" w:lineRule="auto"/>
        <w:jc w:val="center"/>
        <w:rPr>
          <w:rFonts w:ascii="Arial" w:hAnsi="Arial" w:cs="Arial"/>
        </w:rPr>
      </w:pPr>
      <w:r w:rsidRPr="00CA2626">
        <w:rPr>
          <w:rFonts w:ascii="Arial" w:hAnsi="Arial" w:cs="Arial"/>
        </w:rPr>
        <w:t xml:space="preserve">Lecturer: Aishat </w:t>
      </w:r>
      <w:proofErr w:type="spellStart"/>
      <w:r w:rsidRPr="00CA2626">
        <w:rPr>
          <w:rFonts w:ascii="Arial" w:hAnsi="Arial" w:cs="Arial"/>
        </w:rPr>
        <w:t>Bakre</w:t>
      </w:r>
      <w:proofErr w:type="spellEnd"/>
    </w:p>
    <w:p w14:paraId="46E9241D" w14:textId="62F66383" w:rsidR="00CA2626" w:rsidRPr="00CA2626" w:rsidRDefault="00CA2626" w:rsidP="001A4316">
      <w:pPr>
        <w:spacing w:line="360" w:lineRule="auto"/>
        <w:rPr>
          <w:rFonts w:ascii="Arial" w:hAnsi="Arial" w:cs="Arial"/>
        </w:rPr>
      </w:pPr>
    </w:p>
    <w:p w14:paraId="21548829" w14:textId="77777777" w:rsidR="00CA2626" w:rsidRPr="00CA2626" w:rsidRDefault="00CA2626" w:rsidP="001A4316">
      <w:pPr>
        <w:spacing w:after="160" w:line="360" w:lineRule="auto"/>
        <w:rPr>
          <w:rFonts w:ascii="Arial" w:hAnsi="Arial" w:cs="Arial"/>
        </w:rPr>
      </w:pPr>
      <w:r w:rsidRPr="00CA2626">
        <w:rPr>
          <w:rFonts w:ascii="Arial" w:hAnsi="Arial" w:cs="Arial"/>
        </w:rPr>
        <w:br w:type="page"/>
      </w:r>
    </w:p>
    <w:p w14:paraId="00E4C215" w14:textId="348C3636" w:rsidR="00847EB8" w:rsidRPr="00CA2626" w:rsidRDefault="00CA2626" w:rsidP="001A4316">
      <w:pPr>
        <w:spacing w:line="360" w:lineRule="auto"/>
        <w:rPr>
          <w:rFonts w:ascii="Arial" w:hAnsi="Arial" w:cs="Arial"/>
          <w:b/>
          <w:bCs/>
          <w:u w:val="single"/>
        </w:rPr>
      </w:pPr>
      <w:r w:rsidRPr="00CA2626">
        <w:rPr>
          <w:rFonts w:ascii="Arial" w:hAnsi="Arial" w:cs="Arial"/>
          <w:b/>
          <w:bCs/>
          <w:u w:val="single"/>
        </w:rPr>
        <w:lastRenderedPageBreak/>
        <w:t>Introduction</w:t>
      </w:r>
    </w:p>
    <w:p w14:paraId="4DDB5A68" w14:textId="7D541E15" w:rsidR="00CA2626" w:rsidRPr="00CA2626" w:rsidRDefault="00CA2626" w:rsidP="001A4316">
      <w:pPr>
        <w:spacing w:line="360" w:lineRule="auto"/>
        <w:rPr>
          <w:rFonts w:ascii="Arial" w:hAnsi="Arial" w:cs="Arial"/>
        </w:rPr>
      </w:pPr>
      <w:r w:rsidRPr="00CA2626">
        <w:rPr>
          <w:rFonts w:ascii="Arial" w:hAnsi="Arial" w:cs="Arial"/>
        </w:rPr>
        <w:t>This report focuses on Mrs. Mann, a 72-year-old woman who recently underwent a hip replacement operation and now receives support from health and social care services. She lives alone and receives visits from a domiciliary care agency twice daily to help with personal care and mobility. Mrs. Mann’s first language is Urdu, and she has limited English, so communication can sometimes be challenging, with her daughter often acting as an interpreter. The report discusses three key areas essential to her care: communication, administrative skills, and multi-agency collaboration. Each section explores the importance of these aspects in ensuring her safety, recovery, and well-being.</w:t>
      </w:r>
      <w:r w:rsidRPr="00CA2626">
        <w:rPr>
          <w:rFonts w:ascii="Arial" w:hAnsi="Arial" w:cs="Arial"/>
        </w:rPr>
        <w:br/>
      </w:r>
      <w:r w:rsidRPr="00CA2626">
        <w:rPr>
          <w:rFonts w:ascii="Arial" w:hAnsi="Arial" w:cs="Arial"/>
        </w:rPr>
        <w:br/>
        <w:t xml:space="preserve">The report also draws </w:t>
      </w:r>
      <w:r w:rsidRPr="00CA2626">
        <w:rPr>
          <w:rFonts w:ascii="Arial" w:hAnsi="Arial" w:cs="Arial"/>
        </w:rPr>
        <w:t>up</w:t>
      </w:r>
      <w:r w:rsidRPr="00CA2626">
        <w:rPr>
          <w:rFonts w:ascii="Arial" w:hAnsi="Arial" w:cs="Arial"/>
        </w:rPr>
        <w:t xml:space="preserve"> relevant legislation and best practices, such as the Equality Act 2010 and the Data Protection Act 2018, to support professional practice. Moreover, it examines how ethical principles—such as respect, confidentiality, and person-</w:t>
      </w:r>
      <w:r w:rsidRPr="00CA2626">
        <w:rPr>
          <w:rFonts w:ascii="Arial" w:hAnsi="Arial" w:cs="Arial"/>
        </w:rPr>
        <w:t>centered</w:t>
      </w:r>
      <w:r w:rsidRPr="00CA2626">
        <w:rPr>
          <w:rFonts w:ascii="Arial" w:hAnsi="Arial" w:cs="Arial"/>
        </w:rPr>
        <w:t xml:space="preserve"> care—are applied in day-to-day interactions with Mrs. Mann. The National Health Service (NHS) Constitution (2021) </w:t>
      </w:r>
      <w:r w:rsidRPr="00CA2626">
        <w:rPr>
          <w:rFonts w:ascii="Arial" w:hAnsi="Arial" w:cs="Arial"/>
        </w:rPr>
        <w:t>emphasizes</w:t>
      </w:r>
      <w:r w:rsidRPr="00CA2626">
        <w:rPr>
          <w:rFonts w:ascii="Arial" w:hAnsi="Arial" w:cs="Arial"/>
        </w:rPr>
        <w:t xml:space="preserve"> the importance of patient dignity, choice, and involvement in decision-making, which are particularly relevant in her case. Finally, the report concludes by </w:t>
      </w:r>
      <w:r w:rsidRPr="00CA2626">
        <w:rPr>
          <w:rFonts w:ascii="Arial" w:hAnsi="Arial" w:cs="Arial"/>
        </w:rPr>
        <w:t>summarizing</w:t>
      </w:r>
      <w:r w:rsidRPr="00CA2626">
        <w:rPr>
          <w:rFonts w:ascii="Arial" w:hAnsi="Arial" w:cs="Arial"/>
        </w:rPr>
        <w:t xml:space="preserve"> the key points and providing recommendations for maintaining </w:t>
      </w:r>
      <w:proofErr w:type="gramStart"/>
      <w:r w:rsidRPr="00CA2626">
        <w:rPr>
          <w:rFonts w:ascii="Arial" w:hAnsi="Arial" w:cs="Arial"/>
        </w:rPr>
        <w:t>high-quality</w:t>
      </w:r>
      <w:proofErr w:type="gramEnd"/>
      <w:r w:rsidRPr="00CA2626">
        <w:rPr>
          <w:rFonts w:ascii="Arial" w:hAnsi="Arial" w:cs="Arial"/>
        </w:rPr>
        <w:t xml:space="preserve">, </w:t>
      </w:r>
      <w:r w:rsidRPr="00CA2626">
        <w:rPr>
          <w:rFonts w:ascii="Arial" w:hAnsi="Arial" w:cs="Arial"/>
        </w:rPr>
        <w:t>safety</w:t>
      </w:r>
      <w:r w:rsidRPr="00CA2626">
        <w:rPr>
          <w:rFonts w:ascii="Arial" w:hAnsi="Arial" w:cs="Arial"/>
        </w:rPr>
        <w:t>, and inclusive care for Mrs. Mann.</w:t>
      </w:r>
      <w:r w:rsidRPr="00CA2626">
        <w:rPr>
          <w:rFonts w:ascii="Arial" w:hAnsi="Arial" w:cs="Arial"/>
        </w:rPr>
        <w:br/>
      </w:r>
    </w:p>
    <w:p w14:paraId="2BF7E428" w14:textId="77777777" w:rsidR="00CA2626" w:rsidRPr="00CA2626" w:rsidRDefault="00CA2626" w:rsidP="001A4316">
      <w:pPr>
        <w:spacing w:line="360" w:lineRule="auto"/>
        <w:rPr>
          <w:rFonts w:ascii="Arial" w:hAnsi="Arial" w:cs="Arial"/>
        </w:rPr>
      </w:pPr>
    </w:p>
    <w:p w14:paraId="5D2E2167" w14:textId="7D2CCA4A" w:rsidR="00CA2626" w:rsidRPr="00CA2626" w:rsidRDefault="00CA2626" w:rsidP="001A4316">
      <w:pPr>
        <w:spacing w:line="360" w:lineRule="auto"/>
        <w:rPr>
          <w:rFonts w:ascii="Arial" w:hAnsi="Arial" w:cs="Arial"/>
          <w:b/>
          <w:bCs/>
          <w:u w:val="single"/>
        </w:rPr>
      </w:pPr>
      <w:r w:rsidRPr="00CA2626">
        <w:rPr>
          <w:rFonts w:ascii="Arial" w:hAnsi="Arial" w:cs="Arial"/>
          <w:b/>
          <w:bCs/>
          <w:u w:val="single"/>
        </w:rPr>
        <w:t>Effective Communication in Mrs. Mann’s Care</w:t>
      </w:r>
    </w:p>
    <w:p w14:paraId="02B60AE1" w14:textId="1450A0B6" w:rsidR="00CA2626" w:rsidRPr="00CA2626" w:rsidRDefault="00CA2626" w:rsidP="001A4316">
      <w:pPr>
        <w:spacing w:line="360" w:lineRule="auto"/>
        <w:rPr>
          <w:rFonts w:ascii="Arial" w:hAnsi="Arial" w:cs="Arial"/>
        </w:rPr>
      </w:pPr>
      <w:r w:rsidRPr="00CA2626">
        <w:rPr>
          <w:rFonts w:ascii="Arial" w:hAnsi="Arial" w:cs="Arial"/>
        </w:rPr>
        <w:t xml:space="preserve">Effective communication is vital in Mrs. Mann’s care to ensure that her needs, preferences, and concerns are understood and addressed. Due to her limited English, clear communication strategies are necessary to prevent misunderstandings that could affect her health. Family involvement, such as her daughter acting as an interpreter, is essential but must be supported by professional practices to maintain accuracy and confidentiality. Health professionals must balance family involvement with professional responsibility to ensure information is conveyed objectively and that Mrs. Mann’s consent and autonomy are </w:t>
      </w:r>
      <w:r w:rsidRPr="00CA2626">
        <w:rPr>
          <w:rFonts w:ascii="Arial" w:hAnsi="Arial" w:cs="Arial"/>
        </w:rPr>
        <w:t>always respected</w:t>
      </w:r>
      <w:r w:rsidRPr="00CA2626">
        <w:rPr>
          <w:rFonts w:ascii="Arial" w:hAnsi="Arial" w:cs="Arial"/>
        </w:rPr>
        <w:t>.</w:t>
      </w:r>
    </w:p>
    <w:p w14:paraId="3FBC5D06" w14:textId="77777777" w:rsidR="00CA2626" w:rsidRPr="00CA2626" w:rsidRDefault="00CA2626" w:rsidP="001A4316">
      <w:pPr>
        <w:spacing w:line="360" w:lineRule="auto"/>
        <w:rPr>
          <w:rFonts w:ascii="Arial" w:hAnsi="Arial" w:cs="Arial"/>
        </w:rPr>
      </w:pPr>
    </w:p>
    <w:p w14:paraId="7590B3B7" w14:textId="6BA2ED41" w:rsidR="00CA2626" w:rsidRDefault="00CA2626" w:rsidP="001A4316">
      <w:pPr>
        <w:spacing w:line="360" w:lineRule="auto"/>
        <w:rPr>
          <w:rFonts w:ascii="Arial" w:hAnsi="Arial" w:cs="Arial"/>
        </w:rPr>
      </w:pPr>
      <w:r w:rsidRPr="00CA2626">
        <w:rPr>
          <w:rFonts w:ascii="Arial" w:hAnsi="Arial" w:cs="Arial"/>
        </w:rPr>
        <w:t xml:space="preserve">The Equality Act 2010 ensures that all individuals receive fair treatment and equal access to services, regardless of language, age, or disability. In Mrs. Mann’s case, staff must make reasonable adjustments, such as using translation services, interpreters, or visual aids, to </w:t>
      </w:r>
      <w:r w:rsidRPr="00CA2626">
        <w:rPr>
          <w:rFonts w:ascii="Arial" w:hAnsi="Arial" w:cs="Arial"/>
        </w:rPr>
        <w:lastRenderedPageBreak/>
        <w:t xml:space="preserve">support her understanding and involvement in decision-making. The Accessible Information Standard (NHS England, 2016) further mandates that </w:t>
      </w:r>
      <w:proofErr w:type="spellStart"/>
      <w:r w:rsidRPr="00CA2626">
        <w:rPr>
          <w:rFonts w:ascii="Arial" w:hAnsi="Arial" w:cs="Arial"/>
        </w:rPr>
        <w:t>organisations</w:t>
      </w:r>
      <w:proofErr w:type="spellEnd"/>
      <w:r w:rsidRPr="00CA2626">
        <w:rPr>
          <w:rFonts w:ascii="Arial" w:hAnsi="Arial" w:cs="Arial"/>
        </w:rPr>
        <w:t xml:space="preserve"> must meet communication needs by providing information in a format that patients can easily understand. Effective communication respects her rights and promotes dignity and autonomy, reducing the risk of isolation and anxiety during her recovery.</w:t>
      </w:r>
      <w:r w:rsidRPr="00CA2626">
        <w:rPr>
          <w:rFonts w:ascii="Arial" w:hAnsi="Arial" w:cs="Arial"/>
        </w:rPr>
        <w:br/>
      </w:r>
      <w:r w:rsidRPr="00CA2626">
        <w:rPr>
          <w:rFonts w:ascii="Arial" w:hAnsi="Arial" w:cs="Arial"/>
        </w:rPr>
        <w:br/>
        <w:t>Berlo’s SMCR Model (Source-Message-Channel-Receiver) helps explain the communication process. The 'Source' is the care worker conveying information; the 'Message' is the information about her care, medication, or daily activities; the 'Channel' is the medium used, such as spoken words, gestures, or written notes; and the 'Receiver' is Mrs. Mann or her daughter interpreting the information. Understanding this model helps professionals deliver clear messages, confirm understanding, and reduce errors. Complementary theories, such as Tuckman’s Stages of Team Development (forming, storming, norming, performing), are also relevant to how teams coordinate communication effectively when multiple carers are involved.</w:t>
      </w:r>
      <w:r w:rsidRPr="00CA2626">
        <w:rPr>
          <w:rFonts w:ascii="Arial" w:hAnsi="Arial" w:cs="Arial"/>
        </w:rPr>
        <w:br/>
      </w:r>
      <w:r w:rsidRPr="00CA2626">
        <w:rPr>
          <w:rFonts w:ascii="Arial" w:hAnsi="Arial" w:cs="Arial"/>
        </w:rPr>
        <w:br/>
        <w:t xml:space="preserve">Non-verbal communication is equally important. Observing body language, facial expressions, and tone can provide insights into Mrs. Mann’s comfort and understanding. Listening actively and giving her time to respond are essential skills. Written instructions in her language or using pictures can also reinforce verbal communication. Empathy and cultural sensitivity are </w:t>
      </w:r>
      <w:proofErr w:type="gramStart"/>
      <w:r w:rsidRPr="00CA2626">
        <w:rPr>
          <w:rFonts w:ascii="Arial" w:hAnsi="Arial" w:cs="Arial"/>
        </w:rPr>
        <w:t>crucial—staff</w:t>
      </w:r>
      <w:proofErr w:type="gramEnd"/>
      <w:r w:rsidRPr="00CA2626">
        <w:rPr>
          <w:rFonts w:ascii="Arial" w:hAnsi="Arial" w:cs="Arial"/>
        </w:rPr>
        <w:t xml:space="preserve"> should be aware of her cultural background and personal values when discussing sensitive matters such as personal care.</w:t>
      </w:r>
      <w:r w:rsidRPr="00CA2626">
        <w:rPr>
          <w:rFonts w:ascii="Arial" w:hAnsi="Arial" w:cs="Arial"/>
        </w:rPr>
        <w:br/>
      </w:r>
      <w:r w:rsidRPr="00CA2626">
        <w:rPr>
          <w:rFonts w:ascii="Arial" w:hAnsi="Arial" w:cs="Arial"/>
        </w:rPr>
        <w:br/>
        <w:t>Regular handovers and clear documentation between the care team, GP, and physiotherapist ensure that messages are consistent. Staff must clarify any uncertainties promptly and follow up on any questions from Mrs. Mann or her family. This structured approach minimizes risks, enhances trust, and promotes person-</w:t>
      </w:r>
      <w:proofErr w:type="spellStart"/>
      <w:r w:rsidRPr="00CA2626">
        <w:rPr>
          <w:rFonts w:ascii="Arial" w:hAnsi="Arial" w:cs="Arial"/>
        </w:rPr>
        <w:t>centred</w:t>
      </w:r>
      <w:proofErr w:type="spellEnd"/>
      <w:r w:rsidRPr="00CA2626">
        <w:rPr>
          <w:rFonts w:ascii="Arial" w:hAnsi="Arial" w:cs="Arial"/>
        </w:rPr>
        <w:t xml:space="preserve"> care. Ultimately, effective communication improves safety, emotional well-being, and satisfaction with care, helping Mrs. Mann regain confidence and independence after surgery.</w:t>
      </w:r>
    </w:p>
    <w:p w14:paraId="39741725" w14:textId="77777777" w:rsidR="00CA2626" w:rsidRDefault="00CA2626" w:rsidP="001A4316">
      <w:pPr>
        <w:spacing w:line="360" w:lineRule="auto"/>
        <w:rPr>
          <w:rFonts w:ascii="Arial" w:hAnsi="Arial" w:cs="Arial"/>
        </w:rPr>
      </w:pPr>
    </w:p>
    <w:p w14:paraId="269D538E" w14:textId="7AFCAE61" w:rsidR="00CA2626" w:rsidRDefault="00CA2626" w:rsidP="001A4316">
      <w:pPr>
        <w:spacing w:line="360" w:lineRule="auto"/>
        <w:rPr>
          <w:rFonts w:ascii="Arial" w:hAnsi="Arial" w:cs="Arial"/>
          <w:b/>
          <w:bCs/>
          <w:u w:val="single"/>
        </w:rPr>
      </w:pPr>
      <w:r w:rsidRPr="00CA2626">
        <w:rPr>
          <w:rFonts w:ascii="Arial" w:hAnsi="Arial" w:cs="Arial"/>
          <w:b/>
          <w:bCs/>
          <w:u w:val="single"/>
        </w:rPr>
        <w:t>Importance of Administrative Skills</w:t>
      </w:r>
    </w:p>
    <w:p w14:paraId="76EDBF36" w14:textId="77777777" w:rsidR="00CA2626" w:rsidRDefault="00CA2626" w:rsidP="001A4316">
      <w:pPr>
        <w:spacing w:line="360" w:lineRule="auto"/>
        <w:rPr>
          <w:rFonts w:ascii="Arial" w:hAnsi="Arial" w:cs="Arial"/>
          <w:b/>
          <w:bCs/>
          <w:u w:val="single"/>
        </w:rPr>
      </w:pPr>
    </w:p>
    <w:p w14:paraId="7A9A3FDC" w14:textId="17260C98" w:rsidR="00CA2626" w:rsidRDefault="00CA2626" w:rsidP="001A4316">
      <w:pPr>
        <w:spacing w:line="360" w:lineRule="auto"/>
        <w:rPr>
          <w:rFonts w:ascii="Arial" w:hAnsi="Arial" w:cs="Arial"/>
          <w:b/>
          <w:bCs/>
          <w:u w:val="single"/>
        </w:rPr>
      </w:pPr>
      <w:r w:rsidRPr="00A55BBC">
        <w:rPr>
          <w:rFonts w:ascii="Arial" w:hAnsi="Arial" w:cs="Arial"/>
        </w:rPr>
        <w:t xml:space="preserve">Good administrative skills are crucial in professional practice, particularly for maintaining accurate records of Mrs. Mann’s care. Proper documentation ensures continuity, reduces the risk of errors, and supports accountability. Clear records allow any professional involved in </w:t>
      </w:r>
      <w:r w:rsidRPr="00A55BBC">
        <w:rPr>
          <w:rFonts w:ascii="Arial" w:hAnsi="Arial" w:cs="Arial"/>
        </w:rPr>
        <w:lastRenderedPageBreak/>
        <w:t>her care to understand her current needs, medications, and progress in rehabilitation. Effective administration also ensures that care plans are regularly reviewed and updated to reflect her changing mobility and support requirements.</w:t>
      </w:r>
      <w:r w:rsidRPr="00A55BBC">
        <w:rPr>
          <w:rFonts w:ascii="Arial" w:hAnsi="Arial" w:cs="Arial"/>
        </w:rPr>
        <w:br/>
      </w:r>
      <w:r w:rsidRPr="00A55BBC">
        <w:rPr>
          <w:rFonts w:ascii="Arial" w:hAnsi="Arial" w:cs="Arial"/>
        </w:rPr>
        <w:br/>
        <w:t xml:space="preserve">The Data Protection Act 2018 governs how personal data is collected, stored, and shared. Care workers must ensure that Mrs. Mann’s information is confidential and only accessible to </w:t>
      </w:r>
      <w:proofErr w:type="spellStart"/>
      <w:r w:rsidRPr="00A55BBC">
        <w:rPr>
          <w:rFonts w:ascii="Arial" w:hAnsi="Arial" w:cs="Arial"/>
        </w:rPr>
        <w:t>authorised</w:t>
      </w:r>
      <w:proofErr w:type="spellEnd"/>
      <w:r w:rsidRPr="00A55BBC">
        <w:rPr>
          <w:rFonts w:ascii="Arial" w:hAnsi="Arial" w:cs="Arial"/>
        </w:rPr>
        <w:t xml:space="preserve"> staff. Documents should be securely stored, and digital records must be protected with passwords and encryption where necessary. Breaches of confidentiality can lead to harm, loss of trust, and legal consequences. Adhering to the General Data Protection Regulation (GDPR) </w:t>
      </w:r>
      <w:proofErr w:type="gramStart"/>
      <w:r w:rsidRPr="00A55BBC">
        <w:rPr>
          <w:rFonts w:ascii="Arial" w:hAnsi="Arial" w:cs="Arial"/>
        </w:rPr>
        <w:t>principles</w:t>
      </w:r>
      <w:proofErr w:type="gramEnd"/>
      <w:r w:rsidRPr="00A55BBC">
        <w:rPr>
          <w:rFonts w:ascii="Arial" w:hAnsi="Arial" w:cs="Arial"/>
        </w:rPr>
        <w:t xml:space="preserve"> also promotes transparency and gives service users the right to access their records, ensuring openness and empowerment.</w:t>
      </w:r>
      <w:r w:rsidRPr="00A55BBC">
        <w:rPr>
          <w:rFonts w:ascii="Arial" w:hAnsi="Arial" w:cs="Arial"/>
        </w:rPr>
        <w:br/>
      </w:r>
      <w:r w:rsidRPr="00A55BBC">
        <w:rPr>
          <w:rFonts w:ascii="Arial" w:hAnsi="Arial" w:cs="Arial"/>
        </w:rPr>
        <w:br/>
        <w:t xml:space="preserve">Accurate record keeping includes </w:t>
      </w:r>
      <w:proofErr w:type="gramStart"/>
      <w:r w:rsidRPr="00A55BBC">
        <w:rPr>
          <w:rFonts w:ascii="Arial" w:hAnsi="Arial" w:cs="Arial"/>
        </w:rPr>
        <w:t>noting</w:t>
      </w:r>
      <w:proofErr w:type="gramEnd"/>
      <w:r w:rsidRPr="00A55BBC">
        <w:rPr>
          <w:rFonts w:ascii="Arial" w:hAnsi="Arial" w:cs="Arial"/>
        </w:rPr>
        <w:t xml:space="preserve"> changes in her condition, medication administration, and responses to interventions. Care workers must follow policies and procedures for documentation, using clear, legible language and avoiding abbreviations that may be misunderstood. Consistency in recording ensures that all professionals have the same information, which is vital for safe decision-making.</w:t>
      </w:r>
      <w:r w:rsidRPr="00A55BBC">
        <w:rPr>
          <w:rFonts w:ascii="Arial" w:hAnsi="Arial" w:cs="Arial"/>
        </w:rPr>
        <w:br/>
      </w:r>
      <w:r w:rsidRPr="00A55BBC">
        <w:rPr>
          <w:rFonts w:ascii="Arial" w:hAnsi="Arial" w:cs="Arial"/>
        </w:rPr>
        <w:br/>
        <w:t xml:space="preserve">Administrative skills also include scheduling appointments, coordinating with the physiotherapist, GP, and other team members, and updating care plans regularly. Good </w:t>
      </w:r>
      <w:proofErr w:type="spellStart"/>
      <w:r w:rsidRPr="00A55BBC">
        <w:rPr>
          <w:rFonts w:ascii="Arial" w:hAnsi="Arial" w:cs="Arial"/>
        </w:rPr>
        <w:t>organisational</w:t>
      </w:r>
      <w:proofErr w:type="spellEnd"/>
      <w:r w:rsidRPr="00A55BBC">
        <w:rPr>
          <w:rFonts w:ascii="Arial" w:hAnsi="Arial" w:cs="Arial"/>
        </w:rPr>
        <w:t xml:space="preserve"> skills help prevent missed medications, delayed interventions, or duplication of efforts. Regular audits of records can identify gaps and improve practice. Effective administrative management aligns with the Care Quality Commission (CQC) standards for safe and effective care, which require that all records are accurate, complete, and up to date.</w:t>
      </w:r>
      <w:r w:rsidRPr="00A55BBC">
        <w:rPr>
          <w:rFonts w:ascii="Arial" w:hAnsi="Arial" w:cs="Arial"/>
        </w:rPr>
        <w:br/>
      </w:r>
      <w:r w:rsidRPr="00A55BBC">
        <w:rPr>
          <w:rFonts w:ascii="Arial" w:hAnsi="Arial" w:cs="Arial"/>
        </w:rPr>
        <w:br/>
        <w:t>Applying legislation and policy frameworks promotes professionalism. For example, NICE guidelines (2019) recommend accurate, timely documentation in care settings. Staff training in record keeping, data protection, and confidentiality reinforces the importance of administrative responsibilities in safeguarding patients and maintaining high-quality care standards.</w:t>
      </w:r>
      <w:r w:rsidRPr="00A55BBC">
        <w:rPr>
          <w:rFonts w:ascii="Arial" w:hAnsi="Arial" w:cs="Arial"/>
        </w:rPr>
        <w:br/>
      </w:r>
      <w:r w:rsidRPr="00A55BBC">
        <w:rPr>
          <w:rFonts w:ascii="Arial" w:hAnsi="Arial" w:cs="Arial"/>
        </w:rPr>
        <w:br/>
        <w:t xml:space="preserve">Furthermore, administrative competence supports reflective practice, as described by Gibbs’ Reflective Cycle (1988). By reflecting on documentation and communication processes, staff can identify what went well and what could be improved, thereby enhancing future service delivery. Good administration is not merely bureaucratic—it is a cornerstone of professional </w:t>
      </w:r>
      <w:r w:rsidRPr="00A55BBC">
        <w:rPr>
          <w:rFonts w:ascii="Arial" w:hAnsi="Arial" w:cs="Arial"/>
        </w:rPr>
        <w:lastRenderedPageBreak/>
        <w:t>care that underpins trust, safety, and ethical practice.</w:t>
      </w:r>
      <w:r w:rsidRPr="00A55BBC">
        <w:rPr>
          <w:rFonts w:ascii="Arial" w:hAnsi="Arial" w:cs="Arial"/>
        </w:rPr>
        <w:br/>
      </w:r>
    </w:p>
    <w:p w14:paraId="13E6AA80" w14:textId="1CCB244E" w:rsidR="00CA2626" w:rsidRDefault="00CA2626" w:rsidP="001A4316">
      <w:pPr>
        <w:spacing w:line="360" w:lineRule="auto"/>
        <w:rPr>
          <w:rFonts w:ascii="Arial" w:hAnsi="Arial" w:cs="Arial"/>
          <w:b/>
          <w:bCs/>
          <w:u w:val="single"/>
        </w:rPr>
      </w:pPr>
      <w:r>
        <w:rPr>
          <w:rFonts w:ascii="Arial" w:hAnsi="Arial" w:cs="Arial"/>
          <w:b/>
          <w:bCs/>
          <w:u w:val="single"/>
        </w:rPr>
        <w:t xml:space="preserve">Multi-Agency </w:t>
      </w:r>
      <w:r w:rsidR="001A4316">
        <w:rPr>
          <w:rFonts w:ascii="Arial" w:hAnsi="Arial" w:cs="Arial"/>
          <w:b/>
          <w:bCs/>
          <w:u w:val="single"/>
        </w:rPr>
        <w:t>Collaboration</w:t>
      </w:r>
    </w:p>
    <w:p w14:paraId="2EF5E433" w14:textId="77777777" w:rsidR="001A4316" w:rsidRPr="00A55BBC" w:rsidRDefault="001A4316" w:rsidP="001A4316">
      <w:pPr>
        <w:spacing w:line="360" w:lineRule="auto"/>
        <w:rPr>
          <w:rFonts w:ascii="Arial" w:hAnsi="Arial" w:cs="Arial"/>
        </w:rPr>
      </w:pPr>
      <w:r w:rsidRPr="00A55BBC">
        <w:rPr>
          <w:rFonts w:ascii="Arial" w:hAnsi="Arial" w:cs="Arial"/>
        </w:rPr>
        <w:t>Working collaboratively with other professionals ensures that Mrs. Mann receives coordinated and effective care. Her GP, physiotherapist, occupational therapist, and care workers must communicate and share relevant information while respecting confidentiality. Collaboration prevents gaps in care, reduces errors, and supports her rehabilitation.</w:t>
      </w:r>
      <w:r w:rsidRPr="00A55BBC">
        <w:rPr>
          <w:rFonts w:ascii="Arial" w:hAnsi="Arial" w:cs="Arial"/>
        </w:rPr>
        <w:br/>
      </w:r>
      <w:r w:rsidRPr="00A55BBC">
        <w:rPr>
          <w:rFonts w:ascii="Arial" w:hAnsi="Arial" w:cs="Arial"/>
        </w:rPr>
        <w:br/>
        <w:t xml:space="preserve">Effective approaches include regular team meetings, clear care plans, and structured handovers. Each professional brings expertise, and sharing this knowledge supports better decision-making. For example, the physiotherapist can update care workers on exercises, while the GP can advise on medication adjustments. The Health and Social Care Act 2012 </w:t>
      </w:r>
      <w:proofErr w:type="gramStart"/>
      <w:r w:rsidRPr="00A55BBC">
        <w:rPr>
          <w:rFonts w:ascii="Arial" w:hAnsi="Arial" w:cs="Arial"/>
        </w:rPr>
        <w:t>promotes</w:t>
      </w:r>
      <w:proofErr w:type="gramEnd"/>
      <w:r w:rsidRPr="00A55BBC">
        <w:rPr>
          <w:rFonts w:ascii="Arial" w:hAnsi="Arial" w:cs="Arial"/>
        </w:rPr>
        <w:t xml:space="preserve"> integrated care and encourages collaboration across sectors to improve outcomes and reduce health inequalities.</w:t>
      </w:r>
      <w:r w:rsidRPr="00A55BBC">
        <w:rPr>
          <w:rFonts w:ascii="Arial" w:hAnsi="Arial" w:cs="Arial"/>
        </w:rPr>
        <w:br/>
      </w:r>
      <w:r w:rsidRPr="00A55BBC">
        <w:rPr>
          <w:rFonts w:ascii="Arial" w:hAnsi="Arial" w:cs="Arial"/>
        </w:rPr>
        <w:br/>
        <w:t>Challenges in multi-agency work include miscommunication, differing priorities, and delayed responses. Strategies to overcome these challenges include using standardized communication tools such as SBAR (Situation, Background, Assessment, Recommendation), clarifying responsibilities, and establishing a single point of contact for queries. Encouraging mutual respect, understanding professional roles, and fostering a culture of teamwork improve collaboration.</w:t>
      </w:r>
      <w:r w:rsidRPr="00A55BBC">
        <w:rPr>
          <w:rFonts w:ascii="Arial" w:hAnsi="Arial" w:cs="Arial"/>
        </w:rPr>
        <w:br/>
      </w:r>
      <w:r w:rsidRPr="00A55BBC">
        <w:rPr>
          <w:rFonts w:ascii="Arial" w:hAnsi="Arial" w:cs="Arial"/>
        </w:rPr>
        <w:br/>
        <w:t>Joint goal setting, where the care team and Mrs. Mann agree on rehabilitation objectives, enhances engagement and ensures that all interventions are aligned. Using technology, such as shared digital records or messaging systems, helps maintain timely communication and ensures everyone is informed about changes in her condition. The Care Act 2014 also supports multi-agency working by emphasizing the importance of collaboration to meet individual needs holistically.</w:t>
      </w:r>
      <w:r w:rsidRPr="00A55BBC">
        <w:rPr>
          <w:rFonts w:ascii="Arial" w:hAnsi="Arial" w:cs="Arial"/>
        </w:rPr>
        <w:br/>
      </w:r>
      <w:r w:rsidRPr="00A55BBC">
        <w:rPr>
          <w:rFonts w:ascii="Arial" w:hAnsi="Arial" w:cs="Arial"/>
        </w:rPr>
        <w:br/>
        <w:t>In addition, the Marmot Review (2020) highlights how coordinated, equitable care contributes to health equality, particularly for vulnerable groups such as older adults with language barriers. By working together, professionals can ensure Mrs. Mann’s care addresses not just her physical recovery but also her emotional and social well-being, enabling her to live independently and with dignity.</w:t>
      </w:r>
      <w:r w:rsidRPr="00A55BBC">
        <w:rPr>
          <w:rFonts w:ascii="Arial" w:hAnsi="Arial" w:cs="Arial"/>
        </w:rPr>
        <w:br/>
      </w:r>
    </w:p>
    <w:p w14:paraId="03DB6C15" w14:textId="79589363" w:rsidR="001A4316" w:rsidRDefault="001A4316" w:rsidP="001A4316">
      <w:pPr>
        <w:spacing w:line="360" w:lineRule="auto"/>
        <w:rPr>
          <w:rFonts w:ascii="Arial" w:hAnsi="Arial" w:cs="Arial"/>
          <w:b/>
          <w:bCs/>
          <w:u w:val="single"/>
        </w:rPr>
      </w:pPr>
      <w:r w:rsidRPr="001A4316">
        <w:rPr>
          <w:rFonts w:ascii="Arial" w:hAnsi="Arial" w:cs="Arial"/>
          <w:b/>
          <w:bCs/>
          <w:u w:val="single"/>
        </w:rPr>
        <w:lastRenderedPageBreak/>
        <w:t>Conclusion</w:t>
      </w:r>
    </w:p>
    <w:p w14:paraId="6EE0E289" w14:textId="77777777" w:rsidR="001A4316" w:rsidRDefault="001A4316" w:rsidP="001A4316">
      <w:pPr>
        <w:spacing w:line="360" w:lineRule="auto"/>
        <w:rPr>
          <w:rFonts w:ascii="Arial" w:hAnsi="Arial" w:cs="Arial"/>
          <w:b/>
          <w:bCs/>
          <w:u w:val="single"/>
        </w:rPr>
      </w:pPr>
    </w:p>
    <w:p w14:paraId="7542B1DA" w14:textId="77777777" w:rsidR="001A4316" w:rsidRPr="00A55BBC" w:rsidRDefault="001A4316" w:rsidP="001A4316">
      <w:pPr>
        <w:spacing w:line="360" w:lineRule="auto"/>
        <w:rPr>
          <w:rFonts w:ascii="Arial" w:hAnsi="Arial" w:cs="Arial"/>
        </w:rPr>
      </w:pPr>
      <w:r w:rsidRPr="00A55BBC">
        <w:rPr>
          <w:rFonts w:ascii="Arial" w:hAnsi="Arial" w:cs="Arial"/>
        </w:rPr>
        <w:t>In conclusion, the care of Mrs. Mann highlights the importance of effective communication, good administrative skills, and collaborative work. Clear communication, supported by models like Berlo’s SMCR, ensures that she and her family understand her care and can participate in decisions. Accurate record keeping, guided by the Data Protection Act 2018, safeguards her information and supports professional accountability. Collaborative practice among her GP, physiotherapist, and care workers ensures coordinated, safe, and person-centered care.</w:t>
      </w:r>
      <w:r w:rsidRPr="00A55BBC">
        <w:rPr>
          <w:rFonts w:ascii="Arial" w:hAnsi="Arial" w:cs="Arial"/>
        </w:rPr>
        <w:br/>
      </w:r>
      <w:r w:rsidRPr="00A55BBC">
        <w:rPr>
          <w:rFonts w:ascii="Arial" w:hAnsi="Arial" w:cs="Arial"/>
        </w:rPr>
        <w:br/>
        <w:t>By applying relevant legislation, following professional guidelines, and using structured communication and administrative strategies, the care team can provide high-quality support that meets Mrs. Mann’s needs. Ongoing professional development, reflective practice, and inter-agency cooperation are crucial for maintaining standards and improving outcomes. Maintaining these practices is essential for her safety, rehabilitation, and overall well-being, ultimately ensuring that she receives compassionate, inclusive, and effective care.</w:t>
      </w:r>
      <w:r w:rsidRPr="00A55BBC">
        <w:rPr>
          <w:rFonts w:ascii="Arial" w:hAnsi="Arial" w:cs="Arial"/>
        </w:rPr>
        <w:br/>
      </w:r>
    </w:p>
    <w:p w14:paraId="23DE3EE5" w14:textId="15EDA52F" w:rsidR="001A4316" w:rsidRDefault="001A4316" w:rsidP="001A4316">
      <w:pPr>
        <w:spacing w:line="360" w:lineRule="auto"/>
        <w:rPr>
          <w:rFonts w:ascii="Arial" w:hAnsi="Arial" w:cs="Arial"/>
          <w:b/>
          <w:bCs/>
          <w:u w:val="single"/>
        </w:rPr>
      </w:pPr>
    </w:p>
    <w:p w14:paraId="58E6B612" w14:textId="77777777" w:rsidR="001A4316" w:rsidRDefault="001A4316" w:rsidP="001A4316">
      <w:pPr>
        <w:spacing w:after="160" w:line="360" w:lineRule="auto"/>
        <w:rPr>
          <w:rFonts w:ascii="Arial" w:hAnsi="Arial" w:cs="Arial"/>
          <w:b/>
          <w:bCs/>
          <w:u w:val="single"/>
        </w:rPr>
      </w:pPr>
      <w:r>
        <w:rPr>
          <w:rFonts w:ascii="Arial" w:hAnsi="Arial" w:cs="Arial"/>
          <w:b/>
          <w:bCs/>
          <w:u w:val="single"/>
        </w:rPr>
        <w:br w:type="page"/>
      </w:r>
    </w:p>
    <w:p w14:paraId="01402C3C" w14:textId="482ED5C0" w:rsidR="001A4316" w:rsidRDefault="001A4316" w:rsidP="001A4316">
      <w:pPr>
        <w:spacing w:line="360" w:lineRule="auto"/>
        <w:rPr>
          <w:rFonts w:ascii="Arial" w:hAnsi="Arial" w:cs="Arial"/>
          <w:b/>
          <w:bCs/>
          <w:u w:val="single"/>
        </w:rPr>
      </w:pPr>
      <w:r>
        <w:rPr>
          <w:rFonts w:ascii="Arial" w:hAnsi="Arial" w:cs="Arial"/>
          <w:b/>
          <w:bCs/>
          <w:u w:val="single"/>
        </w:rPr>
        <w:lastRenderedPageBreak/>
        <w:t>Reference</w:t>
      </w:r>
    </w:p>
    <w:p w14:paraId="47CB151F" w14:textId="77777777" w:rsidR="001A4316" w:rsidRPr="00A55BBC" w:rsidRDefault="001A4316" w:rsidP="001A4316">
      <w:pPr>
        <w:pStyle w:val="ListNumber"/>
        <w:tabs>
          <w:tab w:val="num" w:pos="360"/>
        </w:tabs>
        <w:spacing w:line="360" w:lineRule="auto"/>
        <w:ind w:left="360" w:hanging="360"/>
        <w:rPr>
          <w:rFonts w:ascii="Arial" w:hAnsi="Arial" w:cs="Arial"/>
        </w:rPr>
      </w:pPr>
      <w:r w:rsidRPr="00A55BBC">
        <w:rPr>
          <w:rFonts w:ascii="Arial" w:hAnsi="Arial" w:cs="Arial"/>
        </w:rPr>
        <w:t>Department of Health and Social Care. (2018) Data Protection Act 2018. London: HMSO.</w:t>
      </w:r>
    </w:p>
    <w:p w14:paraId="54F60F17" w14:textId="77777777" w:rsidR="001A4316" w:rsidRPr="00A55BBC" w:rsidRDefault="001A4316" w:rsidP="001A4316">
      <w:pPr>
        <w:pStyle w:val="ListNumber"/>
        <w:tabs>
          <w:tab w:val="num" w:pos="360"/>
        </w:tabs>
        <w:spacing w:line="360" w:lineRule="auto"/>
        <w:ind w:left="360" w:hanging="360"/>
        <w:rPr>
          <w:rFonts w:ascii="Arial" w:hAnsi="Arial" w:cs="Arial"/>
        </w:rPr>
      </w:pPr>
      <w:r w:rsidRPr="00A55BBC">
        <w:rPr>
          <w:rFonts w:ascii="Arial" w:hAnsi="Arial" w:cs="Arial"/>
        </w:rPr>
        <w:t>Equality Act 2010, c.15. London: HMSO.</w:t>
      </w:r>
    </w:p>
    <w:p w14:paraId="7EADD478" w14:textId="77777777" w:rsidR="001A4316" w:rsidRPr="00A55BBC" w:rsidRDefault="001A4316" w:rsidP="001A4316">
      <w:pPr>
        <w:pStyle w:val="ListNumber"/>
        <w:tabs>
          <w:tab w:val="num" w:pos="360"/>
        </w:tabs>
        <w:spacing w:line="360" w:lineRule="auto"/>
        <w:ind w:left="360" w:hanging="360"/>
        <w:rPr>
          <w:rFonts w:ascii="Arial" w:hAnsi="Arial" w:cs="Arial"/>
        </w:rPr>
      </w:pPr>
      <w:r w:rsidRPr="00A55BBC">
        <w:rPr>
          <w:rFonts w:ascii="Arial" w:hAnsi="Arial" w:cs="Arial"/>
        </w:rPr>
        <w:t>NHS England. (2023) Adult social care guidance. Available at: https://www.england.nhs.uk/adult-social-care/ (Accessed: 11 November 2025).</w:t>
      </w:r>
    </w:p>
    <w:p w14:paraId="6DBD0E1B" w14:textId="77777777" w:rsidR="001A4316" w:rsidRPr="00A55BBC" w:rsidRDefault="001A4316" w:rsidP="001A4316">
      <w:pPr>
        <w:pStyle w:val="ListNumber"/>
        <w:tabs>
          <w:tab w:val="num" w:pos="360"/>
        </w:tabs>
        <w:spacing w:line="360" w:lineRule="auto"/>
        <w:ind w:left="360" w:hanging="360"/>
        <w:rPr>
          <w:rFonts w:ascii="Arial" w:hAnsi="Arial" w:cs="Arial"/>
        </w:rPr>
      </w:pPr>
      <w:r w:rsidRPr="00A55BBC">
        <w:rPr>
          <w:rFonts w:ascii="Arial" w:hAnsi="Arial" w:cs="Arial"/>
        </w:rPr>
        <w:t>Berlo, D. K. (1960) The Process of Communication. New York: Holt, Rinehart &amp; Winston.</w:t>
      </w:r>
    </w:p>
    <w:p w14:paraId="08D30E3C" w14:textId="77777777" w:rsidR="001A4316" w:rsidRPr="00A55BBC" w:rsidRDefault="001A4316" w:rsidP="001A4316">
      <w:pPr>
        <w:pStyle w:val="ListNumber"/>
        <w:tabs>
          <w:tab w:val="num" w:pos="360"/>
        </w:tabs>
        <w:spacing w:line="360" w:lineRule="auto"/>
        <w:ind w:left="360" w:hanging="360"/>
        <w:rPr>
          <w:rFonts w:ascii="Arial" w:hAnsi="Arial" w:cs="Arial"/>
        </w:rPr>
      </w:pPr>
      <w:r w:rsidRPr="00A55BBC">
        <w:rPr>
          <w:rFonts w:ascii="Arial" w:hAnsi="Arial" w:cs="Arial"/>
        </w:rPr>
        <w:t>National Institute for Health and Care Excellence (NICE). (2019) Guidelines for record keeping and documentation. Available at: https://www.nice.org.uk/ (Accessed: 11 November 2025).</w:t>
      </w:r>
    </w:p>
    <w:p w14:paraId="23D5C0FB" w14:textId="77777777" w:rsidR="001A4316" w:rsidRPr="00A55BBC" w:rsidRDefault="001A4316" w:rsidP="001A4316">
      <w:pPr>
        <w:pStyle w:val="ListNumber"/>
        <w:tabs>
          <w:tab w:val="num" w:pos="360"/>
        </w:tabs>
        <w:spacing w:line="360" w:lineRule="auto"/>
        <w:ind w:left="360" w:hanging="360"/>
        <w:rPr>
          <w:rFonts w:ascii="Arial" w:hAnsi="Arial" w:cs="Arial"/>
        </w:rPr>
      </w:pPr>
      <w:r w:rsidRPr="00A55BBC">
        <w:rPr>
          <w:rFonts w:ascii="Arial" w:hAnsi="Arial" w:cs="Arial"/>
        </w:rPr>
        <w:t>Marmot, M. (2020) Health equity in England: the Marmot review. London: Institute of Health Equity.</w:t>
      </w:r>
    </w:p>
    <w:p w14:paraId="5A5924F7" w14:textId="77777777" w:rsidR="001A4316" w:rsidRPr="00A55BBC" w:rsidRDefault="001A4316" w:rsidP="001A4316">
      <w:pPr>
        <w:pStyle w:val="ListNumber"/>
        <w:tabs>
          <w:tab w:val="num" w:pos="360"/>
        </w:tabs>
        <w:spacing w:line="360" w:lineRule="auto"/>
        <w:ind w:left="360" w:hanging="360"/>
        <w:rPr>
          <w:rFonts w:ascii="Arial" w:hAnsi="Arial" w:cs="Arial"/>
        </w:rPr>
      </w:pPr>
      <w:r w:rsidRPr="00A55BBC">
        <w:rPr>
          <w:rFonts w:ascii="Arial" w:hAnsi="Arial" w:cs="Arial"/>
        </w:rPr>
        <w:t>NHS England. (2016) Accessible Information Standard. London: NHS England.</w:t>
      </w:r>
    </w:p>
    <w:p w14:paraId="28EBF205" w14:textId="77777777" w:rsidR="001A4316" w:rsidRPr="00A55BBC" w:rsidRDefault="001A4316" w:rsidP="001A4316">
      <w:pPr>
        <w:pStyle w:val="ListNumber"/>
        <w:tabs>
          <w:tab w:val="num" w:pos="360"/>
        </w:tabs>
        <w:spacing w:line="360" w:lineRule="auto"/>
        <w:ind w:left="360" w:hanging="360"/>
        <w:rPr>
          <w:rFonts w:ascii="Arial" w:hAnsi="Arial" w:cs="Arial"/>
        </w:rPr>
      </w:pPr>
      <w:r w:rsidRPr="00A55BBC">
        <w:rPr>
          <w:rFonts w:ascii="Arial" w:hAnsi="Arial" w:cs="Arial"/>
        </w:rPr>
        <w:t>Care Quality Commission. (2022) Regulations for Safe and Effective Care. London: CQC.</w:t>
      </w:r>
    </w:p>
    <w:p w14:paraId="7EB07EEE" w14:textId="77777777" w:rsidR="001A4316" w:rsidRPr="00A55BBC" w:rsidRDefault="001A4316" w:rsidP="001A4316">
      <w:pPr>
        <w:pStyle w:val="ListNumber"/>
        <w:tabs>
          <w:tab w:val="num" w:pos="360"/>
        </w:tabs>
        <w:spacing w:line="360" w:lineRule="auto"/>
        <w:ind w:left="360" w:hanging="360"/>
        <w:rPr>
          <w:rFonts w:ascii="Arial" w:hAnsi="Arial" w:cs="Arial"/>
        </w:rPr>
      </w:pPr>
      <w:r w:rsidRPr="00A55BBC">
        <w:rPr>
          <w:rFonts w:ascii="Arial" w:hAnsi="Arial" w:cs="Arial"/>
        </w:rPr>
        <w:t>Health and Social Care Act 2012. London: HMSO.</w:t>
      </w:r>
    </w:p>
    <w:p w14:paraId="54027DDA" w14:textId="77777777" w:rsidR="001A4316" w:rsidRPr="00A55BBC" w:rsidRDefault="001A4316" w:rsidP="001A4316">
      <w:pPr>
        <w:pStyle w:val="ListNumber"/>
        <w:tabs>
          <w:tab w:val="num" w:pos="360"/>
        </w:tabs>
        <w:spacing w:line="360" w:lineRule="auto"/>
        <w:ind w:left="360" w:hanging="360"/>
        <w:rPr>
          <w:rFonts w:ascii="Arial" w:hAnsi="Arial" w:cs="Arial"/>
        </w:rPr>
      </w:pPr>
      <w:r w:rsidRPr="00A55BBC">
        <w:rPr>
          <w:rFonts w:ascii="Arial" w:hAnsi="Arial" w:cs="Arial"/>
        </w:rPr>
        <w:t>Care Act 2014. London: HMSO.</w:t>
      </w:r>
    </w:p>
    <w:p w14:paraId="7EA2E4BD" w14:textId="77777777" w:rsidR="001A4316" w:rsidRDefault="001A4316" w:rsidP="001A4316">
      <w:pPr>
        <w:spacing w:line="360" w:lineRule="auto"/>
      </w:pPr>
    </w:p>
    <w:p w14:paraId="7188F013" w14:textId="77777777" w:rsidR="001A4316" w:rsidRPr="001A4316" w:rsidRDefault="001A4316" w:rsidP="001A4316">
      <w:pPr>
        <w:spacing w:line="360" w:lineRule="auto"/>
        <w:rPr>
          <w:rFonts w:ascii="Arial" w:hAnsi="Arial" w:cs="Arial"/>
          <w:b/>
          <w:bCs/>
          <w:u w:val="single"/>
        </w:rPr>
      </w:pPr>
    </w:p>
    <w:sectPr w:rsidR="001A4316" w:rsidRPr="001A43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0574AC44"/>
    <w:lvl w:ilvl="0">
      <w:start w:val="1"/>
      <w:numFmt w:val="decimal"/>
      <w:pStyle w:val="ListNumber"/>
      <w:lvlText w:val="%1."/>
      <w:lvlJc w:val="left"/>
      <w:pPr>
        <w:tabs>
          <w:tab w:val="num" w:pos="360"/>
        </w:tabs>
        <w:ind w:left="360" w:hanging="360"/>
      </w:pPr>
    </w:lvl>
  </w:abstractNum>
  <w:num w:numId="1" w16cid:durableId="373167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626"/>
    <w:rsid w:val="000B13E4"/>
    <w:rsid w:val="001036E4"/>
    <w:rsid w:val="001A4316"/>
    <w:rsid w:val="003E3491"/>
    <w:rsid w:val="00847EB8"/>
    <w:rsid w:val="008D47E8"/>
    <w:rsid w:val="00CA2626"/>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9BB68"/>
  <w15:chartTrackingRefBased/>
  <w15:docId w15:val="{9408909E-1682-4F60-89E7-639A95F18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626"/>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CA26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26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26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26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26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26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26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26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26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6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26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26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26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26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26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26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26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2626"/>
    <w:rPr>
      <w:rFonts w:eastAsiaTheme="majorEastAsia" w:cstheme="majorBidi"/>
      <w:color w:val="272727" w:themeColor="text1" w:themeTint="D8"/>
    </w:rPr>
  </w:style>
  <w:style w:type="paragraph" w:styleId="Title">
    <w:name w:val="Title"/>
    <w:basedOn w:val="Normal"/>
    <w:next w:val="Normal"/>
    <w:link w:val="TitleChar"/>
    <w:uiPriority w:val="10"/>
    <w:qFormat/>
    <w:rsid w:val="00CA26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6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26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26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2626"/>
    <w:pPr>
      <w:spacing w:before="160"/>
      <w:jc w:val="center"/>
    </w:pPr>
    <w:rPr>
      <w:i/>
      <w:iCs/>
      <w:color w:val="404040" w:themeColor="text1" w:themeTint="BF"/>
    </w:rPr>
  </w:style>
  <w:style w:type="character" w:customStyle="1" w:styleId="QuoteChar">
    <w:name w:val="Quote Char"/>
    <w:basedOn w:val="DefaultParagraphFont"/>
    <w:link w:val="Quote"/>
    <w:uiPriority w:val="29"/>
    <w:rsid w:val="00CA2626"/>
    <w:rPr>
      <w:i/>
      <w:iCs/>
      <w:color w:val="404040" w:themeColor="text1" w:themeTint="BF"/>
    </w:rPr>
  </w:style>
  <w:style w:type="paragraph" w:styleId="ListParagraph">
    <w:name w:val="List Paragraph"/>
    <w:basedOn w:val="Normal"/>
    <w:uiPriority w:val="34"/>
    <w:qFormat/>
    <w:rsid w:val="00CA2626"/>
    <w:pPr>
      <w:ind w:left="720"/>
      <w:contextualSpacing/>
    </w:pPr>
  </w:style>
  <w:style w:type="character" w:styleId="IntenseEmphasis">
    <w:name w:val="Intense Emphasis"/>
    <w:basedOn w:val="DefaultParagraphFont"/>
    <w:uiPriority w:val="21"/>
    <w:qFormat/>
    <w:rsid w:val="00CA2626"/>
    <w:rPr>
      <w:i/>
      <w:iCs/>
      <w:color w:val="0F4761" w:themeColor="accent1" w:themeShade="BF"/>
    </w:rPr>
  </w:style>
  <w:style w:type="paragraph" w:styleId="IntenseQuote">
    <w:name w:val="Intense Quote"/>
    <w:basedOn w:val="Normal"/>
    <w:next w:val="Normal"/>
    <w:link w:val="IntenseQuoteChar"/>
    <w:uiPriority w:val="30"/>
    <w:qFormat/>
    <w:rsid w:val="00CA26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2626"/>
    <w:rPr>
      <w:i/>
      <w:iCs/>
      <w:color w:val="0F4761" w:themeColor="accent1" w:themeShade="BF"/>
    </w:rPr>
  </w:style>
  <w:style w:type="character" w:styleId="IntenseReference">
    <w:name w:val="Intense Reference"/>
    <w:basedOn w:val="DefaultParagraphFont"/>
    <w:uiPriority w:val="32"/>
    <w:qFormat/>
    <w:rsid w:val="00CA2626"/>
    <w:rPr>
      <w:b/>
      <w:bCs/>
      <w:smallCaps/>
      <w:color w:val="0F4761" w:themeColor="accent1" w:themeShade="BF"/>
      <w:spacing w:val="5"/>
    </w:rPr>
  </w:style>
  <w:style w:type="paragraph" w:styleId="ListNumber">
    <w:name w:val="List Number"/>
    <w:basedOn w:val="Normal"/>
    <w:uiPriority w:val="99"/>
    <w:unhideWhenUsed/>
    <w:rsid w:val="001A4316"/>
    <w:pPr>
      <w:numPr>
        <w:numId w:val="1"/>
      </w:numPr>
      <w:tabs>
        <w:tab w:val="clear" w:pos="360"/>
      </w:tabs>
      <w:ind w:left="0" w:firstLine="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1556</Words>
  <Characters>10028</Characters>
  <Application>Microsoft Office Word</Application>
  <DocSecurity>0</DocSecurity>
  <Lines>182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Fizza Rizwan</dc:creator>
  <cp:keywords/>
  <dc:description/>
  <cp:lastModifiedBy>Fizza Rizwan</cp:lastModifiedBy>
  <cp:revision>2</cp:revision>
  <dcterms:created xsi:type="dcterms:W3CDTF">2025-11-11T23:17:00Z</dcterms:created>
  <dcterms:modified xsi:type="dcterms:W3CDTF">2025-11-11T23:30:00Z</dcterms:modified>
</cp:coreProperties>
</file>