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9CE65" w14:textId="77777777" w:rsidR="0068142C" w:rsidRDefault="0068142C" w:rsidP="00FD662E">
      <w:pPr>
        <w:jc w:val="center"/>
        <w:rPr>
          <w:b/>
          <w:bCs/>
          <w:lang w:val="en-US"/>
        </w:rPr>
      </w:pPr>
    </w:p>
    <w:p w14:paraId="0A0E44A7" w14:textId="77777777" w:rsidR="0068142C" w:rsidRDefault="0068142C" w:rsidP="00FD662E">
      <w:pPr>
        <w:jc w:val="center"/>
        <w:rPr>
          <w:b/>
          <w:bCs/>
          <w:lang w:val="en-US"/>
        </w:rPr>
      </w:pPr>
    </w:p>
    <w:p w14:paraId="396BA2E4" w14:textId="77777777" w:rsidR="0068142C" w:rsidRDefault="0068142C" w:rsidP="00FD662E">
      <w:pPr>
        <w:jc w:val="center"/>
        <w:rPr>
          <w:b/>
          <w:bCs/>
          <w:lang w:val="en-US"/>
        </w:rPr>
      </w:pPr>
    </w:p>
    <w:p w14:paraId="0410F66B" w14:textId="2F4A7994" w:rsidR="0068142C" w:rsidRDefault="0068142C" w:rsidP="00FD662E">
      <w:pPr>
        <w:jc w:val="center"/>
        <w:rPr>
          <w:b/>
          <w:bCs/>
          <w:lang w:val="en-US"/>
        </w:rPr>
      </w:pPr>
    </w:p>
    <w:p w14:paraId="7972D93A" w14:textId="77777777" w:rsidR="0068142C" w:rsidRDefault="0068142C" w:rsidP="00FD662E">
      <w:pPr>
        <w:jc w:val="center"/>
        <w:rPr>
          <w:b/>
          <w:bCs/>
          <w:lang w:val="en-US"/>
        </w:rPr>
      </w:pPr>
    </w:p>
    <w:p w14:paraId="32DA28A2" w14:textId="609A710F" w:rsidR="0068142C" w:rsidRDefault="0068142C" w:rsidP="00B50DB1">
      <w:pPr>
        <w:rPr>
          <w:b/>
          <w:bCs/>
          <w:lang w:val="en-US"/>
        </w:rPr>
      </w:pPr>
    </w:p>
    <w:p w14:paraId="0C27927D" w14:textId="188AA013" w:rsidR="0068142C" w:rsidRDefault="0068142C" w:rsidP="00FD662E">
      <w:pPr>
        <w:jc w:val="center"/>
        <w:rPr>
          <w:b/>
          <w:bCs/>
          <w:lang w:val="en-US"/>
        </w:rPr>
      </w:pPr>
    </w:p>
    <w:p w14:paraId="508CE558" w14:textId="77777777" w:rsidR="0068142C" w:rsidRDefault="0068142C" w:rsidP="00FD662E">
      <w:pPr>
        <w:jc w:val="center"/>
        <w:rPr>
          <w:b/>
          <w:bCs/>
          <w:lang w:val="en-US"/>
        </w:rPr>
      </w:pPr>
    </w:p>
    <w:p w14:paraId="41C5C113" w14:textId="36BA1F5E" w:rsidR="009E696D" w:rsidRDefault="004B30FE" w:rsidP="00FD662E">
      <w:pPr>
        <w:jc w:val="center"/>
        <w:rPr>
          <w:b/>
          <w:bCs/>
          <w:lang w:val="en-US"/>
        </w:rPr>
      </w:pPr>
      <w:r w:rsidRPr="009E696D">
        <w:rPr>
          <w:b/>
          <w:bCs/>
          <w:lang w:val="en-US"/>
        </w:rPr>
        <w:t>Life Course Approach to Health and Wellbeing</w:t>
      </w:r>
    </w:p>
    <w:p w14:paraId="237F44AD" w14:textId="647A57EB" w:rsidR="004B30FE" w:rsidRDefault="004B30FE" w:rsidP="00FD662E">
      <w:pPr>
        <w:jc w:val="center"/>
        <w:rPr>
          <w:b/>
          <w:bCs/>
          <w:lang w:val="en-US"/>
        </w:rPr>
      </w:pPr>
    </w:p>
    <w:p w14:paraId="448BBF9E" w14:textId="77777777" w:rsidR="004B30FE" w:rsidRPr="009E696D" w:rsidRDefault="004B30FE" w:rsidP="00FD662E">
      <w:pPr>
        <w:jc w:val="center"/>
        <w:rPr>
          <w:b/>
          <w:bCs/>
          <w:lang w:val="en-US"/>
        </w:rPr>
      </w:pPr>
    </w:p>
    <w:p w14:paraId="5ABAF1B7" w14:textId="395B8A7E" w:rsidR="009E696D" w:rsidRDefault="009E696D" w:rsidP="00FD662E">
      <w:pPr>
        <w:jc w:val="center"/>
        <w:rPr>
          <w:lang w:val="en-US"/>
        </w:rPr>
      </w:pPr>
      <w:r w:rsidRPr="009E696D">
        <w:rPr>
          <w:b/>
          <w:bCs/>
          <w:lang w:val="en-US"/>
        </w:rPr>
        <w:t>Module:</w:t>
      </w:r>
      <w:r w:rsidRPr="009E696D">
        <w:rPr>
          <w:lang w:val="en-US"/>
        </w:rPr>
        <w:t xml:space="preserve"> BMNS4014 – Living Well: A Life Course Approach to Health and Wellbeing</w:t>
      </w:r>
    </w:p>
    <w:p w14:paraId="07DCD91F" w14:textId="51FFAAAD" w:rsidR="004B30FE" w:rsidRDefault="004B30FE" w:rsidP="00FD662E">
      <w:pPr>
        <w:jc w:val="center"/>
        <w:rPr>
          <w:lang w:val="en-US"/>
        </w:rPr>
      </w:pPr>
    </w:p>
    <w:p w14:paraId="79D52C0C" w14:textId="10513C35" w:rsidR="004B30FE" w:rsidRDefault="004B30FE" w:rsidP="00FD662E">
      <w:pPr>
        <w:jc w:val="center"/>
        <w:rPr>
          <w:lang w:val="en-US"/>
        </w:rPr>
      </w:pPr>
    </w:p>
    <w:p w14:paraId="5C12BFD9" w14:textId="12D266B0" w:rsidR="009E696D" w:rsidRDefault="009E696D" w:rsidP="00FD662E">
      <w:pPr>
        <w:jc w:val="center"/>
        <w:rPr>
          <w:lang w:val="en-US"/>
        </w:rPr>
      </w:pPr>
      <w:r w:rsidRPr="009E696D">
        <w:rPr>
          <w:b/>
          <w:bCs/>
          <w:lang w:val="en-US"/>
        </w:rPr>
        <w:t>Student name:</w:t>
      </w:r>
      <w:r w:rsidRPr="009E696D">
        <w:rPr>
          <w:lang w:val="en-US"/>
        </w:rPr>
        <w:t xml:space="preserve"> </w:t>
      </w:r>
      <w:r w:rsidR="00B50DB1">
        <w:rPr>
          <w:lang w:val="en-US"/>
        </w:rPr>
        <w:t>Ebrima Njie</w:t>
      </w:r>
    </w:p>
    <w:p w14:paraId="551BD7C3" w14:textId="64CEDCB8" w:rsidR="009E696D" w:rsidRDefault="009E696D" w:rsidP="00FD662E">
      <w:pPr>
        <w:jc w:val="center"/>
        <w:rPr>
          <w:lang w:val="en-US"/>
        </w:rPr>
      </w:pPr>
      <w:r w:rsidRPr="009E696D">
        <w:rPr>
          <w:b/>
          <w:bCs/>
          <w:lang w:val="en-US"/>
        </w:rPr>
        <w:t>Student number:</w:t>
      </w:r>
      <w:r w:rsidRPr="009E696D">
        <w:rPr>
          <w:lang w:val="en-US"/>
        </w:rPr>
        <w:t xml:space="preserve"> </w:t>
      </w:r>
      <w:r w:rsidR="00B50DB1">
        <w:rPr>
          <w:lang w:val="en-US"/>
        </w:rPr>
        <w:t>2514125</w:t>
      </w:r>
    </w:p>
    <w:p w14:paraId="766CC5AB" w14:textId="77777777" w:rsidR="009E696D" w:rsidRDefault="009E696D" w:rsidP="00FD662E">
      <w:pPr>
        <w:jc w:val="center"/>
        <w:rPr>
          <w:lang w:val="en-US"/>
        </w:rPr>
      </w:pPr>
      <w:r w:rsidRPr="009E696D">
        <w:rPr>
          <w:b/>
          <w:bCs/>
          <w:lang w:val="en-US"/>
        </w:rPr>
        <w:t>Lecturer:</w:t>
      </w:r>
      <w:r w:rsidRPr="009E696D">
        <w:rPr>
          <w:lang w:val="en-US"/>
        </w:rPr>
        <w:t xml:space="preserve"> Ben Duxbury</w:t>
      </w:r>
    </w:p>
    <w:p w14:paraId="65C2CC70" w14:textId="5A839309" w:rsidR="009E696D" w:rsidRPr="0068142C" w:rsidRDefault="009E696D" w:rsidP="0068142C">
      <w:pPr>
        <w:rPr>
          <w:b/>
        </w:rPr>
      </w:pPr>
      <w:r>
        <w:br w:type="column"/>
      </w:r>
      <w:r w:rsidRPr="0068142C">
        <w:rPr>
          <w:b/>
        </w:rPr>
        <w:lastRenderedPageBreak/>
        <w:t>Abstract</w:t>
      </w:r>
    </w:p>
    <w:p w14:paraId="7D29C784" w14:textId="38C4119C" w:rsidR="009E696D" w:rsidRDefault="00762E68" w:rsidP="009E696D">
      <w:pPr>
        <w:rPr>
          <w:lang w:val="en-US"/>
        </w:rPr>
      </w:pPr>
      <w:r>
        <w:rPr>
          <w:lang w:val="en-US"/>
        </w:rPr>
        <w:tab/>
      </w:r>
      <w:r w:rsidR="0068142C" w:rsidRPr="0068142C">
        <w:rPr>
          <w:lang w:val="en-US"/>
        </w:rPr>
        <w:t>In this report, a life course approach is applied to critically examine the determinants of health and wellbeing relative to social, economic and environmental determinants across the generations. Health is understood to be a process of exposures, shifts, and accruals, where the protective pathways such as supportive families, education, secure income and safe housing, increase resilience and risks such as poverty, discrimination, insecure employment and environmental risks c</w:t>
      </w:r>
      <w:r>
        <w:rPr>
          <w:lang w:val="en-US"/>
        </w:rPr>
        <w:t>ompound disadvantage</w:t>
      </w:r>
      <w:r w:rsidR="0068142C" w:rsidRPr="0068142C">
        <w:rPr>
          <w:lang w:val="en-US"/>
        </w:rPr>
        <w:t>. Unfavorable childhood experiences, unstable jobs, and inappropriate housing have been proven to be the contributors of inequalities</w:t>
      </w:r>
      <w:r>
        <w:rPr>
          <w:lang w:val="en-US"/>
        </w:rPr>
        <w:t xml:space="preserve"> in the long term</w:t>
      </w:r>
      <w:r w:rsidR="0068142C" w:rsidRPr="0068142C">
        <w:rPr>
          <w:lang w:val="en-US"/>
        </w:rPr>
        <w:t>. The treatment strategies such as trauma-informed care, social prescribing, income support and housing improvements are assessed based on their efficacy and limitations. The report concludes with policy, practice, education and research recommendations, which feature the necessity to possess integrated, preventive and structural approaches. One of the solutions to reducing inequalities and ensuring maximum intergenerational wellbeing is alignment of interventions to the principles of life course.</w:t>
      </w:r>
    </w:p>
    <w:p w14:paraId="71121B26" w14:textId="77777777" w:rsidR="00A259F5" w:rsidRDefault="00A259F5" w:rsidP="009E696D">
      <w:pPr>
        <w:rPr>
          <w:lang w:val="en-US"/>
        </w:rPr>
      </w:pPr>
    </w:p>
    <w:p w14:paraId="3581D161" w14:textId="77777777" w:rsidR="00A259F5" w:rsidRPr="009E696D" w:rsidRDefault="00A259F5" w:rsidP="009E696D">
      <w:pPr>
        <w:rPr>
          <w:lang w:val="en-US"/>
        </w:rPr>
      </w:pPr>
      <w:r>
        <w:rPr>
          <w:lang w:val="en-US"/>
        </w:rPr>
        <w:br w:type="column"/>
      </w:r>
    </w:p>
    <w:sdt>
      <w:sdtPr>
        <w:rPr>
          <w:rFonts w:ascii="Times New Roman" w:eastAsiaTheme="minorHAnsi" w:hAnsi="Times New Roman" w:cstheme="minorBidi"/>
          <w:color w:val="auto"/>
          <w:kern w:val="2"/>
          <w:sz w:val="24"/>
          <w:szCs w:val="22"/>
          <w:lang w:val="en-GB"/>
          <w14:ligatures w14:val="standardContextual"/>
        </w:rPr>
        <w:id w:val="812374015"/>
        <w:docPartObj>
          <w:docPartGallery w:val="Table of Contents"/>
          <w:docPartUnique/>
        </w:docPartObj>
      </w:sdtPr>
      <w:sdtEndPr>
        <w:rPr>
          <w:b/>
          <w:bCs/>
          <w:noProof/>
        </w:rPr>
      </w:sdtEndPr>
      <w:sdtContent>
        <w:p w14:paraId="504A3853" w14:textId="493DA181" w:rsidR="00A259F5" w:rsidRPr="0068142C" w:rsidRDefault="00A259F5" w:rsidP="00A259F5">
          <w:pPr>
            <w:pStyle w:val="TOCHeading"/>
            <w:jc w:val="center"/>
            <w:rPr>
              <w:rFonts w:ascii="Times New Roman" w:hAnsi="Times New Roman" w:cs="Times New Roman"/>
              <w:b/>
              <w:bCs/>
              <w:color w:val="060B14"/>
              <w:sz w:val="24"/>
              <w:szCs w:val="28"/>
            </w:rPr>
          </w:pPr>
          <w:r w:rsidRPr="0068142C">
            <w:rPr>
              <w:rFonts w:ascii="Times New Roman" w:hAnsi="Times New Roman" w:cs="Times New Roman"/>
              <w:b/>
              <w:bCs/>
              <w:color w:val="060B14"/>
              <w:sz w:val="24"/>
              <w:szCs w:val="28"/>
            </w:rPr>
            <w:t>Table of Contents</w:t>
          </w:r>
        </w:p>
        <w:p w14:paraId="63AA2344" w14:textId="0AA731F2" w:rsidR="0068142C" w:rsidRDefault="00A259F5">
          <w:pPr>
            <w:pStyle w:val="TOC1"/>
            <w:tabs>
              <w:tab w:val="right" w:leader="dot" w:pos="9350"/>
            </w:tabs>
            <w:rPr>
              <w:rFonts w:asciiTheme="minorHAnsi" w:eastAsiaTheme="minorEastAsia" w:hAnsiTheme="minorHAnsi"/>
              <w:noProof/>
              <w:kern w:val="0"/>
              <w:sz w:val="22"/>
              <w:lang w:val="en-US"/>
              <w14:ligatures w14:val="none"/>
            </w:rPr>
          </w:pPr>
          <w:r>
            <w:fldChar w:fldCharType="begin"/>
          </w:r>
          <w:r>
            <w:instrText xml:space="preserve"> TOC \o "1-3" \h \z \u </w:instrText>
          </w:r>
          <w:r>
            <w:fldChar w:fldCharType="separate"/>
          </w:r>
          <w:hyperlink w:anchor="_Toc235542995" w:history="1">
            <w:r w:rsidR="0068142C" w:rsidRPr="00E9713E">
              <w:rPr>
                <w:rStyle w:val="Hyperlink"/>
                <w:noProof/>
              </w:rPr>
              <w:t>1. Introduction</w:t>
            </w:r>
            <w:r w:rsidR="0068142C">
              <w:rPr>
                <w:noProof/>
                <w:webHidden/>
              </w:rPr>
              <w:tab/>
            </w:r>
            <w:r w:rsidR="0068142C">
              <w:rPr>
                <w:noProof/>
                <w:webHidden/>
              </w:rPr>
              <w:fldChar w:fldCharType="begin"/>
            </w:r>
            <w:r w:rsidR="0068142C">
              <w:rPr>
                <w:noProof/>
                <w:webHidden/>
              </w:rPr>
              <w:instrText xml:space="preserve"> PAGEREF _Toc235542995 \h </w:instrText>
            </w:r>
            <w:r w:rsidR="0068142C">
              <w:rPr>
                <w:noProof/>
                <w:webHidden/>
              </w:rPr>
            </w:r>
            <w:r w:rsidR="0068142C">
              <w:rPr>
                <w:noProof/>
                <w:webHidden/>
              </w:rPr>
              <w:fldChar w:fldCharType="separate"/>
            </w:r>
            <w:r w:rsidR="0068142C">
              <w:rPr>
                <w:noProof/>
                <w:webHidden/>
              </w:rPr>
              <w:t>4</w:t>
            </w:r>
            <w:r w:rsidR="0068142C">
              <w:rPr>
                <w:noProof/>
                <w:webHidden/>
              </w:rPr>
              <w:fldChar w:fldCharType="end"/>
            </w:r>
          </w:hyperlink>
        </w:p>
        <w:p w14:paraId="1117D40D" w14:textId="018A5D7C" w:rsidR="0068142C" w:rsidRDefault="0068142C">
          <w:pPr>
            <w:pStyle w:val="TOC1"/>
            <w:tabs>
              <w:tab w:val="right" w:leader="dot" w:pos="9350"/>
            </w:tabs>
            <w:rPr>
              <w:rFonts w:asciiTheme="minorHAnsi" w:eastAsiaTheme="minorEastAsia" w:hAnsiTheme="minorHAnsi"/>
              <w:noProof/>
              <w:kern w:val="0"/>
              <w:sz w:val="22"/>
              <w:lang w:val="en-US"/>
              <w14:ligatures w14:val="none"/>
            </w:rPr>
          </w:pPr>
          <w:hyperlink w:anchor="_Toc235542996" w:history="1">
            <w:r w:rsidRPr="00E9713E">
              <w:rPr>
                <w:rStyle w:val="Hyperlink"/>
                <w:noProof/>
              </w:rPr>
              <w:t>2. The Life Course Approach and Social Factors</w:t>
            </w:r>
            <w:r>
              <w:rPr>
                <w:noProof/>
                <w:webHidden/>
              </w:rPr>
              <w:tab/>
            </w:r>
            <w:r>
              <w:rPr>
                <w:noProof/>
                <w:webHidden/>
              </w:rPr>
              <w:fldChar w:fldCharType="begin"/>
            </w:r>
            <w:r>
              <w:rPr>
                <w:noProof/>
                <w:webHidden/>
              </w:rPr>
              <w:instrText xml:space="preserve"> PAGEREF _Toc235542996 \h </w:instrText>
            </w:r>
            <w:r>
              <w:rPr>
                <w:noProof/>
                <w:webHidden/>
              </w:rPr>
            </w:r>
            <w:r>
              <w:rPr>
                <w:noProof/>
                <w:webHidden/>
              </w:rPr>
              <w:fldChar w:fldCharType="separate"/>
            </w:r>
            <w:r>
              <w:rPr>
                <w:noProof/>
                <w:webHidden/>
              </w:rPr>
              <w:t>4</w:t>
            </w:r>
            <w:r>
              <w:rPr>
                <w:noProof/>
                <w:webHidden/>
              </w:rPr>
              <w:fldChar w:fldCharType="end"/>
            </w:r>
          </w:hyperlink>
        </w:p>
        <w:p w14:paraId="5A2EC339" w14:textId="335CFF58" w:rsidR="0068142C" w:rsidRDefault="0068142C">
          <w:pPr>
            <w:pStyle w:val="TOC1"/>
            <w:tabs>
              <w:tab w:val="right" w:leader="dot" w:pos="9350"/>
            </w:tabs>
            <w:rPr>
              <w:rFonts w:asciiTheme="minorHAnsi" w:eastAsiaTheme="minorEastAsia" w:hAnsiTheme="minorHAnsi"/>
              <w:noProof/>
              <w:kern w:val="0"/>
              <w:sz w:val="22"/>
              <w:lang w:val="en-US"/>
              <w14:ligatures w14:val="none"/>
            </w:rPr>
          </w:pPr>
          <w:hyperlink w:anchor="_Toc235542997" w:history="1">
            <w:r w:rsidRPr="00E9713E">
              <w:rPr>
                <w:rStyle w:val="Hyperlink"/>
                <w:noProof/>
              </w:rPr>
              <w:t>3. The Life Course Approach and Economic Factors</w:t>
            </w:r>
            <w:r>
              <w:rPr>
                <w:noProof/>
                <w:webHidden/>
              </w:rPr>
              <w:tab/>
            </w:r>
            <w:r>
              <w:rPr>
                <w:noProof/>
                <w:webHidden/>
              </w:rPr>
              <w:fldChar w:fldCharType="begin"/>
            </w:r>
            <w:r>
              <w:rPr>
                <w:noProof/>
                <w:webHidden/>
              </w:rPr>
              <w:instrText xml:space="preserve"> PAGEREF _Toc235542997 \h </w:instrText>
            </w:r>
            <w:r>
              <w:rPr>
                <w:noProof/>
                <w:webHidden/>
              </w:rPr>
            </w:r>
            <w:r>
              <w:rPr>
                <w:noProof/>
                <w:webHidden/>
              </w:rPr>
              <w:fldChar w:fldCharType="separate"/>
            </w:r>
            <w:r>
              <w:rPr>
                <w:noProof/>
                <w:webHidden/>
              </w:rPr>
              <w:t>6</w:t>
            </w:r>
            <w:r>
              <w:rPr>
                <w:noProof/>
                <w:webHidden/>
              </w:rPr>
              <w:fldChar w:fldCharType="end"/>
            </w:r>
          </w:hyperlink>
        </w:p>
        <w:p w14:paraId="4F044D01" w14:textId="49713B46" w:rsidR="0068142C" w:rsidRDefault="0068142C">
          <w:pPr>
            <w:pStyle w:val="TOC1"/>
            <w:tabs>
              <w:tab w:val="right" w:leader="dot" w:pos="9350"/>
            </w:tabs>
            <w:rPr>
              <w:rFonts w:asciiTheme="minorHAnsi" w:eastAsiaTheme="minorEastAsia" w:hAnsiTheme="minorHAnsi"/>
              <w:noProof/>
              <w:kern w:val="0"/>
              <w:sz w:val="22"/>
              <w:lang w:val="en-US"/>
              <w14:ligatures w14:val="none"/>
            </w:rPr>
          </w:pPr>
          <w:hyperlink w:anchor="_Toc235542998" w:history="1">
            <w:r w:rsidRPr="00E9713E">
              <w:rPr>
                <w:rStyle w:val="Hyperlink"/>
                <w:noProof/>
              </w:rPr>
              <w:t>4. The Life Course Approach and Environmental Factors</w:t>
            </w:r>
            <w:r>
              <w:rPr>
                <w:noProof/>
                <w:webHidden/>
              </w:rPr>
              <w:tab/>
            </w:r>
            <w:r>
              <w:rPr>
                <w:noProof/>
                <w:webHidden/>
              </w:rPr>
              <w:fldChar w:fldCharType="begin"/>
            </w:r>
            <w:r>
              <w:rPr>
                <w:noProof/>
                <w:webHidden/>
              </w:rPr>
              <w:instrText xml:space="preserve"> PAGEREF _Toc235542998 \h </w:instrText>
            </w:r>
            <w:r>
              <w:rPr>
                <w:noProof/>
                <w:webHidden/>
              </w:rPr>
            </w:r>
            <w:r>
              <w:rPr>
                <w:noProof/>
                <w:webHidden/>
              </w:rPr>
              <w:fldChar w:fldCharType="separate"/>
            </w:r>
            <w:r>
              <w:rPr>
                <w:noProof/>
                <w:webHidden/>
              </w:rPr>
              <w:t>7</w:t>
            </w:r>
            <w:r>
              <w:rPr>
                <w:noProof/>
                <w:webHidden/>
              </w:rPr>
              <w:fldChar w:fldCharType="end"/>
            </w:r>
          </w:hyperlink>
        </w:p>
        <w:p w14:paraId="730AFD65" w14:textId="3C204D03" w:rsidR="0068142C" w:rsidRDefault="0068142C">
          <w:pPr>
            <w:pStyle w:val="TOC1"/>
            <w:tabs>
              <w:tab w:val="right" w:leader="dot" w:pos="9350"/>
            </w:tabs>
            <w:rPr>
              <w:rFonts w:asciiTheme="minorHAnsi" w:eastAsiaTheme="minorEastAsia" w:hAnsiTheme="minorHAnsi"/>
              <w:noProof/>
              <w:kern w:val="0"/>
              <w:sz w:val="22"/>
              <w:lang w:val="en-US"/>
              <w14:ligatures w14:val="none"/>
            </w:rPr>
          </w:pPr>
          <w:hyperlink w:anchor="_Toc235542999" w:history="1">
            <w:r w:rsidRPr="00E9713E">
              <w:rPr>
                <w:rStyle w:val="Hyperlink"/>
                <w:noProof/>
              </w:rPr>
              <w:t>5. Conclusions and Recommendations</w:t>
            </w:r>
            <w:r>
              <w:rPr>
                <w:noProof/>
                <w:webHidden/>
              </w:rPr>
              <w:tab/>
            </w:r>
            <w:r>
              <w:rPr>
                <w:noProof/>
                <w:webHidden/>
              </w:rPr>
              <w:fldChar w:fldCharType="begin"/>
            </w:r>
            <w:r>
              <w:rPr>
                <w:noProof/>
                <w:webHidden/>
              </w:rPr>
              <w:instrText xml:space="preserve"> PAGEREF _Toc235542999 \h </w:instrText>
            </w:r>
            <w:r>
              <w:rPr>
                <w:noProof/>
                <w:webHidden/>
              </w:rPr>
            </w:r>
            <w:r>
              <w:rPr>
                <w:noProof/>
                <w:webHidden/>
              </w:rPr>
              <w:fldChar w:fldCharType="separate"/>
            </w:r>
            <w:r>
              <w:rPr>
                <w:noProof/>
                <w:webHidden/>
              </w:rPr>
              <w:t>8</w:t>
            </w:r>
            <w:r>
              <w:rPr>
                <w:noProof/>
                <w:webHidden/>
              </w:rPr>
              <w:fldChar w:fldCharType="end"/>
            </w:r>
          </w:hyperlink>
        </w:p>
        <w:p w14:paraId="07A80A53" w14:textId="60BEAA71" w:rsidR="0068142C" w:rsidRDefault="0068142C">
          <w:pPr>
            <w:pStyle w:val="TOC1"/>
            <w:tabs>
              <w:tab w:val="right" w:leader="dot" w:pos="9350"/>
            </w:tabs>
            <w:rPr>
              <w:rFonts w:asciiTheme="minorHAnsi" w:eastAsiaTheme="minorEastAsia" w:hAnsiTheme="minorHAnsi"/>
              <w:noProof/>
              <w:kern w:val="0"/>
              <w:sz w:val="22"/>
              <w:lang w:val="en-US"/>
              <w14:ligatures w14:val="none"/>
            </w:rPr>
          </w:pPr>
          <w:hyperlink w:anchor="_Toc235543000" w:history="1">
            <w:r w:rsidRPr="00E9713E">
              <w:rPr>
                <w:rStyle w:val="Hyperlink"/>
                <w:noProof/>
              </w:rPr>
              <w:t>Appendix</w:t>
            </w:r>
            <w:r>
              <w:rPr>
                <w:noProof/>
                <w:webHidden/>
              </w:rPr>
              <w:tab/>
            </w:r>
            <w:r>
              <w:rPr>
                <w:noProof/>
                <w:webHidden/>
              </w:rPr>
              <w:fldChar w:fldCharType="begin"/>
            </w:r>
            <w:r>
              <w:rPr>
                <w:noProof/>
                <w:webHidden/>
              </w:rPr>
              <w:instrText xml:space="preserve"> PAGEREF _Toc235543000 \h </w:instrText>
            </w:r>
            <w:r>
              <w:rPr>
                <w:noProof/>
                <w:webHidden/>
              </w:rPr>
            </w:r>
            <w:r>
              <w:rPr>
                <w:noProof/>
                <w:webHidden/>
              </w:rPr>
              <w:fldChar w:fldCharType="separate"/>
            </w:r>
            <w:r>
              <w:rPr>
                <w:noProof/>
                <w:webHidden/>
              </w:rPr>
              <w:t>9</w:t>
            </w:r>
            <w:r>
              <w:rPr>
                <w:noProof/>
                <w:webHidden/>
              </w:rPr>
              <w:fldChar w:fldCharType="end"/>
            </w:r>
          </w:hyperlink>
        </w:p>
        <w:p w14:paraId="54A0C4BA" w14:textId="02C1B0F3" w:rsidR="0068142C" w:rsidRDefault="0068142C">
          <w:pPr>
            <w:pStyle w:val="TOC1"/>
            <w:tabs>
              <w:tab w:val="right" w:leader="dot" w:pos="9350"/>
            </w:tabs>
            <w:rPr>
              <w:rFonts w:asciiTheme="minorHAnsi" w:eastAsiaTheme="minorEastAsia" w:hAnsiTheme="minorHAnsi"/>
              <w:noProof/>
              <w:kern w:val="0"/>
              <w:sz w:val="22"/>
              <w:lang w:val="en-US"/>
              <w14:ligatures w14:val="none"/>
            </w:rPr>
          </w:pPr>
          <w:hyperlink w:anchor="_Toc235543001" w:history="1">
            <w:r w:rsidRPr="00E9713E">
              <w:rPr>
                <w:rStyle w:val="Hyperlink"/>
                <w:noProof/>
              </w:rPr>
              <w:t>References</w:t>
            </w:r>
            <w:r>
              <w:rPr>
                <w:noProof/>
                <w:webHidden/>
              </w:rPr>
              <w:tab/>
            </w:r>
            <w:r>
              <w:rPr>
                <w:noProof/>
                <w:webHidden/>
              </w:rPr>
              <w:fldChar w:fldCharType="begin"/>
            </w:r>
            <w:r>
              <w:rPr>
                <w:noProof/>
                <w:webHidden/>
              </w:rPr>
              <w:instrText xml:space="preserve"> PAGEREF _Toc235543001 \h </w:instrText>
            </w:r>
            <w:r>
              <w:rPr>
                <w:noProof/>
                <w:webHidden/>
              </w:rPr>
            </w:r>
            <w:r>
              <w:rPr>
                <w:noProof/>
                <w:webHidden/>
              </w:rPr>
              <w:fldChar w:fldCharType="separate"/>
            </w:r>
            <w:r>
              <w:rPr>
                <w:noProof/>
                <w:webHidden/>
              </w:rPr>
              <w:t>10</w:t>
            </w:r>
            <w:r>
              <w:rPr>
                <w:noProof/>
                <w:webHidden/>
              </w:rPr>
              <w:fldChar w:fldCharType="end"/>
            </w:r>
          </w:hyperlink>
        </w:p>
        <w:p w14:paraId="7CFD6E6D" w14:textId="2D329342" w:rsidR="00A259F5" w:rsidRPr="00762E68" w:rsidRDefault="00A259F5" w:rsidP="009E696D">
          <w:r>
            <w:rPr>
              <w:b/>
              <w:bCs/>
              <w:noProof/>
            </w:rPr>
            <w:fldChar w:fldCharType="end"/>
          </w:r>
        </w:p>
      </w:sdtContent>
    </w:sdt>
    <w:p w14:paraId="4C76052D" w14:textId="77777777" w:rsidR="00235D74" w:rsidRDefault="00235D74" w:rsidP="009E696D">
      <w:pPr>
        <w:rPr>
          <w:lang w:val="en-US"/>
        </w:rPr>
      </w:pPr>
    </w:p>
    <w:p w14:paraId="3E8BFB0C" w14:textId="294E7B2F" w:rsidR="00235D74" w:rsidRPr="00235D74" w:rsidRDefault="00235D74" w:rsidP="00235D74">
      <w:pPr>
        <w:jc w:val="center"/>
        <w:rPr>
          <w:b/>
          <w:bCs/>
          <w:lang w:val="en-US"/>
        </w:rPr>
      </w:pPr>
      <w:r w:rsidRPr="00235D74">
        <w:rPr>
          <w:b/>
          <w:bCs/>
          <w:lang w:val="en-US"/>
        </w:rPr>
        <w:t>List of Figures</w:t>
      </w:r>
    </w:p>
    <w:p w14:paraId="1D4DAF9B" w14:textId="118BC47B" w:rsidR="00235D74" w:rsidRDefault="00235D74">
      <w:pPr>
        <w:pStyle w:val="TableofFigures"/>
        <w:tabs>
          <w:tab w:val="right" w:leader="dot" w:pos="9350"/>
        </w:tabs>
        <w:rPr>
          <w:noProof/>
        </w:rPr>
      </w:pPr>
      <w:r>
        <w:rPr>
          <w:lang w:val="en-US"/>
        </w:rPr>
        <w:fldChar w:fldCharType="begin"/>
      </w:r>
      <w:r>
        <w:rPr>
          <w:lang w:val="en-US"/>
        </w:rPr>
        <w:instrText xml:space="preserve"> TOC \h \z \c "Figure" </w:instrText>
      </w:r>
      <w:r>
        <w:rPr>
          <w:lang w:val="en-US"/>
        </w:rPr>
        <w:fldChar w:fldCharType="separate"/>
      </w:r>
      <w:hyperlink w:anchor="_Toc235051470" w:history="1">
        <w:r w:rsidRPr="003A340E">
          <w:rPr>
            <w:rStyle w:val="Hyperlink"/>
            <w:noProof/>
          </w:rPr>
          <w:t xml:space="preserve">Figure 1 The life-course approach and the accumulation of </w:t>
        </w:r>
        <w:r w:rsidR="0068142C">
          <w:rPr>
            <w:rStyle w:val="Hyperlink"/>
            <w:noProof/>
          </w:rPr>
          <w:t>health influences</w:t>
        </w:r>
        <w:r>
          <w:rPr>
            <w:noProof/>
            <w:webHidden/>
          </w:rPr>
          <w:tab/>
        </w:r>
        <w:r>
          <w:rPr>
            <w:noProof/>
            <w:webHidden/>
          </w:rPr>
          <w:fldChar w:fldCharType="begin"/>
        </w:r>
        <w:r>
          <w:rPr>
            <w:noProof/>
            <w:webHidden/>
          </w:rPr>
          <w:instrText xml:space="preserve"> PAGEREF _Toc235051470 \h </w:instrText>
        </w:r>
        <w:r>
          <w:rPr>
            <w:noProof/>
            <w:webHidden/>
          </w:rPr>
        </w:r>
        <w:r>
          <w:rPr>
            <w:noProof/>
            <w:webHidden/>
          </w:rPr>
          <w:fldChar w:fldCharType="separate"/>
        </w:r>
        <w:r>
          <w:rPr>
            <w:noProof/>
            <w:webHidden/>
          </w:rPr>
          <w:t>5</w:t>
        </w:r>
        <w:r>
          <w:rPr>
            <w:noProof/>
            <w:webHidden/>
          </w:rPr>
          <w:fldChar w:fldCharType="end"/>
        </w:r>
      </w:hyperlink>
    </w:p>
    <w:p w14:paraId="5261F84E" w14:textId="485684E8" w:rsidR="00235D74" w:rsidRPr="009E696D" w:rsidRDefault="00235D74" w:rsidP="009E696D">
      <w:pPr>
        <w:rPr>
          <w:lang w:val="en-US"/>
        </w:rPr>
      </w:pPr>
      <w:r>
        <w:rPr>
          <w:lang w:val="en-US"/>
        </w:rPr>
        <w:fldChar w:fldCharType="end"/>
      </w:r>
    </w:p>
    <w:p w14:paraId="55B1B760" w14:textId="6950FFBA" w:rsidR="009E696D" w:rsidRPr="009E696D" w:rsidRDefault="009E696D" w:rsidP="00A259F5">
      <w:pPr>
        <w:pStyle w:val="Heading1"/>
      </w:pPr>
      <w:r>
        <w:br w:type="column"/>
      </w:r>
      <w:bookmarkStart w:id="0" w:name="_Toc235542995"/>
      <w:r w:rsidRPr="009E696D">
        <w:lastRenderedPageBreak/>
        <w:t>1. Introduction</w:t>
      </w:r>
      <w:bookmarkEnd w:id="0"/>
    </w:p>
    <w:p w14:paraId="68862BC3" w14:textId="76BA5D83" w:rsidR="0068142C" w:rsidRDefault="00762E68" w:rsidP="0068142C">
      <w:r>
        <w:tab/>
      </w:r>
      <w:r w:rsidR="0068142C">
        <w:t>The life course approach describes health as being dynamic and consists of exposures, transitions and accumulations across a lifetime. It notes that wellbeing is never pre-determined by existing behaviours but a combination between biological, social and environmental factors between pre-conception and old age (W</w:t>
      </w:r>
      <w:r w:rsidR="00D832A3">
        <w:t xml:space="preserve">orld </w:t>
      </w:r>
      <w:r w:rsidR="0068142C">
        <w:t>H</w:t>
      </w:r>
      <w:r w:rsidR="00D832A3">
        <w:t xml:space="preserve">ealth </w:t>
      </w:r>
      <w:r w:rsidR="0068142C">
        <w:t>O</w:t>
      </w:r>
      <w:r w:rsidR="00D832A3">
        <w:t>rganization</w:t>
      </w:r>
      <w:r w:rsidR="0068142C">
        <w:t xml:space="preserve">, 2025a). Protective pathways may be reinforced by socially organised activities such as schooling, employment, parenthood, and retirement, or be an added contributor to disadvantage (Walther et al., 2022). Demographic projections prove the need to consider such an aspect of view. The UK faces high stresses in ageing and this has an impact on health and social care provision (ONS, 2022). Increasing longevity all over the world comes with increasing inequalities, which demand cohesive actions that can mitigate structural and personal factors (United Nations, 2024). The critical analysis of this report is the effect of social, economic, and environmental factors on health and wellbeing using the life course. </w:t>
      </w:r>
    </w:p>
    <w:p w14:paraId="155C7B17" w14:textId="77BE7C7B" w:rsidR="00DD7C31" w:rsidRDefault="00762E68" w:rsidP="0068142C">
      <w:r>
        <w:tab/>
      </w:r>
      <w:r w:rsidR="0068142C">
        <w:t>It evaluates the appropriateness and effectiveness of interventions, in terms of policy, theory, and empirical data. The discussion through the analysis of the protective and risk factors determines the effects that the cumulative exposures have on the outcomes of the generations. In order to ensure that the report is current to the current challenges and the learning outcomes of analysing influences and the evaluation of interventions, the report is filled in with the evidence based policy, practice, education and research recommendations.</w:t>
      </w:r>
    </w:p>
    <w:p w14:paraId="17EACEEA" w14:textId="77777777" w:rsidR="00DD7C31" w:rsidRDefault="00DD7C31" w:rsidP="00DD7C31">
      <w:pPr>
        <w:pStyle w:val="Heading1"/>
      </w:pPr>
      <w:bookmarkStart w:id="1" w:name="_Toc235542996"/>
      <w:r>
        <w:t>2. The Life Course Approach and Social Factors</w:t>
      </w:r>
      <w:bookmarkEnd w:id="1"/>
    </w:p>
    <w:p w14:paraId="2EFD29DA" w14:textId="7AEAC1BC" w:rsidR="0068142C" w:rsidRDefault="00762E68" w:rsidP="0068142C">
      <w:r>
        <w:tab/>
      </w:r>
      <w:r w:rsidR="0068142C">
        <w:t xml:space="preserve">The social determinants such as family life, education, social networks and cultural norms are extremely powerful in the life course. Family transitions can either benefit or disfavor (Baxter et al., 2022). The warm type of parenting encourages coping and wellbeing into adulthood (Moran, 2018) and negative childhood experiences (ACEs) of neglect, violence or parental substance misuse lead to chronic stress during developmental stage (Morton, 2022). These exposures are related to long-term hazards, including dementia (Corney et al., 2022; Huang, 2023), demonstrating the link between childhood exposure and later health issues. Protective resources are offered by education and peer networks. The peer relationships are positive and support schooling reduces the isolation levels and causes healthier behaviours (Marshall, 2024). On the </w:t>
      </w:r>
      <w:r w:rsidR="0068142C">
        <w:lastRenderedPageBreak/>
        <w:t xml:space="preserve">other hand, stigma about mental illness or poverty postpones the process of help-seeking, maintaining a disadvantage (Giddens and Sutton, 2021). The concept of social capital is, therefore, a key determinant of pathways, and its deficit raises risks of the generation. Measures have been aimed at alleviating these dangers. </w:t>
      </w:r>
    </w:p>
    <w:p w14:paraId="337B9A39" w14:textId="67FB5D4C" w:rsidR="0068142C" w:rsidRDefault="00762E68" w:rsidP="0068142C">
      <w:r>
        <w:tab/>
      </w:r>
      <w:r w:rsidR="0068142C">
        <w:t xml:space="preserve">Early-years programmes are aimed at improving parenting and child development, but they should be long-term investment and availability. Social prescribing links them to community resources to enhance adolescent wellbeing and lessen the need of clinical services (Mitchell et al., 2025). Trauma-informed care can improve trust and outcomes but needs to be systemic, train the workforce, and change the culture of organisations (Goldstein et al., 2024). Personal competencies can be most successfully fostered with enhanced social circumstances, including safe housing and community involvement (Scriven et al., 2023). The evaluation of these interventions should take into account the participation, wellbeing, and long-term outcomes instead of service uptake (Lloyd et al., 2023). Notably, interventions are restricted. Social prescribing may not be applicable to the most remote, and trauma-informed care can be superficial unless it is a system-wide approach. Funding cuts can degrade early-years programmes and health promotion can find it difficult to overcome structural inequalities. </w:t>
      </w:r>
    </w:p>
    <w:p w14:paraId="270C0BBE" w14:textId="07A09824" w:rsidR="00DD7C31" w:rsidRDefault="00762E68" w:rsidP="0068142C">
      <w:r>
        <w:tab/>
      </w:r>
      <w:r w:rsidR="0068142C">
        <w:t>These difficulties underline the necessity to measure effectiveness by using long-term outcomes as opposed to short-term measures. In the life course perspective, the exposure to adverse factors is dangerous and accumulation of protective social environments is advantageous. The timing is highly valuable: when it comes to childhood and adolescence, the greatest long-term impacts are made, and the inability to intervene at these steps solidifies disadvantage. Combinations of early prevention and structural reforms, resiliency in transitions including schooling and employment and retirement should therefore be considered as the most effective strategies. Equity in social policy and practice can be used to address any inequalities present in health systems and improve intergenerational wellbeing.</w:t>
      </w:r>
      <w:r w:rsidR="00DD7C31">
        <w:t xml:space="preserve"> </w:t>
      </w:r>
    </w:p>
    <w:p w14:paraId="70B7E128" w14:textId="77777777" w:rsidR="00075A30" w:rsidRDefault="006F5998" w:rsidP="00075A30">
      <w:pPr>
        <w:keepNext/>
        <w:jc w:val="center"/>
      </w:pPr>
      <w:r>
        <w:rPr>
          <w:noProof/>
          <w:lang w:val="en-US"/>
        </w:rPr>
        <w:lastRenderedPageBreak/>
        <w:drawing>
          <wp:inline distT="0" distB="0" distL="0" distR="0" wp14:anchorId="7BD3EE64" wp14:editId="168C16A9">
            <wp:extent cx="4489103" cy="3640201"/>
            <wp:effectExtent l="0" t="0" r="6985" b="0"/>
            <wp:docPr id="10235043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504304" name=""/>
                    <pic:cNvPicPr/>
                  </pic:nvPicPr>
                  <pic:blipFill>
                    <a:blip r:embed="rId8"/>
                    <a:stretch>
                      <a:fillRect/>
                    </a:stretch>
                  </pic:blipFill>
                  <pic:spPr>
                    <a:xfrm>
                      <a:off x="0" y="0"/>
                      <a:ext cx="4524989" cy="3669301"/>
                    </a:xfrm>
                    <a:prstGeom prst="rect">
                      <a:avLst/>
                    </a:prstGeom>
                  </pic:spPr>
                </pic:pic>
              </a:graphicData>
            </a:graphic>
          </wp:inline>
        </w:drawing>
      </w:r>
    </w:p>
    <w:p w14:paraId="043B6751" w14:textId="77777777" w:rsidR="0068142C" w:rsidRPr="0068142C" w:rsidRDefault="00075A30" w:rsidP="00075A30">
      <w:pPr>
        <w:pStyle w:val="Caption"/>
        <w:jc w:val="center"/>
        <w:rPr>
          <w:i w:val="0"/>
          <w:color w:val="000000" w:themeColor="text1"/>
          <w:sz w:val="20"/>
        </w:rPr>
      </w:pPr>
      <w:bookmarkStart w:id="2" w:name="_Toc235051470"/>
      <w:r w:rsidRPr="0068142C">
        <w:rPr>
          <w:b/>
          <w:i w:val="0"/>
          <w:color w:val="000000" w:themeColor="text1"/>
          <w:sz w:val="20"/>
        </w:rPr>
        <w:t xml:space="preserve">Figure </w:t>
      </w:r>
      <w:r w:rsidRPr="0068142C">
        <w:rPr>
          <w:b/>
          <w:i w:val="0"/>
          <w:color w:val="000000" w:themeColor="text1"/>
          <w:sz w:val="20"/>
        </w:rPr>
        <w:fldChar w:fldCharType="begin"/>
      </w:r>
      <w:r w:rsidRPr="0068142C">
        <w:rPr>
          <w:b/>
          <w:i w:val="0"/>
          <w:color w:val="000000" w:themeColor="text1"/>
          <w:sz w:val="20"/>
        </w:rPr>
        <w:instrText xml:space="preserve"> SEQ Figure \* ARABIC </w:instrText>
      </w:r>
      <w:r w:rsidRPr="0068142C">
        <w:rPr>
          <w:b/>
          <w:i w:val="0"/>
          <w:color w:val="000000" w:themeColor="text1"/>
          <w:sz w:val="20"/>
        </w:rPr>
        <w:fldChar w:fldCharType="separate"/>
      </w:r>
      <w:r w:rsidRPr="0068142C">
        <w:rPr>
          <w:b/>
          <w:i w:val="0"/>
          <w:noProof/>
          <w:color w:val="000000" w:themeColor="text1"/>
          <w:sz w:val="20"/>
        </w:rPr>
        <w:t>1</w:t>
      </w:r>
      <w:r w:rsidRPr="0068142C">
        <w:rPr>
          <w:b/>
          <w:i w:val="0"/>
          <w:color w:val="000000" w:themeColor="text1"/>
          <w:sz w:val="20"/>
        </w:rPr>
        <w:fldChar w:fldCharType="end"/>
      </w:r>
      <w:r w:rsidRPr="0068142C">
        <w:rPr>
          <w:i w:val="0"/>
          <w:color w:val="000000" w:themeColor="text1"/>
          <w:sz w:val="20"/>
        </w:rPr>
        <w:t xml:space="preserve"> </w:t>
      </w:r>
      <w:r w:rsidR="00D510E8" w:rsidRPr="0068142C">
        <w:rPr>
          <w:i w:val="0"/>
          <w:color w:val="000000" w:themeColor="text1"/>
          <w:sz w:val="20"/>
        </w:rPr>
        <w:t xml:space="preserve">The life-course approach and the accumulation of health influences </w:t>
      </w:r>
    </w:p>
    <w:p w14:paraId="5C46C496" w14:textId="1558E50F" w:rsidR="00DD7C31" w:rsidRPr="0068142C" w:rsidRDefault="0068142C" w:rsidP="0068142C">
      <w:pPr>
        <w:pStyle w:val="Caption"/>
        <w:jc w:val="center"/>
        <w:rPr>
          <w:i w:val="0"/>
          <w:color w:val="000000" w:themeColor="text1"/>
          <w:sz w:val="20"/>
        </w:rPr>
      </w:pPr>
      <w:r w:rsidRPr="0068142C">
        <w:rPr>
          <w:i w:val="0"/>
          <w:color w:val="000000" w:themeColor="text1"/>
          <w:sz w:val="20"/>
        </w:rPr>
        <w:t xml:space="preserve">Source </w:t>
      </w:r>
      <w:r w:rsidR="00075A30" w:rsidRPr="0068142C">
        <w:rPr>
          <w:i w:val="0"/>
          <w:color w:val="000000" w:themeColor="text1"/>
          <w:sz w:val="20"/>
        </w:rPr>
        <w:t>(Rigney, 2020)</w:t>
      </w:r>
      <w:bookmarkEnd w:id="2"/>
    </w:p>
    <w:p w14:paraId="21F094D9" w14:textId="77777777" w:rsidR="00DD7C31" w:rsidRDefault="00DD7C31" w:rsidP="00DD7C31">
      <w:pPr>
        <w:pStyle w:val="Heading1"/>
      </w:pPr>
      <w:bookmarkStart w:id="3" w:name="_Toc235542997"/>
      <w:r>
        <w:t>3. The Life Course Approach and Economic Factors</w:t>
      </w:r>
      <w:bookmarkEnd w:id="3"/>
    </w:p>
    <w:p w14:paraId="7CBF9532" w14:textId="5213B736" w:rsidR="0068142C" w:rsidRDefault="00762E68" w:rsidP="0068142C">
      <w:r>
        <w:tab/>
      </w:r>
      <w:r w:rsidR="0068142C">
        <w:t xml:space="preserve">The economic conditions are the foundation of health trajectories in the life course as they influence access to resources, opportunities, and security. Nutritious diets, secure housing and interaction with secure earnings and stable employment can be used by families to increase protective pathways (OECD, 2020; World Bank, 2024). On the other hand, poverty drives households to focus on the survival in the short run, which is usually at the cost of long-term wellbeing. Such drawbacks add up and create intergenerational inequalities (Houweling and Grünberger, 2024). Unemployment has a cumulative health impact, and the risks are depression, cardiovascular disease, and a shorter life expectancy. These impacts can be alleviated by social engagement, but to a specific extent (Chen et al., 2025). Precarious employment is a detrimental factor to mental health and the outcomes are mediated by household income and type of family (Kvart et al., 2026). </w:t>
      </w:r>
    </w:p>
    <w:p w14:paraId="6F185CEA" w14:textId="7944CFC3" w:rsidR="00386A91" w:rsidRDefault="00762E68" w:rsidP="0068142C">
      <w:r>
        <w:lastRenderedPageBreak/>
        <w:tab/>
      </w:r>
      <w:r w:rsidR="0068142C">
        <w:t>The income of parents also influences mental health of children and is mediated by the maternal wellbeing and the quality of parent-child relationships (Wilson et al., 2025). Access to healthcare is indicative of economic strains. The UK health system is universal, but suffers from a lack of workforce and disparity across the regions (Anderson et al., 2022). Social care is a poorly funded area, with an increasing unmet need (Bancalari and Zaranko, 2024). The NHS resources have increased yet remain insufficient as compared to the demand (Warner and Zaranko, 2022). The interventions are the benefits, good remuneration, school lunch and childcare at subsidized costs. These lessen the stress on parents and enhance child feeding, but eligibility and stigma may prevent uptake (Sheldon et al., 2024). Most importantly, the interventions should focus on cumulative disadvantage: insecure work decreases pension security, putting risks on old age. Generation Economic insecurity contributes to inequality as per the view of life course. Strategies that are effective should thus be based on immediate support and structural reforms to guarantee resilience during transitions.</w:t>
      </w:r>
    </w:p>
    <w:p w14:paraId="0F2D1C74" w14:textId="1BE265A3" w:rsidR="009E696D" w:rsidRDefault="009E696D" w:rsidP="00E42ADF">
      <w:pPr>
        <w:pStyle w:val="Heading1"/>
      </w:pPr>
      <w:bookmarkStart w:id="4" w:name="_Toc235542998"/>
      <w:r w:rsidRPr="009E696D">
        <w:t>4. The Life Course Approach and Environmental Factors</w:t>
      </w:r>
      <w:bookmarkEnd w:id="4"/>
    </w:p>
    <w:p w14:paraId="6D5675B5" w14:textId="4EF43455" w:rsidR="0068142C" w:rsidRDefault="00762E68" w:rsidP="0068142C">
      <w:r>
        <w:tab/>
      </w:r>
      <w:r w:rsidR="0068142C">
        <w:t>This life course determinants of wellbeing are housing quality, air pollution, neighbourhood safety, transport and access to green space. Safe houses result in rest, learning and recovery, and damp and mould stress and respiratory disease, the long term outcomes of which on education achievement and adult opportunities (Maria Rosa Gatto et al., 2024). These risks are not equally shared, in that families that are poor are usually unable to move out of these dangerous areas. Children: The respiratory system of children is developing and the resilience of the older adults is low and this exposes children to pollution and poor housing. Modifiable risks that significantly influence non communicable diseases include air quality, absence of exercise and unhealthy diets (W</w:t>
      </w:r>
      <w:r w:rsidR="00D832A3">
        <w:t xml:space="preserve">orld </w:t>
      </w:r>
      <w:r w:rsidR="0068142C">
        <w:t>H</w:t>
      </w:r>
      <w:r w:rsidR="00D832A3">
        <w:t xml:space="preserve">ealth </w:t>
      </w:r>
      <w:r w:rsidR="0068142C">
        <w:t>O</w:t>
      </w:r>
      <w:r w:rsidR="00D832A3">
        <w:t>rganization</w:t>
      </w:r>
      <w:r w:rsidR="0068142C">
        <w:t xml:space="preserve">, 2025b). International data indicates that obesity and underweight tendencies depend on the structural circumstances but not just on personal preference (Phelps et al., 2024). The ageing of the population increases the need of housing and transport which can be easily accessed. </w:t>
      </w:r>
    </w:p>
    <w:p w14:paraId="41C17E8F" w14:textId="1DBD7EB0" w:rsidR="00CE2B57" w:rsidRPr="009E696D" w:rsidRDefault="00762E68" w:rsidP="0068142C">
      <w:r>
        <w:tab/>
      </w:r>
      <w:r w:rsidR="0068142C">
        <w:t xml:space="preserve">Such laws as the Well-being of Future Generations Act are concerned with the overall planning in social, economic, and environmental contexts (GOV.WALES, 2020). Multi sectoral solutions comprising of health, housing, and social care are needed to support chronic conditions </w:t>
      </w:r>
      <w:r w:rsidR="0068142C">
        <w:lastRenderedPageBreak/>
        <w:t>(Welsh Parliament, 2025). Interventions include shelter, fresh air, good walking routes and parks. The age friendly design is used to enhance independence, and bad design encourages disability and isolation (Livingston et al., 2024). Social inclusion programmes are still crucial to the disadvantaged groups (Saran et al., 2021). Through monitoring inequality, there is a need to monitor effectiveness, and ensuring the community is engaged (Rigney, 2020; Marshall, 2024). Environments risk accumulates and interacts with social and economic disadvantages to perpetuate inequality as seen through a life course perspective. Successful interventions should thus be one that is both preventive and structural in nature, so that environments facilitate wellbeing at all life stages.</w:t>
      </w:r>
    </w:p>
    <w:p w14:paraId="767107F6" w14:textId="77777777" w:rsidR="009E696D" w:rsidRPr="009E696D" w:rsidRDefault="009E696D" w:rsidP="00E42ADF">
      <w:pPr>
        <w:pStyle w:val="Heading1"/>
      </w:pPr>
      <w:bookmarkStart w:id="5" w:name="_Toc235542999"/>
      <w:r w:rsidRPr="009E696D">
        <w:t>5. Conclusions and Recommendations</w:t>
      </w:r>
      <w:bookmarkEnd w:id="5"/>
    </w:p>
    <w:p w14:paraId="68F16605" w14:textId="4D73C0E8" w:rsidR="0068142C" w:rsidRDefault="00762E68" w:rsidP="0068142C">
      <w:r>
        <w:tab/>
      </w:r>
      <w:r w:rsidR="0068142C">
        <w:t>Exposures in life at important times, cumulative health and wellbeing effects throughout the life span, interact to either reinforce protective mechanisms or intensify disadvantage. Poverty, discrimination, insecure employment, and environmental threats result in the opposite of resilience, being positive contributors of supportive families, education, secure income, and safety of housing. This is multiplied and transmitted to other generations, leaving a legacy of inequalities (Houweling and Grünberger, 2024).</w:t>
      </w:r>
    </w:p>
    <w:p w14:paraId="591D8290" w14:textId="52A268B9" w:rsidR="0068142C" w:rsidRDefault="00762E68" w:rsidP="0068142C">
      <w:r>
        <w:tab/>
      </w:r>
      <w:r w:rsidR="0068142C">
        <w:t>The policies must focus more on investment in early years, the security of income, housing, and clean air (OECD, 2020; GOV.WALES, 2020; World Bank, 2024). The practice of making significant transitions should be based on prevention, trauma informed, person centred care (Goldstein et al., 2024; Mitchell et al., 2025). Training should equip the practitioners to recognize and respond to more comprehensive determinants of health (Scriven et al., 2023; Sheldon et al., 2024). Finally, longitudinal research should be prioritized in studies to follow inequality and intervention evaluation and strengthen inequality reduction findings (Livingston et al., 2024; Saran et al., 2021). To reduce inequalities and enhance intergenerational wellbeing, health systems can do this by aligning interventions with the life course principles to reduce inequalities.</w:t>
      </w:r>
    </w:p>
    <w:p w14:paraId="51092E96" w14:textId="77777777" w:rsidR="0068142C" w:rsidRDefault="0068142C">
      <w:pPr>
        <w:spacing w:line="259" w:lineRule="auto"/>
        <w:jc w:val="left"/>
      </w:pPr>
      <w:r>
        <w:br w:type="page"/>
      </w:r>
    </w:p>
    <w:p w14:paraId="6EE21B3F" w14:textId="77777777" w:rsidR="0068142C" w:rsidRDefault="0068142C" w:rsidP="0068142C">
      <w:pPr>
        <w:pStyle w:val="Heading1"/>
      </w:pPr>
      <w:bookmarkStart w:id="6" w:name="_Toc235543000"/>
      <w:r>
        <w:lastRenderedPageBreak/>
        <w:t>Appendix</w:t>
      </w:r>
      <w:bookmarkEnd w:id="6"/>
    </w:p>
    <w:p w14:paraId="733C3838" w14:textId="77777777" w:rsidR="0068142C" w:rsidRPr="0068142C" w:rsidRDefault="0068142C" w:rsidP="0068142C">
      <w:pPr>
        <w:rPr>
          <w:b/>
          <w:i/>
        </w:rPr>
      </w:pPr>
      <w:r w:rsidRPr="0068142C">
        <w:rPr>
          <w:b/>
          <w:i/>
        </w:rPr>
        <w:t>Appendix A: Life-Course Factors and Interventions</w:t>
      </w:r>
    </w:p>
    <w:tbl>
      <w:tblPr>
        <w:tblStyle w:val="GridTable4-Accent6"/>
        <w:tblW w:w="0" w:type="auto"/>
        <w:tblLook w:val="04A0" w:firstRow="1" w:lastRow="0" w:firstColumn="1" w:lastColumn="0" w:noHBand="0" w:noVBand="1"/>
      </w:tblPr>
      <w:tblGrid>
        <w:gridCol w:w="1310"/>
        <w:gridCol w:w="2030"/>
        <w:gridCol w:w="1818"/>
        <w:gridCol w:w="2055"/>
        <w:gridCol w:w="2137"/>
      </w:tblGrid>
      <w:tr w:rsidR="0068142C" w:rsidRPr="003456F6" w14:paraId="1CA58775" w14:textId="77777777" w:rsidTr="00EF6D4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845B1C1" w14:textId="77777777" w:rsidR="0068142C" w:rsidRPr="003456F6" w:rsidRDefault="0068142C" w:rsidP="00EF6D4D">
            <w:pPr>
              <w:spacing w:after="160"/>
              <w:rPr>
                <w:b w:val="0"/>
                <w:bCs w:val="0"/>
                <w:lang w:val="en-US"/>
              </w:rPr>
            </w:pPr>
            <w:r w:rsidRPr="003456F6">
              <w:rPr>
                <w:lang w:val="en-US"/>
              </w:rPr>
              <w:t>Life stage</w:t>
            </w:r>
          </w:p>
        </w:tc>
        <w:tc>
          <w:tcPr>
            <w:tcW w:w="0" w:type="auto"/>
            <w:hideMark/>
          </w:tcPr>
          <w:p w14:paraId="54C12B3A" w14:textId="77777777" w:rsidR="0068142C" w:rsidRPr="003456F6" w:rsidRDefault="0068142C" w:rsidP="00EF6D4D">
            <w:pPr>
              <w:spacing w:after="160"/>
              <w:cnfStyle w:val="100000000000" w:firstRow="1" w:lastRow="0" w:firstColumn="0" w:lastColumn="0" w:oddVBand="0" w:evenVBand="0" w:oddHBand="0" w:evenHBand="0" w:firstRowFirstColumn="0" w:firstRowLastColumn="0" w:lastRowFirstColumn="0" w:lastRowLastColumn="0"/>
              <w:rPr>
                <w:b w:val="0"/>
                <w:bCs w:val="0"/>
                <w:lang w:val="en-US"/>
              </w:rPr>
            </w:pPr>
            <w:r w:rsidRPr="003456F6">
              <w:rPr>
                <w:lang w:val="en-US"/>
              </w:rPr>
              <w:t>Social factors</w:t>
            </w:r>
          </w:p>
        </w:tc>
        <w:tc>
          <w:tcPr>
            <w:tcW w:w="0" w:type="auto"/>
            <w:hideMark/>
          </w:tcPr>
          <w:p w14:paraId="11A4426A" w14:textId="77777777" w:rsidR="0068142C" w:rsidRPr="003456F6" w:rsidRDefault="0068142C" w:rsidP="00EF6D4D">
            <w:pPr>
              <w:spacing w:after="160"/>
              <w:cnfStyle w:val="100000000000" w:firstRow="1" w:lastRow="0" w:firstColumn="0" w:lastColumn="0" w:oddVBand="0" w:evenVBand="0" w:oddHBand="0" w:evenHBand="0" w:firstRowFirstColumn="0" w:firstRowLastColumn="0" w:lastRowFirstColumn="0" w:lastRowLastColumn="0"/>
              <w:rPr>
                <w:b w:val="0"/>
                <w:bCs w:val="0"/>
                <w:lang w:val="en-US"/>
              </w:rPr>
            </w:pPr>
            <w:r w:rsidRPr="003456F6">
              <w:rPr>
                <w:lang w:val="en-US"/>
              </w:rPr>
              <w:t>Economic factors</w:t>
            </w:r>
          </w:p>
        </w:tc>
        <w:tc>
          <w:tcPr>
            <w:tcW w:w="0" w:type="auto"/>
            <w:hideMark/>
          </w:tcPr>
          <w:p w14:paraId="65949706" w14:textId="77777777" w:rsidR="0068142C" w:rsidRPr="003456F6" w:rsidRDefault="0068142C" w:rsidP="00EF6D4D">
            <w:pPr>
              <w:spacing w:after="160"/>
              <w:cnfStyle w:val="100000000000" w:firstRow="1" w:lastRow="0" w:firstColumn="0" w:lastColumn="0" w:oddVBand="0" w:evenVBand="0" w:oddHBand="0" w:evenHBand="0" w:firstRowFirstColumn="0" w:firstRowLastColumn="0" w:lastRowFirstColumn="0" w:lastRowLastColumn="0"/>
              <w:rPr>
                <w:b w:val="0"/>
                <w:bCs w:val="0"/>
                <w:lang w:val="en-US"/>
              </w:rPr>
            </w:pPr>
            <w:r w:rsidRPr="003456F6">
              <w:rPr>
                <w:lang w:val="en-US"/>
              </w:rPr>
              <w:t>Environmental factors</w:t>
            </w:r>
          </w:p>
        </w:tc>
        <w:tc>
          <w:tcPr>
            <w:tcW w:w="0" w:type="auto"/>
            <w:hideMark/>
          </w:tcPr>
          <w:p w14:paraId="1072BC11" w14:textId="77777777" w:rsidR="0068142C" w:rsidRPr="003456F6" w:rsidRDefault="0068142C" w:rsidP="00EF6D4D">
            <w:pPr>
              <w:spacing w:after="160"/>
              <w:cnfStyle w:val="100000000000" w:firstRow="1" w:lastRow="0" w:firstColumn="0" w:lastColumn="0" w:oddVBand="0" w:evenVBand="0" w:oddHBand="0" w:evenHBand="0" w:firstRowFirstColumn="0" w:firstRowLastColumn="0" w:lastRowFirstColumn="0" w:lastRowLastColumn="0"/>
              <w:rPr>
                <w:b w:val="0"/>
                <w:bCs w:val="0"/>
                <w:lang w:val="en-US"/>
              </w:rPr>
            </w:pPr>
            <w:r w:rsidRPr="003456F6">
              <w:rPr>
                <w:lang w:val="en-US"/>
              </w:rPr>
              <w:t>Relevant interventions</w:t>
            </w:r>
          </w:p>
        </w:tc>
      </w:tr>
      <w:tr w:rsidR="0068142C" w:rsidRPr="003456F6" w14:paraId="2EB132C7" w14:textId="77777777" w:rsidTr="00EF6D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54A5E96" w14:textId="77777777" w:rsidR="0068142C" w:rsidRPr="003456F6" w:rsidRDefault="0068142C" w:rsidP="00EF6D4D">
            <w:pPr>
              <w:spacing w:after="160"/>
              <w:rPr>
                <w:lang w:val="en-US"/>
              </w:rPr>
            </w:pPr>
            <w:r w:rsidRPr="003456F6">
              <w:rPr>
                <w:lang w:val="en-US"/>
              </w:rPr>
              <w:t>Childhood</w:t>
            </w:r>
          </w:p>
        </w:tc>
        <w:tc>
          <w:tcPr>
            <w:tcW w:w="0" w:type="auto"/>
            <w:hideMark/>
          </w:tcPr>
          <w:p w14:paraId="611B541E" w14:textId="77777777" w:rsidR="0068142C" w:rsidRPr="003456F6" w:rsidRDefault="0068142C" w:rsidP="00EF6D4D">
            <w:pPr>
              <w:spacing w:after="160"/>
              <w:cnfStyle w:val="000000100000" w:firstRow="0" w:lastRow="0" w:firstColumn="0" w:lastColumn="0" w:oddVBand="0" w:evenVBand="0" w:oddHBand="1" w:evenHBand="0" w:firstRowFirstColumn="0" w:firstRowLastColumn="0" w:lastRowFirstColumn="0" w:lastRowLastColumn="0"/>
              <w:rPr>
                <w:lang w:val="en-US"/>
              </w:rPr>
            </w:pPr>
            <w:r w:rsidRPr="003456F6">
              <w:rPr>
                <w:lang w:val="en-US"/>
              </w:rPr>
              <w:t>Parenting, education, adverse experiences</w:t>
            </w:r>
          </w:p>
        </w:tc>
        <w:tc>
          <w:tcPr>
            <w:tcW w:w="0" w:type="auto"/>
            <w:hideMark/>
          </w:tcPr>
          <w:p w14:paraId="7076E281" w14:textId="77777777" w:rsidR="0068142C" w:rsidRPr="003456F6" w:rsidRDefault="0068142C" w:rsidP="00EF6D4D">
            <w:pPr>
              <w:spacing w:after="160"/>
              <w:cnfStyle w:val="000000100000" w:firstRow="0" w:lastRow="0" w:firstColumn="0" w:lastColumn="0" w:oddVBand="0" w:evenVBand="0" w:oddHBand="1" w:evenHBand="0" w:firstRowFirstColumn="0" w:firstRowLastColumn="0" w:lastRowFirstColumn="0" w:lastRowLastColumn="0"/>
              <w:rPr>
                <w:lang w:val="en-US"/>
              </w:rPr>
            </w:pPr>
            <w:r w:rsidRPr="003456F6">
              <w:rPr>
                <w:lang w:val="en-US"/>
              </w:rPr>
              <w:t>Family income, food insecurity</w:t>
            </w:r>
          </w:p>
        </w:tc>
        <w:tc>
          <w:tcPr>
            <w:tcW w:w="0" w:type="auto"/>
            <w:hideMark/>
          </w:tcPr>
          <w:p w14:paraId="1BDC6660" w14:textId="77777777" w:rsidR="0068142C" w:rsidRPr="003456F6" w:rsidRDefault="0068142C" w:rsidP="00EF6D4D">
            <w:pPr>
              <w:spacing w:after="160"/>
              <w:cnfStyle w:val="000000100000" w:firstRow="0" w:lastRow="0" w:firstColumn="0" w:lastColumn="0" w:oddVBand="0" w:evenVBand="0" w:oddHBand="1" w:evenHBand="0" w:firstRowFirstColumn="0" w:firstRowLastColumn="0" w:lastRowFirstColumn="0" w:lastRowLastColumn="0"/>
              <w:rPr>
                <w:lang w:val="en-US"/>
              </w:rPr>
            </w:pPr>
            <w:r w:rsidRPr="003456F6">
              <w:rPr>
                <w:lang w:val="en-US"/>
              </w:rPr>
              <w:t>Housing, pollution, green space</w:t>
            </w:r>
          </w:p>
        </w:tc>
        <w:tc>
          <w:tcPr>
            <w:tcW w:w="0" w:type="auto"/>
            <w:hideMark/>
          </w:tcPr>
          <w:p w14:paraId="71503FEC" w14:textId="77777777" w:rsidR="0068142C" w:rsidRPr="003456F6" w:rsidRDefault="0068142C" w:rsidP="00EF6D4D">
            <w:pPr>
              <w:spacing w:after="160"/>
              <w:cnfStyle w:val="000000100000" w:firstRow="0" w:lastRow="0" w:firstColumn="0" w:lastColumn="0" w:oddVBand="0" w:evenVBand="0" w:oddHBand="1" w:evenHBand="0" w:firstRowFirstColumn="0" w:firstRowLastColumn="0" w:lastRowFirstColumn="0" w:lastRowLastColumn="0"/>
              <w:rPr>
                <w:lang w:val="en-US"/>
              </w:rPr>
            </w:pPr>
            <w:r w:rsidRPr="003456F6">
              <w:rPr>
                <w:lang w:val="en-US"/>
              </w:rPr>
              <w:t>Early-years support, free school meals</w:t>
            </w:r>
          </w:p>
        </w:tc>
      </w:tr>
      <w:tr w:rsidR="0068142C" w:rsidRPr="003456F6" w14:paraId="6F10084D" w14:textId="77777777" w:rsidTr="00EF6D4D">
        <w:tc>
          <w:tcPr>
            <w:cnfStyle w:val="001000000000" w:firstRow="0" w:lastRow="0" w:firstColumn="1" w:lastColumn="0" w:oddVBand="0" w:evenVBand="0" w:oddHBand="0" w:evenHBand="0" w:firstRowFirstColumn="0" w:firstRowLastColumn="0" w:lastRowFirstColumn="0" w:lastRowLastColumn="0"/>
            <w:tcW w:w="0" w:type="auto"/>
            <w:hideMark/>
          </w:tcPr>
          <w:p w14:paraId="5EF5C173" w14:textId="77777777" w:rsidR="0068142C" w:rsidRPr="003456F6" w:rsidRDefault="0068142C" w:rsidP="00EF6D4D">
            <w:pPr>
              <w:spacing w:after="160"/>
              <w:rPr>
                <w:lang w:val="en-US"/>
              </w:rPr>
            </w:pPr>
            <w:r w:rsidRPr="003456F6">
              <w:rPr>
                <w:lang w:val="en-US"/>
              </w:rPr>
              <w:t>Adulthood</w:t>
            </w:r>
          </w:p>
        </w:tc>
        <w:tc>
          <w:tcPr>
            <w:tcW w:w="0" w:type="auto"/>
            <w:hideMark/>
          </w:tcPr>
          <w:p w14:paraId="150B4BB8" w14:textId="77777777" w:rsidR="0068142C" w:rsidRPr="003456F6" w:rsidRDefault="0068142C" w:rsidP="00EF6D4D">
            <w:pPr>
              <w:spacing w:after="160"/>
              <w:cnfStyle w:val="000000000000" w:firstRow="0" w:lastRow="0" w:firstColumn="0" w:lastColumn="0" w:oddVBand="0" w:evenVBand="0" w:oddHBand="0" w:evenHBand="0" w:firstRowFirstColumn="0" w:firstRowLastColumn="0" w:lastRowFirstColumn="0" w:lastRowLastColumn="0"/>
              <w:rPr>
                <w:lang w:val="en-US"/>
              </w:rPr>
            </w:pPr>
            <w:r w:rsidRPr="003456F6">
              <w:rPr>
                <w:lang w:val="en-US"/>
              </w:rPr>
              <w:t>Relationships, discrimination, social support</w:t>
            </w:r>
          </w:p>
        </w:tc>
        <w:tc>
          <w:tcPr>
            <w:tcW w:w="0" w:type="auto"/>
            <w:hideMark/>
          </w:tcPr>
          <w:p w14:paraId="6D649DBE" w14:textId="77777777" w:rsidR="0068142C" w:rsidRPr="003456F6" w:rsidRDefault="0068142C" w:rsidP="00EF6D4D">
            <w:pPr>
              <w:spacing w:after="160"/>
              <w:cnfStyle w:val="000000000000" w:firstRow="0" w:lastRow="0" w:firstColumn="0" w:lastColumn="0" w:oddVBand="0" w:evenVBand="0" w:oddHBand="0" w:evenHBand="0" w:firstRowFirstColumn="0" w:firstRowLastColumn="0" w:lastRowFirstColumn="0" w:lastRowLastColumn="0"/>
              <w:rPr>
                <w:lang w:val="en-US"/>
              </w:rPr>
            </w:pPr>
            <w:r w:rsidRPr="003456F6">
              <w:rPr>
                <w:lang w:val="en-US"/>
              </w:rPr>
              <w:t>Employment, income, financial stress</w:t>
            </w:r>
          </w:p>
        </w:tc>
        <w:tc>
          <w:tcPr>
            <w:tcW w:w="0" w:type="auto"/>
            <w:hideMark/>
          </w:tcPr>
          <w:p w14:paraId="4804824D" w14:textId="77777777" w:rsidR="0068142C" w:rsidRPr="003456F6" w:rsidRDefault="0068142C" w:rsidP="00EF6D4D">
            <w:pPr>
              <w:spacing w:after="160"/>
              <w:cnfStyle w:val="000000000000" w:firstRow="0" w:lastRow="0" w:firstColumn="0" w:lastColumn="0" w:oddVBand="0" w:evenVBand="0" w:oddHBand="0" w:evenHBand="0" w:firstRowFirstColumn="0" w:firstRowLastColumn="0" w:lastRowFirstColumn="0" w:lastRowLastColumn="0"/>
              <w:rPr>
                <w:lang w:val="en-US"/>
              </w:rPr>
            </w:pPr>
            <w:r w:rsidRPr="003456F6">
              <w:rPr>
                <w:lang w:val="en-US"/>
              </w:rPr>
              <w:t>Workplace, transport, housing</w:t>
            </w:r>
          </w:p>
        </w:tc>
        <w:tc>
          <w:tcPr>
            <w:tcW w:w="0" w:type="auto"/>
            <w:hideMark/>
          </w:tcPr>
          <w:p w14:paraId="70079C9C" w14:textId="77777777" w:rsidR="0068142C" w:rsidRPr="003456F6" w:rsidRDefault="0068142C" w:rsidP="00EF6D4D">
            <w:pPr>
              <w:spacing w:after="160"/>
              <w:cnfStyle w:val="000000000000" w:firstRow="0" w:lastRow="0" w:firstColumn="0" w:lastColumn="0" w:oddVBand="0" w:evenVBand="0" w:oddHBand="0" w:evenHBand="0" w:firstRowFirstColumn="0" w:firstRowLastColumn="0" w:lastRowFirstColumn="0" w:lastRowLastColumn="0"/>
              <w:rPr>
                <w:lang w:val="en-US"/>
              </w:rPr>
            </w:pPr>
            <w:r w:rsidRPr="003456F6">
              <w:rPr>
                <w:lang w:val="en-US"/>
              </w:rPr>
              <w:t>Fair pay, social prescribing, preventive care</w:t>
            </w:r>
          </w:p>
        </w:tc>
      </w:tr>
      <w:tr w:rsidR="0068142C" w:rsidRPr="003456F6" w14:paraId="02B5DDE2" w14:textId="77777777" w:rsidTr="00EF6D4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1B6716" w14:textId="77777777" w:rsidR="0068142C" w:rsidRPr="003456F6" w:rsidRDefault="0068142C" w:rsidP="00EF6D4D">
            <w:pPr>
              <w:spacing w:after="160"/>
              <w:rPr>
                <w:lang w:val="en-US"/>
              </w:rPr>
            </w:pPr>
            <w:r w:rsidRPr="003456F6">
              <w:rPr>
                <w:lang w:val="en-US"/>
              </w:rPr>
              <w:t>Older age</w:t>
            </w:r>
          </w:p>
        </w:tc>
        <w:tc>
          <w:tcPr>
            <w:tcW w:w="0" w:type="auto"/>
            <w:hideMark/>
          </w:tcPr>
          <w:p w14:paraId="174E8D3D" w14:textId="77777777" w:rsidR="0068142C" w:rsidRPr="003456F6" w:rsidRDefault="0068142C" w:rsidP="00EF6D4D">
            <w:pPr>
              <w:spacing w:after="160"/>
              <w:cnfStyle w:val="000000100000" w:firstRow="0" w:lastRow="0" w:firstColumn="0" w:lastColumn="0" w:oddVBand="0" w:evenVBand="0" w:oddHBand="1" w:evenHBand="0" w:firstRowFirstColumn="0" w:firstRowLastColumn="0" w:lastRowFirstColumn="0" w:lastRowLastColumn="0"/>
              <w:rPr>
                <w:lang w:val="en-US"/>
              </w:rPr>
            </w:pPr>
            <w:r w:rsidRPr="003456F6">
              <w:rPr>
                <w:lang w:val="en-US"/>
              </w:rPr>
              <w:t>Isolation, bereavement, community support</w:t>
            </w:r>
          </w:p>
        </w:tc>
        <w:tc>
          <w:tcPr>
            <w:tcW w:w="0" w:type="auto"/>
            <w:hideMark/>
          </w:tcPr>
          <w:p w14:paraId="3B8D1342" w14:textId="77777777" w:rsidR="0068142C" w:rsidRPr="003456F6" w:rsidRDefault="0068142C" w:rsidP="00EF6D4D">
            <w:pPr>
              <w:spacing w:after="160"/>
              <w:cnfStyle w:val="000000100000" w:firstRow="0" w:lastRow="0" w:firstColumn="0" w:lastColumn="0" w:oddVBand="0" w:evenVBand="0" w:oddHBand="1" w:evenHBand="0" w:firstRowFirstColumn="0" w:firstRowLastColumn="0" w:lastRowFirstColumn="0" w:lastRowLastColumn="0"/>
              <w:rPr>
                <w:lang w:val="en-US"/>
              </w:rPr>
            </w:pPr>
            <w:r w:rsidRPr="003456F6">
              <w:rPr>
                <w:lang w:val="en-US"/>
              </w:rPr>
              <w:t>Pension security, care costs</w:t>
            </w:r>
          </w:p>
        </w:tc>
        <w:tc>
          <w:tcPr>
            <w:tcW w:w="0" w:type="auto"/>
            <w:hideMark/>
          </w:tcPr>
          <w:p w14:paraId="2E28AA5D" w14:textId="77777777" w:rsidR="0068142C" w:rsidRPr="003456F6" w:rsidRDefault="0068142C" w:rsidP="00EF6D4D">
            <w:pPr>
              <w:spacing w:after="160"/>
              <w:cnfStyle w:val="000000100000" w:firstRow="0" w:lastRow="0" w:firstColumn="0" w:lastColumn="0" w:oddVBand="0" w:evenVBand="0" w:oddHBand="1" w:evenHBand="0" w:firstRowFirstColumn="0" w:firstRowLastColumn="0" w:lastRowFirstColumn="0" w:lastRowLastColumn="0"/>
              <w:rPr>
                <w:lang w:val="en-US"/>
              </w:rPr>
            </w:pPr>
            <w:r w:rsidRPr="003456F6">
              <w:rPr>
                <w:lang w:val="en-US"/>
              </w:rPr>
              <w:t>Accessible housing, transport, pollution</w:t>
            </w:r>
          </w:p>
        </w:tc>
        <w:tc>
          <w:tcPr>
            <w:tcW w:w="0" w:type="auto"/>
            <w:hideMark/>
          </w:tcPr>
          <w:p w14:paraId="691C6E06" w14:textId="77777777" w:rsidR="0068142C" w:rsidRPr="003456F6" w:rsidRDefault="0068142C" w:rsidP="00EF6D4D">
            <w:pPr>
              <w:spacing w:after="160"/>
              <w:cnfStyle w:val="000000100000" w:firstRow="0" w:lastRow="0" w:firstColumn="0" w:lastColumn="0" w:oddVBand="0" w:evenVBand="0" w:oddHBand="1" w:evenHBand="0" w:firstRowFirstColumn="0" w:firstRowLastColumn="0" w:lastRowFirstColumn="0" w:lastRowLastColumn="0"/>
              <w:rPr>
                <w:lang w:val="en-US"/>
              </w:rPr>
            </w:pPr>
            <w:r w:rsidRPr="003456F6">
              <w:rPr>
                <w:lang w:val="en-US"/>
              </w:rPr>
              <w:t>Age-friendly services, community groups, clean-air policies</w:t>
            </w:r>
          </w:p>
        </w:tc>
      </w:tr>
    </w:tbl>
    <w:p w14:paraId="5AE0FD21" w14:textId="77777777" w:rsidR="00D160E0" w:rsidRDefault="00D160E0" w:rsidP="0068142C"/>
    <w:p w14:paraId="51F6B2E0" w14:textId="77777777" w:rsidR="00D160E0" w:rsidRDefault="00D160E0" w:rsidP="00FD662E">
      <w:pPr>
        <w:ind w:left="720" w:hanging="720"/>
      </w:pPr>
    </w:p>
    <w:p w14:paraId="74E48C96" w14:textId="5F9F8AE2" w:rsidR="00D160E0" w:rsidRDefault="00D160E0" w:rsidP="00D160E0">
      <w:pPr>
        <w:pStyle w:val="Heading1"/>
      </w:pPr>
      <w:r>
        <w:br w:type="column"/>
      </w:r>
      <w:bookmarkStart w:id="7" w:name="_Toc235543001"/>
      <w:r w:rsidR="0068142C">
        <w:lastRenderedPageBreak/>
        <w:t>References</w:t>
      </w:r>
      <w:bookmarkEnd w:id="7"/>
    </w:p>
    <w:p w14:paraId="686AD159" w14:textId="713803F1" w:rsidR="00D832A3" w:rsidRPr="009E696D" w:rsidRDefault="00D832A3" w:rsidP="0068142C">
      <w:pPr>
        <w:ind w:left="720" w:hanging="720"/>
        <w:rPr>
          <w:lang w:val="en-US"/>
        </w:rPr>
      </w:pPr>
      <w:r w:rsidRPr="009E696D">
        <w:rPr>
          <w:lang w:val="en-US"/>
        </w:rPr>
        <w:t>Anderson, M., Pitchforth, E., Edwards, N., Alderwick, H.,</w:t>
      </w:r>
      <w:r>
        <w:rPr>
          <w:lang w:val="en-US"/>
        </w:rPr>
        <w:t xml:space="preserve"> McGuire, A. and </w:t>
      </w:r>
      <w:proofErr w:type="spellStart"/>
      <w:r>
        <w:rPr>
          <w:lang w:val="en-US"/>
        </w:rPr>
        <w:t>Mossialos</w:t>
      </w:r>
      <w:proofErr w:type="spellEnd"/>
      <w:r>
        <w:rPr>
          <w:lang w:val="en-US"/>
        </w:rPr>
        <w:t>, E., 2022.</w:t>
      </w:r>
      <w:r w:rsidRPr="009E696D">
        <w:rPr>
          <w:lang w:val="en-US"/>
        </w:rPr>
        <w:t xml:space="preserve"> </w:t>
      </w:r>
      <w:r w:rsidRPr="00D832A3">
        <w:rPr>
          <w:i/>
          <w:iCs/>
          <w:lang w:val="en-US"/>
        </w:rPr>
        <w:t>United Kingdom: Health System Review</w:t>
      </w:r>
      <w:r w:rsidRPr="00D832A3">
        <w:rPr>
          <w:i/>
          <w:lang w:val="en-US"/>
        </w:rPr>
        <w:t>. Health Systems in Transition, 24(1). Copenhagen: World Health Organization Regional Office for Europe.</w:t>
      </w:r>
      <w:r w:rsidR="001610B1">
        <w:rPr>
          <w:i/>
          <w:lang w:val="en-US"/>
        </w:rPr>
        <w:t xml:space="preserve"> </w:t>
      </w:r>
      <w:r w:rsidR="001610B1" w:rsidRPr="001610B1">
        <w:rPr>
          <w:lang w:val="en-US"/>
        </w:rPr>
        <w:t>Available at:</w:t>
      </w:r>
      <w:r w:rsidR="001610B1">
        <w:rPr>
          <w:i/>
          <w:lang w:val="en-US"/>
        </w:rPr>
        <w:t xml:space="preserve">  </w:t>
      </w:r>
      <w:hyperlink r:id="rId9" w:history="1">
        <w:r w:rsidR="001610B1" w:rsidRPr="001610B1">
          <w:rPr>
            <w:rStyle w:val="Hyperlink"/>
            <w:lang w:val="en-US"/>
          </w:rPr>
          <w:t>https://pubmed.ncbi.nlm.nih.gov/35579557/</w:t>
        </w:r>
      </w:hyperlink>
      <w:r w:rsidR="001610B1">
        <w:rPr>
          <w:i/>
          <w:lang w:val="en-US"/>
        </w:rPr>
        <w:t xml:space="preserve"> </w:t>
      </w:r>
    </w:p>
    <w:p w14:paraId="64EE32D3" w14:textId="1907BE62" w:rsidR="00D832A3" w:rsidRPr="009E696D" w:rsidRDefault="00D832A3" w:rsidP="0068142C">
      <w:pPr>
        <w:ind w:left="720" w:hanging="720"/>
        <w:rPr>
          <w:lang w:val="en-US"/>
        </w:rPr>
      </w:pPr>
      <w:r w:rsidRPr="009E696D">
        <w:rPr>
          <w:lang w:val="en-US"/>
        </w:rPr>
        <w:t>Banca</w:t>
      </w:r>
      <w:r>
        <w:rPr>
          <w:lang w:val="en-US"/>
        </w:rPr>
        <w:t xml:space="preserve">lari, A. and Zaranko, B., 2024. </w:t>
      </w:r>
      <w:r w:rsidRPr="00D832A3">
        <w:rPr>
          <w:i/>
          <w:iCs/>
          <w:lang w:val="en-US"/>
        </w:rPr>
        <w:t>Adult Social Care in England: What Next?</w:t>
      </w:r>
      <w:r w:rsidRPr="00D832A3">
        <w:rPr>
          <w:i/>
          <w:lang w:val="en-US"/>
        </w:rPr>
        <w:t xml:space="preserve"> London: Institute for Fiscal Studies.</w:t>
      </w:r>
      <w:r w:rsidR="001610B1">
        <w:rPr>
          <w:i/>
          <w:lang w:val="en-US"/>
        </w:rPr>
        <w:t xml:space="preserve"> </w:t>
      </w:r>
      <w:r w:rsidR="001610B1" w:rsidRPr="001610B1">
        <w:rPr>
          <w:lang w:val="en-US"/>
        </w:rPr>
        <w:t>Available at:</w:t>
      </w:r>
      <w:r w:rsidR="001610B1">
        <w:rPr>
          <w:i/>
          <w:lang w:val="en-US"/>
        </w:rPr>
        <w:t xml:space="preserve"> </w:t>
      </w:r>
      <w:r w:rsidR="001610B1" w:rsidRPr="001610B1">
        <w:t xml:space="preserve"> </w:t>
      </w:r>
      <w:hyperlink r:id="rId10" w:history="1">
        <w:r w:rsidR="001610B1" w:rsidRPr="001610B1">
          <w:rPr>
            <w:rStyle w:val="Hyperlink"/>
            <w:lang w:val="en-US"/>
          </w:rPr>
          <w:t>https://ifs.org.uk/publications/adult-social-care-england-what-next</w:t>
        </w:r>
      </w:hyperlink>
      <w:r w:rsidR="001610B1">
        <w:rPr>
          <w:i/>
          <w:lang w:val="en-US"/>
        </w:rPr>
        <w:t xml:space="preserve"> </w:t>
      </w:r>
    </w:p>
    <w:p w14:paraId="2120AD49" w14:textId="2F8A4B84" w:rsidR="00D832A3" w:rsidRPr="009E696D" w:rsidRDefault="00D832A3" w:rsidP="0068142C">
      <w:pPr>
        <w:ind w:left="720" w:hanging="720"/>
        <w:rPr>
          <w:lang w:val="en-US"/>
        </w:rPr>
      </w:pPr>
      <w:r w:rsidRPr="009E696D">
        <w:rPr>
          <w:lang w:val="en-US"/>
        </w:rPr>
        <w:t>Baxter, J., Lam, J., Povey, J., L</w:t>
      </w:r>
      <w:r>
        <w:rPr>
          <w:lang w:val="en-US"/>
        </w:rPr>
        <w:t xml:space="preserve">ee, R. and Zubrick, S.R., 2022. </w:t>
      </w:r>
      <w:r w:rsidRPr="0068142C">
        <w:rPr>
          <w:i/>
          <w:lang w:val="en-US"/>
        </w:rPr>
        <w:t>‘Introduction’, in Baxter, J. et al.</w:t>
      </w:r>
      <w:r w:rsidRPr="009E696D">
        <w:rPr>
          <w:lang w:val="en-US"/>
        </w:rPr>
        <w:t xml:space="preserve"> (eds.) </w:t>
      </w:r>
      <w:r w:rsidRPr="009E696D">
        <w:rPr>
          <w:i/>
          <w:iCs/>
          <w:lang w:val="en-US"/>
        </w:rPr>
        <w:t>Family Dynamics Over the Life Course: Foundations, Turning Points and Outcomes</w:t>
      </w:r>
      <w:r w:rsidRPr="009E696D">
        <w:rPr>
          <w:lang w:val="en-US"/>
        </w:rPr>
        <w:t>. Cham: Springer, pp. 1–15.</w:t>
      </w:r>
      <w:r w:rsidR="001610B1">
        <w:rPr>
          <w:lang w:val="en-US"/>
        </w:rPr>
        <w:t xml:space="preserve"> Available at: </w:t>
      </w:r>
      <w:hyperlink r:id="rId11" w:history="1">
        <w:r w:rsidR="001610B1" w:rsidRPr="00175E0B">
          <w:rPr>
            <w:rStyle w:val="Hyperlink"/>
            <w:lang w:val="en-US"/>
          </w:rPr>
          <w:t>https://link.springer.com/book/10.1007/978-3-031-12224-8</w:t>
        </w:r>
      </w:hyperlink>
      <w:r w:rsidR="001610B1">
        <w:rPr>
          <w:lang w:val="en-US"/>
        </w:rPr>
        <w:t xml:space="preserve"> </w:t>
      </w:r>
    </w:p>
    <w:p w14:paraId="7DA47AD2" w14:textId="007A68EA" w:rsidR="00D832A3" w:rsidRPr="003A2A8A" w:rsidRDefault="00D832A3" w:rsidP="0068142C">
      <w:pPr>
        <w:ind w:left="720" w:hanging="720"/>
        <w:rPr>
          <w:lang w:val="en-US"/>
        </w:rPr>
      </w:pPr>
      <w:r w:rsidRPr="003A2A8A">
        <w:rPr>
          <w:lang w:val="en-US"/>
        </w:rPr>
        <w:t xml:space="preserve">Chen, X., Lau, </w:t>
      </w:r>
      <w:r>
        <w:rPr>
          <w:lang w:val="en-US"/>
        </w:rPr>
        <w:t>T.L., Hu, K. and Yuan, J., 2025</w:t>
      </w:r>
      <w:r w:rsidRPr="003A2A8A">
        <w:rPr>
          <w:lang w:val="en-US"/>
        </w:rPr>
        <w:t xml:space="preserve">. </w:t>
      </w:r>
      <w:r w:rsidRPr="0068142C">
        <w:rPr>
          <w:i/>
          <w:lang w:val="en-US"/>
        </w:rPr>
        <w:t xml:space="preserve">Cumulative effects of unemployment on health in midlife: The buffering effect of social participation. </w:t>
      </w:r>
      <w:r w:rsidRPr="0068142C">
        <w:rPr>
          <w:i/>
          <w:iCs/>
          <w:lang w:val="en-US"/>
        </w:rPr>
        <w:t>Frontiers in Public health</w:t>
      </w:r>
      <w:r w:rsidRPr="0068142C">
        <w:rPr>
          <w:i/>
          <w:lang w:val="en-US"/>
        </w:rPr>
        <w:t>,</w:t>
      </w:r>
      <w:r w:rsidRPr="003A2A8A">
        <w:rPr>
          <w:lang w:val="en-US"/>
        </w:rPr>
        <w:t xml:space="preserve"> [online] 13. doi:10.3389/fpubh.2025.1611358.</w:t>
      </w:r>
      <w:r w:rsidR="001610B1">
        <w:rPr>
          <w:lang w:val="en-US"/>
        </w:rPr>
        <w:t xml:space="preserve"> Available at: </w:t>
      </w:r>
      <w:hyperlink r:id="rId12" w:history="1">
        <w:r w:rsidR="001610B1" w:rsidRPr="00175E0B">
          <w:rPr>
            <w:rStyle w:val="Hyperlink"/>
            <w:lang w:val="en-US"/>
          </w:rPr>
          <w:t>https://www.frontiersin.org/journals/public-health/articles/10.3389/fpubh.2025.1611358/full</w:t>
        </w:r>
      </w:hyperlink>
      <w:r w:rsidR="001610B1">
        <w:rPr>
          <w:lang w:val="en-US"/>
        </w:rPr>
        <w:t xml:space="preserve"> </w:t>
      </w:r>
    </w:p>
    <w:p w14:paraId="2A08B810" w14:textId="461EA579" w:rsidR="00D832A3" w:rsidRPr="009E696D" w:rsidRDefault="00D832A3" w:rsidP="0068142C">
      <w:pPr>
        <w:ind w:left="720" w:hanging="720"/>
        <w:rPr>
          <w:lang w:val="en-US"/>
        </w:rPr>
      </w:pPr>
      <w:r w:rsidRPr="009E696D">
        <w:rPr>
          <w:lang w:val="en-US"/>
        </w:rPr>
        <w:t>Corney, K.B., West, E.C., Quirk, S.E., Pasco, J.A., Stuart, A.L., Manavi, B.A., Kavanagh</w:t>
      </w:r>
      <w:r>
        <w:rPr>
          <w:lang w:val="en-US"/>
        </w:rPr>
        <w:t>, B.E. and Williams, L.J., 2022.</w:t>
      </w:r>
      <w:r w:rsidRPr="009E696D">
        <w:rPr>
          <w:lang w:val="en-US"/>
        </w:rPr>
        <w:t xml:space="preserve"> ‘</w:t>
      </w:r>
      <w:r w:rsidRPr="0068142C">
        <w:rPr>
          <w:i/>
          <w:lang w:val="en-US"/>
        </w:rPr>
        <w:t>The relationship between adverse childhood experiences and Alzheimer’s disease: a systematic review’</w:t>
      </w:r>
      <w:r w:rsidRPr="009E696D">
        <w:rPr>
          <w:lang w:val="en-US"/>
        </w:rPr>
        <w:t xml:space="preserve">, </w:t>
      </w:r>
      <w:r w:rsidRPr="009E696D">
        <w:rPr>
          <w:i/>
          <w:iCs/>
          <w:lang w:val="en-US"/>
        </w:rPr>
        <w:t xml:space="preserve">Frontiers in </w:t>
      </w:r>
      <w:r>
        <w:rPr>
          <w:i/>
          <w:iCs/>
          <w:lang w:val="en-US"/>
        </w:rPr>
        <w:t>Ageing</w:t>
      </w:r>
      <w:r w:rsidRPr="009E696D">
        <w:rPr>
          <w:i/>
          <w:iCs/>
          <w:lang w:val="en-US"/>
        </w:rPr>
        <w:t xml:space="preserve"> Neuroscience</w:t>
      </w:r>
      <w:r w:rsidRPr="009E696D">
        <w:rPr>
          <w:lang w:val="en-US"/>
        </w:rPr>
        <w:t>, 14, 831378.</w:t>
      </w:r>
      <w:r w:rsidR="001610B1">
        <w:rPr>
          <w:lang w:val="en-US"/>
        </w:rPr>
        <w:t xml:space="preserve"> Available at: </w:t>
      </w:r>
      <w:hyperlink r:id="rId13" w:history="1">
        <w:r w:rsidR="001610B1" w:rsidRPr="00175E0B">
          <w:rPr>
            <w:rStyle w:val="Hyperlink"/>
            <w:lang w:val="en-US"/>
          </w:rPr>
          <w:t>https://pmc.ncbi.nlm.nih.gov/articles/PMC9115103/</w:t>
        </w:r>
      </w:hyperlink>
      <w:r w:rsidR="001610B1">
        <w:rPr>
          <w:lang w:val="en-US"/>
        </w:rPr>
        <w:t xml:space="preserve"> </w:t>
      </w:r>
    </w:p>
    <w:p w14:paraId="2B89F556" w14:textId="08C849CE" w:rsidR="00D832A3" w:rsidRDefault="00D832A3" w:rsidP="0068142C">
      <w:pPr>
        <w:ind w:left="720" w:hanging="720"/>
      </w:pPr>
      <w:r w:rsidRPr="009E696D">
        <w:t>Giddens, A. and Sutton, P.W., 202</w:t>
      </w:r>
      <w:r>
        <w:t>1</w:t>
      </w:r>
      <w:r w:rsidRPr="009E696D">
        <w:t>. </w:t>
      </w:r>
      <w:r w:rsidRPr="009E696D">
        <w:rPr>
          <w:i/>
          <w:iCs/>
        </w:rPr>
        <w:t>Essential concepts in sociology</w:t>
      </w:r>
      <w:r w:rsidRPr="009E696D">
        <w:t xml:space="preserve">. </w:t>
      </w:r>
      <w:r w:rsidRPr="00D832A3">
        <w:rPr>
          <w:i/>
        </w:rPr>
        <w:t>John Wiley and Sons.</w:t>
      </w:r>
      <w:r w:rsidR="001610B1">
        <w:rPr>
          <w:i/>
        </w:rPr>
        <w:t xml:space="preserve"> </w:t>
      </w:r>
      <w:r w:rsidR="001610B1" w:rsidRPr="001610B1">
        <w:t xml:space="preserve">Available at: </w:t>
      </w:r>
      <w:hyperlink r:id="rId14" w:history="1">
        <w:r w:rsidR="001610B1" w:rsidRPr="001610B1">
          <w:rPr>
            <w:rStyle w:val="Hyperlink"/>
          </w:rPr>
          <w:t>https://www.wiley.com/en-us/essential-concepts-in-sociology-4th-edition-p-9781509574179</w:t>
        </w:r>
      </w:hyperlink>
      <w:r w:rsidR="001610B1">
        <w:rPr>
          <w:i/>
        </w:rPr>
        <w:t xml:space="preserve"> </w:t>
      </w:r>
    </w:p>
    <w:p w14:paraId="6695AE92" w14:textId="60B6D6F0" w:rsidR="00D832A3" w:rsidRPr="00824E28" w:rsidRDefault="00D832A3" w:rsidP="0068142C">
      <w:pPr>
        <w:ind w:left="720" w:hanging="720"/>
        <w:rPr>
          <w:lang w:val="en-US"/>
        </w:rPr>
      </w:pPr>
      <w:r w:rsidRPr="00824E28">
        <w:rPr>
          <w:lang w:val="en-US"/>
        </w:rPr>
        <w:t xml:space="preserve">Goldstein, E., Chokshi, B., Melendez-Torres, G., Rios, A., Jelley, </w:t>
      </w:r>
      <w:r>
        <w:rPr>
          <w:lang w:val="en-US"/>
        </w:rPr>
        <w:t>M. and Lewis-O’Connor, A., 2024</w:t>
      </w:r>
      <w:r w:rsidRPr="00824E28">
        <w:rPr>
          <w:lang w:val="en-US"/>
        </w:rPr>
        <w:t xml:space="preserve">. </w:t>
      </w:r>
      <w:r w:rsidRPr="0068142C">
        <w:rPr>
          <w:i/>
          <w:lang w:val="en-US"/>
        </w:rPr>
        <w:t>Effectiveness of Trauma-Informed Care Implementation in Health Care Settings: Systematic Review of Reviews and Realist Synthesis</w:t>
      </w:r>
      <w:r w:rsidRPr="00824E28">
        <w:rPr>
          <w:lang w:val="en-US"/>
        </w:rPr>
        <w:t xml:space="preserve">. </w:t>
      </w:r>
      <w:r w:rsidRPr="00D832A3">
        <w:rPr>
          <w:i/>
          <w:lang w:val="en-US"/>
        </w:rPr>
        <w:t xml:space="preserve">The Permanente Journal, </w:t>
      </w:r>
      <w:r w:rsidRPr="00824E28">
        <w:rPr>
          <w:lang w:val="en-US"/>
        </w:rPr>
        <w:t>[online] 2</w:t>
      </w:r>
      <w:r>
        <w:rPr>
          <w:lang w:val="en-US"/>
        </w:rPr>
        <w:t>8(1), pp.135–150.</w:t>
      </w:r>
      <w:r w:rsidR="001610B1">
        <w:rPr>
          <w:lang w:val="en-US"/>
        </w:rPr>
        <w:t xml:space="preserve"> Available at: </w:t>
      </w:r>
      <w:hyperlink r:id="rId15" w:history="1">
        <w:r w:rsidR="001610B1" w:rsidRPr="00175E0B">
          <w:rPr>
            <w:rStyle w:val="Hyperlink"/>
            <w:lang w:val="en-US"/>
          </w:rPr>
          <w:t>https://pubmed.ncbi.nlm.nih.gov/38444328/</w:t>
        </w:r>
      </w:hyperlink>
      <w:r w:rsidR="001610B1">
        <w:rPr>
          <w:lang w:val="en-US"/>
        </w:rPr>
        <w:t xml:space="preserve"> </w:t>
      </w:r>
    </w:p>
    <w:p w14:paraId="1756F813" w14:textId="77777777" w:rsidR="00D832A3" w:rsidRPr="00D273A2" w:rsidRDefault="00D832A3" w:rsidP="0068142C">
      <w:pPr>
        <w:ind w:left="720" w:hanging="720"/>
        <w:rPr>
          <w:lang w:val="en-US"/>
        </w:rPr>
      </w:pPr>
      <w:r>
        <w:rPr>
          <w:lang w:val="en-US"/>
        </w:rPr>
        <w:lastRenderedPageBreak/>
        <w:t>GOV.WALES., 2020</w:t>
      </w:r>
      <w:r w:rsidRPr="00D273A2">
        <w:rPr>
          <w:lang w:val="en-US"/>
        </w:rPr>
        <w:t>. </w:t>
      </w:r>
      <w:r w:rsidRPr="00D273A2">
        <w:rPr>
          <w:i/>
          <w:iCs/>
          <w:lang w:val="en-US"/>
        </w:rPr>
        <w:t>Well-being of Future Generations (Wales) Act 2015: guidance | GOV.WALES</w:t>
      </w:r>
      <w:r w:rsidRPr="00D273A2">
        <w:rPr>
          <w:lang w:val="en-US"/>
        </w:rPr>
        <w:t xml:space="preserve">. [online] Available at: </w:t>
      </w:r>
      <w:hyperlink r:id="rId16" w:history="1">
        <w:r w:rsidRPr="008674D4">
          <w:rPr>
            <w:rStyle w:val="Hyperlink"/>
            <w:lang w:val="en-US"/>
          </w:rPr>
          <w:t>https://www.gov.wales/well-being-future-generations-wales-act-2015-guidance</w:t>
        </w:r>
      </w:hyperlink>
      <w:r>
        <w:rPr>
          <w:lang w:val="en-US"/>
        </w:rPr>
        <w:t xml:space="preserve"> </w:t>
      </w:r>
    </w:p>
    <w:p w14:paraId="7E77ACFE" w14:textId="6943A917" w:rsidR="00D832A3" w:rsidRPr="00824E28" w:rsidRDefault="00D832A3" w:rsidP="0068142C">
      <w:pPr>
        <w:ind w:left="720" w:hanging="720"/>
        <w:rPr>
          <w:lang w:val="en-US"/>
        </w:rPr>
      </w:pPr>
      <w:r w:rsidRPr="00824E28">
        <w:rPr>
          <w:lang w:val="en-US"/>
        </w:rPr>
        <w:t xml:space="preserve">Houweling, </w:t>
      </w:r>
      <w:r>
        <w:rPr>
          <w:lang w:val="en-US"/>
        </w:rPr>
        <w:t>T.A.J. and Grünberger, I., 2024</w:t>
      </w:r>
      <w:r w:rsidRPr="00824E28">
        <w:rPr>
          <w:lang w:val="en-US"/>
        </w:rPr>
        <w:t xml:space="preserve">. </w:t>
      </w:r>
      <w:r w:rsidRPr="0068142C">
        <w:rPr>
          <w:i/>
          <w:lang w:val="en-US"/>
        </w:rPr>
        <w:t xml:space="preserve">Intergenerational transmission of health inequalities: towards a life course approach to socioeconomic inequalities in health – a review. </w:t>
      </w:r>
      <w:r w:rsidRPr="00D832A3">
        <w:rPr>
          <w:i/>
          <w:lang w:val="en-US"/>
        </w:rPr>
        <w:t xml:space="preserve">Journal of Epidemiology and Community Health, </w:t>
      </w:r>
      <w:r w:rsidRPr="00824E28">
        <w:rPr>
          <w:lang w:val="en-US"/>
        </w:rPr>
        <w:t xml:space="preserve">[online] 78(10), pp.641–649. </w:t>
      </w:r>
      <w:r w:rsidR="001610B1">
        <w:rPr>
          <w:lang w:val="en-US"/>
        </w:rPr>
        <w:t xml:space="preserve">Available at: </w:t>
      </w:r>
      <w:hyperlink r:id="rId17" w:history="1">
        <w:r w:rsidR="001610B1" w:rsidRPr="00175E0B">
          <w:rPr>
            <w:rStyle w:val="Hyperlink"/>
            <w:lang w:val="en-US"/>
          </w:rPr>
          <w:t>https://pubmed.ncbi.nlm.nih.gov/38955463/</w:t>
        </w:r>
      </w:hyperlink>
      <w:r w:rsidR="001610B1">
        <w:rPr>
          <w:lang w:val="en-US"/>
        </w:rPr>
        <w:t xml:space="preserve"> </w:t>
      </w:r>
    </w:p>
    <w:p w14:paraId="50348009" w14:textId="3046B1A4" w:rsidR="00D832A3" w:rsidRDefault="00D832A3" w:rsidP="0068142C">
      <w:pPr>
        <w:ind w:left="720" w:hanging="720"/>
      </w:pPr>
      <w:r w:rsidRPr="009E696D">
        <w:t>Huang, Z., Jo</w:t>
      </w:r>
      <w:r>
        <w:t xml:space="preserve">rdan, J.D. and Zhang, Q., 2023. </w:t>
      </w:r>
      <w:r w:rsidRPr="0068142C">
        <w:rPr>
          <w:i/>
        </w:rPr>
        <w:t xml:space="preserve">‘Early life adversity as a risk factor for cognitive impairment and Alzheimer’s disease’, </w:t>
      </w:r>
      <w:r w:rsidRPr="009E696D">
        <w:rPr>
          <w:i/>
          <w:iCs/>
        </w:rPr>
        <w:t>Translational Neurodegeneration</w:t>
      </w:r>
      <w:r w:rsidR="001610B1">
        <w:t xml:space="preserve">, 12(25). Available at: </w:t>
      </w:r>
      <w:hyperlink r:id="rId18" w:history="1">
        <w:r w:rsidR="001610B1" w:rsidRPr="00175E0B">
          <w:rPr>
            <w:rStyle w:val="Hyperlink"/>
          </w:rPr>
          <w:t>https://pubmed.ncbi.nlm.nih.gov/37173751/</w:t>
        </w:r>
      </w:hyperlink>
      <w:r w:rsidR="001610B1">
        <w:t xml:space="preserve"> </w:t>
      </w:r>
    </w:p>
    <w:p w14:paraId="0920CB8A" w14:textId="63BF3F93" w:rsidR="00D832A3" w:rsidRPr="003A2A8A" w:rsidRDefault="00D832A3" w:rsidP="0068142C">
      <w:pPr>
        <w:ind w:left="720" w:hanging="720"/>
        <w:rPr>
          <w:lang w:val="en-US"/>
        </w:rPr>
      </w:pPr>
      <w:r w:rsidRPr="003A2A8A">
        <w:rPr>
          <w:lang w:val="en-US"/>
        </w:rPr>
        <w:t xml:space="preserve">Kvart, S., </w:t>
      </w:r>
      <w:proofErr w:type="spellStart"/>
      <w:r w:rsidRPr="003A2A8A">
        <w:rPr>
          <w:lang w:val="en-US"/>
        </w:rPr>
        <w:t>Mangot</w:t>
      </w:r>
      <w:proofErr w:type="spellEnd"/>
      <w:r w:rsidRPr="003A2A8A">
        <w:rPr>
          <w:lang w:val="en-US"/>
        </w:rPr>
        <w:t xml:space="preserve">-Sala, L., Aronsson, A., Badarin, K., Bosmans, K., Gunn, V., Johansson, G., </w:t>
      </w:r>
      <w:proofErr w:type="spellStart"/>
      <w:r w:rsidRPr="003A2A8A">
        <w:rPr>
          <w:lang w:val="en-US"/>
        </w:rPr>
        <w:t>Julià</w:t>
      </w:r>
      <w:proofErr w:type="spellEnd"/>
      <w:r w:rsidRPr="003A2A8A">
        <w:rPr>
          <w:lang w:val="en-US"/>
        </w:rPr>
        <w:t xml:space="preserve">, M., </w:t>
      </w:r>
      <w:proofErr w:type="spellStart"/>
      <w:r w:rsidRPr="003A2A8A">
        <w:rPr>
          <w:lang w:val="en-US"/>
        </w:rPr>
        <w:t>Kreshpaj</w:t>
      </w:r>
      <w:proofErr w:type="spellEnd"/>
      <w:r w:rsidRPr="003A2A8A">
        <w:rPr>
          <w:lang w:val="en-US"/>
        </w:rPr>
        <w:t xml:space="preserve">, B., Matilla-Santander, N., Mendez-Rivero, F., Thern, E., Östergren, P.-O. and Bodin, T. (2026). </w:t>
      </w:r>
      <w:r w:rsidRPr="0068142C">
        <w:rPr>
          <w:i/>
          <w:lang w:val="en-US"/>
        </w:rPr>
        <w:t>Precarious employment and mental health: The moderating role of household income and family type in Sweden</w:t>
      </w:r>
      <w:r w:rsidRPr="003A2A8A">
        <w:rPr>
          <w:lang w:val="en-US"/>
        </w:rPr>
        <w:t xml:space="preserve">. </w:t>
      </w:r>
      <w:r w:rsidRPr="003A2A8A">
        <w:rPr>
          <w:i/>
          <w:iCs/>
          <w:lang w:val="en-US"/>
        </w:rPr>
        <w:t>BMC public health</w:t>
      </w:r>
      <w:r w:rsidRPr="003A2A8A">
        <w:rPr>
          <w:lang w:val="en-US"/>
        </w:rPr>
        <w:t>, [online] 26(1).</w:t>
      </w:r>
      <w:r w:rsidR="001610B1">
        <w:rPr>
          <w:lang w:val="en-US"/>
        </w:rPr>
        <w:t xml:space="preserve"> Available at: </w:t>
      </w:r>
      <w:hyperlink r:id="rId19" w:history="1">
        <w:r w:rsidR="001610B1" w:rsidRPr="00175E0B">
          <w:rPr>
            <w:rStyle w:val="Hyperlink"/>
            <w:lang w:val="en-US"/>
          </w:rPr>
          <w:t>https://link.springer.com/article/10.1186/s12889-026-26259-x</w:t>
        </w:r>
      </w:hyperlink>
      <w:r w:rsidR="001610B1">
        <w:rPr>
          <w:lang w:val="en-US"/>
        </w:rPr>
        <w:t xml:space="preserve"> </w:t>
      </w:r>
    </w:p>
    <w:p w14:paraId="4A2D20AF" w14:textId="4F0BB5CE" w:rsidR="00D832A3" w:rsidRDefault="00D832A3" w:rsidP="0068142C">
      <w:pPr>
        <w:ind w:left="720" w:hanging="720"/>
      </w:pPr>
      <w:r w:rsidRPr="009E696D">
        <w:t xml:space="preserve">Livingston, G., Huntley, J., Liu, K.Y., </w:t>
      </w:r>
      <w:proofErr w:type="spellStart"/>
      <w:r w:rsidRPr="009E696D">
        <w:t>Costafreda</w:t>
      </w:r>
      <w:proofErr w:type="spellEnd"/>
      <w:r w:rsidRPr="009E696D">
        <w:t xml:space="preserve">, S.G., </w:t>
      </w:r>
      <w:proofErr w:type="spellStart"/>
      <w:r w:rsidRPr="009E696D">
        <w:t>Selbæk</w:t>
      </w:r>
      <w:proofErr w:type="spellEnd"/>
      <w:r w:rsidRPr="009E696D">
        <w:t xml:space="preserve">, G., Alladi, S., Ames, D., Banerjee, S., Burns, A., </w:t>
      </w:r>
      <w:proofErr w:type="spellStart"/>
      <w:r w:rsidRPr="009E696D">
        <w:t>Brayne</w:t>
      </w:r>
      <w:proofErr w:type="spellEnd"/>
      <w:r w:rsidRPr="009E696D">
        <w:t xml:space="preserve">, C. and Fox, N.C., 2024. </w:t>
      </w:r>
      <w:r w:rsidRPr="0068142C">
        <w:rPr>
          <w:i/>
        </w:rPr>
        <w:t>Dementia prevention, intervention, and care: 2024 report of the Lancet standing Commission</w:t>
      </w:r>
      <w:r w:rsidRPr="009E696D">
        <w:t>. </w:t>
      </w:r>
      <w:r w:rsidRPr="009E696D">
        <w:rPr>
          <w:i/>
          <w:iCs/>
        </w:rPr>
        <w:t>The lancet</w:t>
      </w:r>
      <w:r w:rsidRPr="009E696D">
        <w:t>, </w:t>
      </w:r>
      <w:r w:rsidRPr="009E696D">
        <w:rPr>
          <w:i/>
          <w:iCs/>
        </w:rPr>
        <w:t>404</w:t>
      </w:r>
      <w:r w:rsidRPr="009E696D">
        <w:t>(10452), pp.572-628.</w:t>
      </w:r>
      <w:r w:rsidR="001610B1">
        <w:t xml:space="preserve"> Available at: </w:t>
      </w:r>
      <w:hyperlink r:id="rId20" w:history="1">
        <w:r w:rsidR="001610B1" w:rsidRPr="00175E0B">
          <w:rPr>
            <w:rStyle w:val="Hyperlink"/>
          </w:rPr>
          <w:t>https://pubmed.ncbi.nlm.nih.gov/39096926/</w:t>
        </w:r>
      </w:hyperlink>
      <w:r w:rsidR="001610B1">
        <w:t xml:space="preserve"> </w:t>
      </w:r>
    </w:p>
    <w:p w14:paraId="404BB237" w14:textId="29635D11" w:rsidR="00D832A3" w:rsidRPr="003A2A8A" w:rsidRDefault="00D832A3" w:rsidP="0068142C">
      <w:pPr>
        <w:ind w:left="720" w:hanging="720"/>
        <w:rPr>
          <w:lang w:val="en-US"/>
        </w:rPr>
      </w:pPr>
      <w:r w:rsidRPr="003A2A8A">
        <w:rPr>
          <w:lang w:val="en-US"/>
        </w:rPr>
        <w:t>Lloyd, N.</w:t>
      </w:r>
      <w:r>
        <w:rPr>
          <w:lang w:val="en-US"/>
        </w:rPr>
        <w:t>, Hyett, N. and Kenny, A., 2023</w:t>
      </w:r>
      <w:r w:rsidRPr="003A2A8A">
        <w:rPr>
          <w:lang w:val="en-US"/>
        </w:rPr>
        <w:t xml:space="preserve">. </w:t>
      </w:r>
      <w:r w:rsidRPr="0068142C">
        <w:rPr>
          <w:i/>
          <w:lang w:val="en-US"/>
        </w:rPr>
        <w:t>Barriers and enablers to evaluating outcomes from Public involvement in Health service design: An interpretive description.</w:t>
      </w:r>
      <w:r w:rsidRPr="003A2A8A">
        <w:rPr>
          <w:lang w:val="en-US"/>
        </w:rPr>
        <w:t xml:space="preserve"> </w:t>
      </w:r>
      <w:r w:rsidRPr="003A2A8A">
        <w:rPr>
          <w:i/>
          <w:iCs/>
          <w:lang w:val="en-US"/>
        </w:rPr>
        <w:t>Qualitative health research</w:t>
      </w:r>
      <w:r w:rsidR="001610B1">
        <w:rPr>
          <w:lang w:val="en-US"/>
        </w:rPr>
        <w:t xml:space="preserve">, 33(11), pp.983–994. Available at: </w:t>
      </w:r>
      <w:hyperlink r:id="rId21" w:history="1">
        <w:r w:rsidR="001610B1" w:rsidRPr="00175E0B">
          <w:rPr>
            <w:rStyle w:val="Hyperlink"/>
            <w:lang w:val="en-US"/>
          </w:rPr>
          <w:t>https://journals.sagepub.com/doi/10.1177/10497323231191048</w:t>
        </w:r>
      </w:hyperlink>
      <w:r w:rsidR="001610B1">
        <w:rPr>
          <w:lang w:val="en-US"/>
        </w:rPr>
        <w:t xml:space="preserve"> </w:t>
      </w:r>
    </w:p>
    <w:p w14:paraId="3300BD40" w14:textId="3E817CA7" w:rsidR="00D832A3" w:rsidRPr="003A2A8A" w:rsidRDefault="00D832A3" w:rsidP="0068142C">
      <w:pPr>
        <w:ind w:left="720" w:hanging="720"/>
        <w:rPr>
          <w:lang w:val="en-US"/>
        </w:rPr>
      </w:pPr>
      <w:r w:rsidRPr="003A2A8A">
        <w:rPr>
          <w:lang w:val="en-US"/>
        </w:rPr>
        <w:t>Maria Rosa Gatto, Mansour, A., Li, A. and Bentley, R</w:t>
      </w:r>
      <w:r>
        <w:rPr>
          <w:lang w:val="en-US"/>
        </w:rPr>
        <w:t>., 2024</w:t>
      </w:r>
      <w:r w:rsidRPr="003A2A8A">
        <w:rPr>
          <w:lang w:val="en-US"/>
        </w:rPr>
        <w:t xml:space="preserve">. </w:t>
      </w:r>
      <w:r w:rsidRPr="0068142C">
        <w:rPr>
          <w:i/>
          <w:lang w:val="en-US"/>
        </w:rPr>
        <w:t>A State-of-the-Science review of the effect of Damp- and Mold-Affected housing on mental health.</w:t>
      </w:r>
      <w:r w:rsidRPr="003A2A8A">
        <w:rPr>
          <w:lang w:val="en-US"/>
        </w:rPr>
        <w:t xml:space="preserve"> </w:t>
      </w:r>
      <w:r w:rsidRPr="003A2A8A">
        <w:rPr>
          <w:i/>
          <w:iCs/>
          <w:lang w:val="en-US"/>
        </w:rPr>
        <w:t>PubMed</w:t>
      </w:r>
      <w:r w:rsidRPr="003A2A8A">
        <w:rPr>
          <w:lang w:val="en-US"/>
        </w:rPr>
        <w:t xml:space="preserve">, 132(8), pp.86001–86001. </w:t>
      </w:r>
      <w:r w:rsidR="001610B1">
        <w:rPr>
          <w:lang w:val="en-US"/>
        </w:rPr>
        <w:t xml:space="preserve">Available at: </w:t>
      </w:r>
      <w:hyperlink r:id="rId22" w:history="1">
        <w:r w:rsidR="001610B1" w:rsidRPr="00175E0B">
          <w:rPr>
            <w:rStyle w:val="Hyperlink"/>
            <w:lang w:val="en-US"/>
          </w:rPr>
          <w:t>https://pubmed.ncbi.nlm.nih.gov/39162373/</w:t>
        </w:r>
      </w:hyperlink>
      <w:r w:rsidR="001610B1">
        <w:rPr>
          <w:lang w:val="en-US"/>
        </w:rPr>
        <w:t xml:space="preserve"> </w:t>
      </w:r>
    </w:p>
    <w:p w14:paraId="3E690EDA" w14:textId="34DF3A83" w:rsidR="00D832A3" w:rsidRPr="000F1E9F" w:rsidRDefault="00D832A3" w:rsidP="0068142C">
      <w:pPr>
        <w:ind w:left="720" w:hanging="720"/>
        <w:rPr>
          <w:lang w:val="en-US"/>
        </w:rPr>
      </w:pPr>
      <w:r w:rsidRPr="00D273A2">
        <w:rPr>
          <w:lang w:val="en-US"/>
        </w:rPr>
        <w:lastRenderedPageBreak/>
        <w:t>‌</w:t>
      </w:r>
      <w:r>
        <w:rPr>
          <w:lang w:val="en-US"/>
        </w:rPr>
        <w:t>Marshall, L., 2024</w:t>
      </w:r>
      <w:r w:rsidRPr="000F1E9F">
        <w:rPr>
          <w:lang w:val="en-US"/>
        </w:rPr>
        <w:t xml:space="preserve">. </w:t>
      </w:r>
      <w:r w:rsidRPr="0068142C">
        <w:rPr>
          <w:i/>
          <w:lang w:val="en-US"/>
        </w:rPr>
        <w:t xml:space="preserve">What builds good health? An introduction to the building blocks of health. </w:t>
      </w:r>
      <w:r w:rsidRPr="000F1E9F">
        <w:rPr>
          <w:lang w:val="en-US"/>
        </w:rPr>
        <w:t xml:space="preserve">[online] </w:t>
      </w:r>
      <w:r w:rsidR="001610B1">
        <w:rPr>
          <w:lang w:val="en-US"/>
        </w:rPr>
        <w:t xml:space="preserve">Available at: </w:t>
      </w:r>
      <w:hyperlink r:id="rId23" w:history="1">
        <w:r w:rsidR="001610B1" w:rsidRPr="00175E0B">
          <w:rPr>
            <w:rStyle w:val="Hyperlink"/>
            <w:lang w:val="en-US"/>
          </w:rPr>
          <w:t>https://www.health.org.uk/resources-and-toolkits/quick-guides/what-builds-good-health</w:t>
        </w:r>
      </w:hyperlink>
      <w:r w:rsidR="001610B1">
        <w:rPr>
          <w:lang w:val="en-US"/>
        </w:rPr>
        <w:t xml:space="preserve"> </w:t>
      </w:r>
    </w:p>
    <w:p w14:paraId="5F6B896D" w14:textId="7BF672BE" w:rsidR="00D832A3" w:rsidRPr="003A2A8A" w:rsidRDefault="00D832A3" w:rsidP="0068142C">
      <w:pPr>
        <w:ind w:left="720" w:hanging="720"/>
        <w:rPr>
          <w:lang w:val="en-US"/>
        </w:rPr>
      </w:pPr>
      <w:r w:rsidRPr="003A2A8A">
        <w:rPr>
          <w:lang w:val="en-US"/>
        </w:rPr>
        <w:t>Moran, K.M., Turiano</w:t>
      </w:r>
      <w:r>
        <w:rPr>
          <w:lang w:val="en-US"/>
        </w:rPr>
        <w:t>, N.A. and Gentzler, A.L., 2018</w:t>
      </w:r>
      <w:r w:rsidRPr="003A2A8A">
        <w:rPr>
          <w:lang w:val="en-US"/>
        </w:rPr>
        <w:t xml:space="preserve">. </w:t>
      </w:r>
      <w:r w:rsidRPr="0068142C">
        <w:rPr>
          <w:i/>
          <w:lang w:val="en-US"/>
        </w:rPr>
        <w:t>Parental warmth during childhood predicts coping and well-being in adulthood.</w:t>
      </w:r>
      <w:r w:rsidRPr="003A2A8A">
        <w:rPr>
          <w:lang w:val="en-US"/>
        </w:rPr>
        <w:t xml:space="preserve"> </w:t>
      </w:r>
      <w:r w:rsidRPr="003A2A8A">
        <w:rPr>
          <w:i/>
          <w:iCs/>
          <w:lang w:val="en-US"/>
        </w:rPr>
        <w:t>Journal of Family psychology</w:t>
      </w:r>
      <w:r w:rsidRPr="003A2A8A">
        <w:rPr>
          <w:lang w:val="en-US"/>
        </w:rPr>
        <w:t xml:space="preserve">, [online] 32(5), pp.610–621. </w:t>
      </w:r>
      <w:r w:rsidR="001610B1">
        <w:rPr>
          <w:lang w:val="en-US"/>
        </w:rPr>
        <w:t xml:space="preserve">Available at: </w:t>
      </w:r>
      <w:hyperlink r:id="rId24" w:history="1">
        <w:r w:rsidR="001610B1" w:rsidRPr="00175E0B">
          <w:rPr>
            <w:rStyle w:val="Hyperlink"/>
            <w:lang w:val="en-US"/>
          </w:rPr>
          <w:t>https://pmc.ncbi.nlm.nih.gov/articles/PMC6072567/</w:t>
        </w:r>
      </w:hyperlink>
      <w:r w:rsidR="001610B1">
        <w:rPr>
          <w:lang w:val="en-US"/>
        </w:rPr>
        <w:t xml:space="preserve"> </w:t>
      </w:r>
    </w:p>
    <w:p w14:paraId="3B83F855" w14:textId="7038DDE0" w:rsidR="00D832A3" w:rsidRPr="003A2A8A" w:rsidRDefault="00D832A3" w:rsidP="0068142C">
      <w:pPr>
        <w:ind w:left="720" w:hanging="720"/>
        <w:rPr>
          <w:lang w:val="en-US"/>
        </w:rPr>
      </w:pPr>
      <w:r w:rsidRPr="003A2A8A">
        <w:rPr>
          <w:lang w:val="en-US"/>
        </w:rPr>
        <w:t xml:space="preserve">Morton, S., Curran, </w:t>
      </w:r>
      <w:r>
        <w:rPr>
          <w:lang w:val="en-US"/>
        </w:rPr>
        <w:t>M. and Barry O’Gorman, M., 2022</w:t>
      </w:r>
      <w:r w:rsidRPr="003A2A8A">
        <w:rPr>
          <w:lang w:val="en-US"/>
        </w:rPr>
        <w:t xml:space="preserve">. </w:t>
      </w:r>
      <w:r w:rsidRPr="0068142C">
        <w:rPr>
          <w:i/>
          <w:lang w:val="en-US"/>
        </w:rPr>
        <w:t>Adverse childhood experiences, domestic violence and substance misuse: An action research study on routine enquiry and practice responses.</w:t>
      </w:r>
      <w:r w:rsidRPr="003A2A8A">
        <w:rPr>
          <w:lang w:val="en-US"/>
        </w:rPr>
        <w:t xml:space="preserve"> </w:t>
      </w:r>
      <w:r w:rsidRPr="003A2A8A">
        <w:rPr>
          <w:i/>
          <w:iCs/>
          <w:lang w:val="en-US"/>
        </w:rPr>
        <w:t>Frontiers in Psychiatry</w:t>
      </w:r>
      <w:r w:rsidRPr="003A2A8A">
        <w:rPr>
          <w:lang w:val="en-US"/>
        </w:rPr>
        <w:t xml:space="preserve">, [online] </w:t>
      </w:r>
      <w:r w:rsidR="00477334">
        <w:rPr>
          <w:lang w:val="en-US"/>
        </w:rPr>
        <w:t xml:space="preserve">Available at: </w:t>
      </w:r>
      <w:hyperlink r:id="rId25" w:history="1">
        <w:r w:rsidR="00477334" w:rsidRPr="00175E0B">
          <w:rPr>
            <w:rStyle w:val="Hyperlink"/>
            <w:lang w:val="en-US"/>
          </w:rPr>
          <w:t>https://www.frontiersin.org/journals/psychiatry/articles/10.3389/fpsyt.2022.892849/full</w:t>
        </w:r>
      </w:hyperlink>
      <w:r w:rsidR="00477334">
        <w:rPr>
          <w:lang w:val="en-US"/>
        </w:rPr>
        <w:t xml:space="preserve"> </w:t>
      </w:r>
    </w:p>
    <w:p w14:paraId="50DAB7A2" w14:textId="77777777" w:rsidR="00D832A3" w:rsidRPr="00FD662E" w:rsidRDefault="00D832A3" w:rsidP="0068142C">
      <w:pPr>
        <w:ind w:left="720" w:hanging="720"/>
        <w:rPr>
          <w:lang w:val="en-US"/>
        </w:rPr>
      </w:pPr>
      <w:r>
        <w:rPr>
          <w:lang w:val="en-US"/>
        </w:rPr>
        <w:t>OECD., 2020</w:t>
      </w:r>
      <w:r w:rsidRPr="00FD662E">
        <w:rPr>
          <w:lang w:val="en-US"/>
        </w:rPr>
        <w:t xml:space="preserve">. </w:t>
      </w:r>
      <w:r w:rsidRPr="00FD662E">
        <w:rPr>
          <w:i/>
          <w:iCs/>
          <w:lang w:val="en-US"/>
        </w:rPr>
        <w:t>How’s Life? 2020 MEASURING WELL-BEING</w:t>
      </w:r>
      <w:r w:rsidRPr="00FD662E">
        <w:rPr>
          <w:lang w:val="en-US"/>
        </w:rPr>
        <w:t xml:space="preserve">. [online] Available at: </w:t>
      </w:r>
      <w:hyperlink r:id="rId26" w:history="1">
        <w:r w:rsidRPr="008674D4">
          <w:rPr>
            <w:rStyle w:val="Hyperlink"/>
            <w:lang w:val="en-US"/>
          </w:rPr>
          <w:t>https://www.oecd.org/content/dam/oecd/en/publications/reports/2020/03/how-s-life-2020_b547d82c/9870c393-en.pdf</w:t>
        </w:r>
      </w:hyperlink>
      <w:r>
        <w:rPr>
          <w:lang w:val="en-US"/>
        </w:rPr>
        <w:t xml:space="preserve"> </w:t>
      </w:r>
    </w:p>
    <w:p w14:paraId="71C3AB20" w14:textId="77777777" w:rsidR="00D832A3" w:rsidRPr="00FD662E" w:rsidRDefault="00D832A3" w:rsidP="0068142C">
      <w:pPr>
        <w:ind w:left="720" w:hanging="720"/>
        <w:rPr>
          <w:lang w:val="en-US"/>
        </w:rPr>
      </w:pPr>
      <w:r>
        <w:rPr>
          <w:lang w:val="en-US"/>
        </w:rPr>
        <w:t>ONS., 2022</w:t>
      </w:r>
      <w:r w:rsidRPr="00FD662E">
        <w:rPr>
          <w:lang w:val="en-US"/>
        </w:rPr>
        <w:t xml:space="preserve">. </w:t>
      </w:r>
      <w:r w:rsidRPr="00FD662E">
        <w:rPr>
          <w:i/>
          <w:iCs/>
          <w:lang w:val="en-US"/>
        </w:rPr>
        <w:t>National population projections - Office for National Statistics</w:t>
      </w:r>
      <w:r w:rsidRPr="00FD662E">
        <w:rPr>
          <w:lang w:val="en-US"/>
        </w:rPr>
        <w:t xml:space="preserve">. [online] Www.ons.gov.uk. Available at: </w:t>
      </w:r>
      <w:hyperlink r:id="rId27" w:history="1">
        <w:r w:rsidRPr="008674D4">
          <w:rPr>
            <w:rStyle w:val="Hyperlink"/>
            <w:lang w:val="en-US"/>
          </w:rPr>
          <w:t>https://www.ons.gov.uk/peoplepopulationandcommunity/populationandmigration/populationprojections/bulletins/nationalpopulationprojections/2020basedinterim</w:t>
        </w:r>
      </w:hyperlink>
      <w:r>
        <w:rPr>
          <w:lang w:val="en-US"/>
        </w:rPr>
        <w:t xml:space="preserve"> </w:t>
      </w:r>
    </w:p>
    <w:p w14:paraId="7A88CC54" w14:textId="0169DF9C" w:rsidR="00D832A3" w:rsidRDefault="00D832A3" w:rsidP="0068142C">
      <w:pPr>
        <w:ind w:left="720" w:hanging="720"/>
      </w:pPr>
      <w:r w:rsidRPr="009E696D">
        <w:t xml:space="preserve">Phelps, N.H., Singleton, R.K., Zhou, B., Heap, R.A., Mishra, A., Bennett, J.E., Paciorek, C.J., </w:t>
      </w:r>
      <w:proofErr w:type="spellStart"/>
      <w:r w:rsidRPr="009E696D">
        <w:t>Lhoste</w:t>
      </w:r>
      <w:proofErr w:type="spellEnd"/>
      <w:r w:rsidRPr="009E696D">
        <w:t xml:space="preserve">, V.P., Carrillo-Larco, R.M., Stevens, G.A. and Rodriguez-Martinez, A., 2024. </w:t>
      </w:r>
      <w:r w:rsidRPr="0068142C">
        <w:rPr>
          <w:i/>
        </w:rPr>
        <w:t>Worldwide trends in underweight and obesity from 1990 to 2022: a pooled analysis of 3663 population-representative studies with 222 million children, adolescents, and adults</w:t>
      </w:r>
      <w:r w:rsidRPr="009E696D">
        <w:t>. </w:t>
      </w:r>
      <w:r w:rsidRPr="009E696D">
        <w:rPr>
          <w:i/>
          <w:iCs/>
        </w:rPr>
        <w:t>The Lancet</w:t>
      </w:r>
      <w:r w:rsidRPr="009E696D">
        <w:t>, </w:t>
      </w:r>
      <w:r w:rsidRPr="009E696D">
        <w:rPr>
          <w:i/>
          <w:iCs/>
        </w:rPr>
        <w:t>403</w:t>
      </w:r>
      <w:r w:rsidRPr="009E696D">
        <w:t>(10431), pp.1027-1050.</w:t>
      </w:r>
      <w:r w:rsidR="00477334">
        <w:t xml:space="preserve"> Available at: </w:t>
      </w:r>
      <w:hyperlink r:id="rId28" w:history="1">
        <w:r w:rsidR="00477334" w:rsidRPr="00175E0B">
          <w:rPr>
            <w:rStyle w:val="Hyperlink"/>
          </w:rPr>
          <w:t>https://pubmed.ncbi.nlm.nih.gov/38432237/</w:t>
        </w:r>
      </w:hyperlink>
      <w:r w:rsidR="00477334">
        <w:t xml:space="preserve"> </w:t>
      </w:r>
    </w:p>
    <w:p w14:paraId="6D13AD52" w14:textId="77777777" w:rsidR="00D832A3" w:rsidRPr="00075A30" w:rsidRDefault="00D832A3" w:rsidP="0068142C">
      <w:pPr>
        <w:ind w:left="720" w:hanging="720"/>
        <w:rPr>
          <w:lang w:val="en-US"/>
        </w:rPr>
      </w:pPr>
      <w:r>
        <w:rPr>
          <w:lang w:val="en-US"/>
        </w:rPr>
        <w:t>Rigney, J., 2020</w:t>
      </w:r>
      <w:r w:rsidRPr="00075A30">
        <w:rPr>
          <w:lang w:val="en-US"/>
        </w:rPr>
        <w:t>. </w:t>
      </w:r>
      <w:r w:rsidRPr="00075A30">
        <w:rPr>
          <w:i/>
          <w:iCs/>
          <w:lang w:val="en-US"/>
        </w:rPr>
        <w:t>The Marmot review: Lessons for cancer screening and prevention – Cancer Prevention and Screening Blog</w:t>
      </w:r>
      <w:r w:rsidRPr="00075A30">
        <w:rPr>
          <w:lang w:val="en-US"/>
        </w:rPr>
        <w:t xml:space="preserve">. [online] Qmul.ac.uk. Available at: </w:t>
      </w:r>
      <w:hyperlink r:id="rId29" w:history="1">
        <w:r w:rsidRPr="008674D4">
          <w:rPr>
            <w:rStyle w:val="Hyperlink"/>
            <w:lang w:val="en-US"/>
          </w:rPr>
          <w:t>https://cancerprevention.qmul.ac.uk/index.php/2020/03/18/the-marmot-review-lessons-for-cancer-screening-and-prevention/</w:t>
        </w:r>
      </w:hyperlink>
      <w:r>
        <w:rPr>
          <w:lang w:val="en-US"/>
        </w:rPr>
        <w:t xml:space="preserve"> </w:t>
      </w:r>
    </w:p>
    <w:p w14:paraId="26ED17E7" w14:textId="7440E3D8" w:rsidR="00D832A3" w:rsidRPr="00824E28" w:rsidRDefault="00D832A3" w:rsidP="0068142C">
      <w:pPr>
        <w:ind w:left="720" w:hanging="720"/>
        <w:rPr>
          <w:lang w:val="en-US"/>
        </w:rPr>
      </w:pPr>
      <w:r w:rsidRPr="00824E28">
        <w:rPr>
          <w:lang w:val="en-US"/>
        </w:rPr>
        <w:lastRenderedPageBreak/>
        <w:t>‌Saran, A., Hunt, X.</w:t>
      </w:r>
      <w:r>
        <w:rPr>
          <w:lang w:val="en-US"/>
        </w:rPr>
        <w:t>, White, H. and Kuper, H., 2021</w:t>
      </w:r>
      <w:r w:rsidRPr="00824E28">
        <w:rPr>
          <w:lang w:val="en-US"/>
        </w:rPr>
        <w:t xml:space="preserve">. </w:t>
      </w:r>
      <w:r w:rsidRPr="0068142C">
        <w:rPr>
          <w:i/>
          <w:lang w:val="en-US"/>
        </w:rPr>
        <w:t>PROTOCOL: Effectiveness of interventions for improving social inclusion outcomes for people with disabilities in low‐ and middle‐income countries: A systematic review.</w:t>
      </w:r>
      <w:r w:rsidRPr="00824E28">
        <w:rPr>
          <w:lang w:val="en-US"/>
        </w:rPr>
        <w:t xml:space="preserve"> </w:t>
      </w:r>
      <w:r w:rsidRPr="00D832A3">
        <w:rPr>
          <w:i/>
          <w:lang w:val="en-US"/>
        </w:rPr>
        <w:t>Campbell Systematic Reviews,</w:t>
      </w:r>
      <w:r w:rsidRPr="00824E28">
        <w:rPr>
          <w:lang w:val="en-US"/>
        </w:rPr>
        <w:t xml:space="preserve"> [online] 17(3)</w:t>
      </w:r>
      <w:r w:rsidR="00477334">
        <w:rPr>
          <w:lang w:val="en-US"/>
        </w:rPr>
        <w:t xml:space="preserve">, p.e1191. Available at: </w:t>
      </w:r>
      <w:hyperlink r:id="rId30" w:history="1">
        <w:r w:rsidR="00477334" w:rsidRPr="00175E0B">
          <w:rPr>
            <w:rStyle w:val="Hyperlink"/>
            <w:lang w:val="en-US"/>
          </w:rPr>
          <w:t>https://onlinelibrary.wiley.com/doi/full/10.1002/cl2.1316</w:t>
        </w:r>
      </w:hyperlink>
      <w:r w:rsidR="00477334">
        <w:rPr>
          <w:lang w:val="en-US"/>
        </w:rPr>
        <w:t xml:space="preserve"> </w:t>
      </w:r>
    </w:p>
    <w:p w14:paraId="70BACF28" w14:textId="31509954" w:rsidR="00D832A3" w:rsidRPr="0068142C" w:rsidRDefault="00D832A3" w:rsidP="0068142C">
      <w:pPr>
        <w:ind w:left="720" w:hanging="720"/>
        <w:rPr>
          <w:i/>
        </w:rPr>
      </w:pPr>
      <w:r w:rsidRPr="003800AC">
        <w:t>Scriven, A., G</w:t>
      </w:r>
      <w:r>
        <w:t>oodall, J. and Morgan, G., 2023.</w:t>
      </w:r>
      <w:r w:rsidRPr="003800AC">
        <w:t xml:space="preserve"> </w:t>
      </w:r>
      <w:r w:rsidRPr="0068142C">
        <w:rPr>
          <w:i/>
        </w:rPr>
        <w:t xml:space="preserve">Promoting Health: A Practical Guide. 8th </w:t>
      </w:r>
      <w:proofErr w:type="spellStart"/>
      <w:r w:rsidRPr="0068142C">
        <w:rPr>
          <w:i/>
        </w:rPr>
        <w:t>edn</w:t>
      </w:r>
      <w:proofErr w:type="spellEnd"/>
      <w:r w:rsidRPr="0068142C">
        <w:rPr>
          <w:i/>
        </w:rPr>
        <w:t>. London: Elsevier</w:t>
      </w:r>
      <w:r w:rsidR="00477334">
        <w:rPr>
          <w:i/>
        </w:rPr>
        <w:t xml:space="preserve"> </w:t>
      </w:r>
      <w:r w:rsidR="00477334" w:rsidRPr="00477334">
        <w:t xml:space="preserve">Available at: </w:t>
      </w:r>
      <w:hyperlink r:id="rId31" w:history="1">
        <w:r w:rsidR="00477334" w:rsidRPr="00477334">
          <w:rPr>
            <w:rStyle w:val="Hyperlink"/>
          </w:rPr>
          <w:t>https://educate.elsevier.com/book/details/9780323881869</w:t>
        </w:r>
      </w:hyperlink>
      <w:r w:rsidR="00477334">
        <w:rPr>
          <w:i/>
        </w:rPr>
        <w:t xml:space="preserve"> </w:t>
      </w:r>
    </w:p>
    <w:p w14:paraId="49AA345B" w14:textId="7079A5A6" w:rsidR="00D832A3" w:rsidRPr="003A2A8A" w:rsidRDefault="00D832A3" w:rsidP="0068142C">
      <w:pPr>
        <w:ind w:left="720" w:hanging="720"/>
        <w:rPr>
          <w:lang w:val="en-US"/>
        </w:rPr>
      </w:pPr>
      <w:r w:rsidRPr="003A2A8A">
        <w:rPr>
          <w:lang w:val="en-US"/>
        </w:rPr>
        <w:t>Sheldon, E., Naseeb Ezaydi, Desoysa, L., Young, J., Simmonds-Buckley, M., Prof Daniel H</w:t>
      </w:r>
      <w:r>
        <w:rPr>
          <w:lang w:val="en-US"/>
        </w:rPr>
        <w:t>ind and Prof Chris Burton., 2024</w:t>
      </w:r>
      <w:r w:rsidRPr="003A2A8A">
        <w:rPr>
          <w:lang w:val="en-US"/>
        </w:rPr>
        <w:t xml:space="preserve">. </w:t>
      </w:r>
      <w:r w:rsidRPr="0068142C">
        <w:rPr>
          <w:i/>
          <w:lang w:val="en-US"/>
        </w:rPr>
        <w:t>Barriers to help-seeking, accessing and providing mental health support for medical students: A mixed methods study using the candidacy framework.</w:t>
      </w:r>
      <w:r w:rsidRPr="003A2A8A">
        <w:rPr>
          <w:lang w:val="en-US"/>
        </w:rPr>
        <w:t xml:space="preserve"> </w:t>
      </w:r>
      <w:r w:rsidRPr="003A2A8A">
        <w:rPr>
          <w:i/>
          <w:iCs/>
          <w:lang w:val="en-US"/>
        </w:rPr>
        <w:t>BMC health services research</w:t>
      </w:r>
      <w:r w:rsidRPr="003A2A8A">
        <w:rPr>
          <w:lang w:val="en-US"/>
        </w:rPr>
        <w:t xml:space="preserve">, 24(1). </w:t>
      </w:r>
      <w:r w:rsidR="00477334">
        <w:rPr>
          <w:lang w:val="en-US"/>
        </w:rPr>
        <w:t xml:space="preserve">Available at: </w:t>
      </w:r>
      <w:hyperlink r:id="rId32" w:history="1">
        <w:r w:rsidR="00477334" w:rsidRPr="00175E0B">
          <w:rPr>
            <w:rStyle w:val="Hyperlink"/>
            <w:lang w:val="en-US"/>
          </w:rPr>
          <w:t>https://link.springer.com/article/10.1186/s12913-024-11204-8</w:t>
        </w:r>
      </w:hyperlink>
      <w:r w:rsidR="00477334">
        <w:rPr>
          <w:lang w:val="en-US"/>
        </w:rPr>
        <w:t xml:space="preserve"> </w:t>
      </w:r>
    </w:p>
    <w:p w14:paraId="21A76698" w14:textId="77777777" w:rsidR="00D832A3" w:rsidRPr="00FD662E" w:rsidRDefault="00D832A3" w:rsidP="0068142C">
      <w:pPr>
        <w:ind w:left="720" w:hanging="720"/>
        <w:rPr>
          <w:lang w:val="en-US"/>
        </w:rPr>
      </w:pPr>
      <w:r>
        <w:rPr>
          <w:lang w:val="en-US"/>
        </w:rPr>
        <w:t>United Nations., 2024</w:t>
      </w:r>
      <w:r w:rsidRPr="00FD662E">
        <w:rPr>
          <w:lang w:val="en-US"/>
        </w:rPr>
        <w:t xml:space="preserve">. </w:t>
      </w:r>
      <w:r w:rsidRPr="00FD662E">
        <w:rPr>
          <w:i/>
          <w:iCs/>
          <w:lang w:val="en-US"/>
        </w:rPr>
        <w:t>World Population Prospects 2024 Summary of Results</w:t>
      </w:r>
      <w:r w:rsidRPr="00FD662E">
        <w:rPr>
          <w:lang w:val="en-US"/>
        </w:rPr>
        <w:t xml:space="preserve">. [online] Available at: </w:t>
      </w:r>
      <w:hyperlink r:id="rId33" w:history="1">
        <w:r w:rsidRPr="008674D4">
          <w:rPr>
            <w:rStyle w:val="Hyperlink"/>
            <w:lang w:val="en-US"/>
          </w:rPr>
          <w:t>https://population.un.org/wpp/assets/Files/WPP2024_Summary-of-Results.pdf</w:t>
        </w:r>
      </w:hyperlink>
      <w:r>
        <w:rPr>
          <w:lang w:val="en-US"/>
        </w:rPr>
        <w:t xml:space="preserve"> </w:t>
      </w:r>
    </w:p>
    <w:p w14:paraId="2E179F66" w14:textId="7E6EB75F" w:rsidR="00D832A3" w:rsidRDefault="00D832A3" w:rsidP="0068142C">
      <w:pPr>
        <w:ind w:left="720" w:hanging="720"/>
      </w:pPr>
      <w:r w:rsidRPr="00FD662E">
        <w:t>Walther, A., Stauber</w:t>
      </w:r>
      <w:r>
        <w:t xml:space="preserve">, B. and </w:t>
      </w:r>
      <w:proofErr w:type="spellStart"/>
      <w:r>
        <w:t>Settersten</w:t>
      </w:r>
      <w:proofErr w:type="spellEnd"/>
      <w:r>
        <w:t>, R.A., 2022.</w:t>
      </w:r>
      <w:r w:rsidRPr="00FD662E">
        <w:t xml:space="preserve"> </w:t>
      </w:r>
      <w:r w:rsidRPr="00D832A3">
        <w:rPr>
          <w:i/>
        </w:rPr>
        <w:t xml:space="preserve">‘Doing transitions: a new research perspective’, in Stauber, B., Walther, A. and </w:t>
      </w:r>
      <w:proofErr w:type="spellStart"/>
      <w:r w:rsidRPr="00D832A3">
        <w:rPr>
          <w:i/>
        </w:rPr>
        <w:t>Settersten</w:t>
      </w:r>
      <w:proofErr w:type="spellEnd"/>
      <w:r w:rsidRPr="00D832A3">
        <w:rPr>
          <w:i/>
        </w:rPr>
        <w:t xml:space="preserve">, R.A. (eds.) </w:t>
      </w:r>
      <w:r w:rsidRPr="00FD662E">
        <w:rPr>
          <w:i/>
          <w:iCs/>
        </w:rPr>
        <w:t>Doing Transitions in the Life Course: Processes and Practices</w:t>
      </w:r>
      <w:r w:rsidRPr="00FD662E">
        <w:t>. Cham: Springer, pp. 3–18.</w:t>
      </w:r>
      <w:r w:rsidR="00477334">
        <w:t xml:space="preserve"> Available at: </w:t>
      </w:r>
      <w:hyperlink r:id="rId34" w:history="1">
        <w:r w:rsidR="00477334" w:rsidRPr="00175E0B">
          <w:rPr>
            <w:rStyle w:val="Hyperlink"/>
          </w:rPr>
          <w:t>https://link.springer.com/chapter/10.1007/978-3-031-13512-5_1</w:t>
        </w:r>
      </w:hyperlink>
      <w:r w:rsidR="00477334">
        <w:t xml:space="preserve"> </w:t>
      </w:r>
    </w:p>
    <w:p w14:paraId="5B4ADF26" w14:textId="3E158D80" w:rsidR="00D832A3" w:rsidRDefault="00D832A3" w:rsidP="0068142C">
      <w:pPr>
        <w:ind w:left="720" w:hanging="720"/>
      </w:pPr>
      <w:r w:rsidRPr="00FD662E">
        <w:t>Wa</w:t>
      </w:r>
      <w:r>
        <w:t xml:space="preserve">rner, M. and Zaranko, B., 2022. </w:t>
      </w:r>
      <w:r w:rsidRPr="00D832A3">
        <w:rPr>
          <w:i/>
          <w:iCs/>
        </w:rPr>
        <w:t>NHS Funding, Resources and Treatment Volumes</w:t>
      </w:r>
      <w:r w:rsidRPr="00D832A3">
        <w:rPr>
          <w:i/>
        </w:rPr>
        <w:t>. IFS Report R236. London: Institute for Fiscal Studies.</w:t>
      </w:r>
      <w:r w:rsidR="00477334">
        <w:rPr>
          <w:i/>
        </w:rPr>
        <w:t xml:space="preserve"> </w:t>
      </w:r>
      <w:r w:rsidR="00477334" w:rsidRPr="00477334">
        <w:t xml:space="preserve">Available at: </w:t>
      </w:r>
      <w:hyperlink r:id="rId35" w:history="1">
        <w:r w:rsidR="00477334" w:rsidRPr="00477334">
          <w:rPr>
            <w:rStyle w:val="Hyperlink"/>
          </w:rPr>
          <w:t>https://ifs.org.uk/sites/default/files/2022-12/NHS-funding-resources-and-treatment-volumes-Institute-for-Fiscal-Studies.pdf</w:t>
        </w:r>
      </w:hyperlink>
      <w:r w:rsidR="00477334" w:rsidRPr="00477334">
        <w:t xml:space="preserve"> </w:t>
      </w:r>
    </w:p>
    <w:p w14:paraId="625F9F80" w14:textId="77777777" w:rsidR="00D832A3" w:rsidRPr="00FD662E" w:rsidRDefault="00D832A3" w:rsidP="0068142C">
      <w:pPr>
        <w:ind w:left="720" w:hanging="720"/>
        <w:rPr>
          <w:lang w:val="en-US"/>
        </w:rPr>
      </w:pPr>
      <w:r>
        <w:rPr>
          <w:lang w:val="en-US"/>
        </w:rPr>
        <w:t>Welsh Parliament., 2025</w:t>
      </w:r>
      <w:r w:rsidRPr="00FD662E">
        <w:rPr>
          <w:lang w:val="en-US"/>
        </w:rPr>
        <w:t xml:space="preserve">. </w:t>
      </w:r>
      <w:r w:rsidRPr="00FD662E">
        <w:rPr>
          <w:i/>
          <w:iCs/>
          <w:lang w:val="en-US"/>
        </w:rPr>
        <w:t>Supporting people with chronic conditions</w:t>
      </w:r>
      <w:r w:rsidRPr="00FD662E">
        <w:rPr>
          <w:lang w:val="en-US"/>
        </w:rPr>
        <w:t xml:space="preserve">. [online] Available at: </w:t>
      </w:r>
      <w:hyperlink r:id="rId36" w:history="1">
        <w:r w:rsidRPr="008674D4">
          <w:rPr>
            <w:rStyle w:val="Hyperlink"/>
            <w:lang w:val="en-US"/>
          </w:rPr>
          <w:t>https://senedd.wales/media/0v2exr2k/cr-ld16947-e.pdf</w:t>
        </w:r>
      </w:hyperlink>
      <w:r>
        <w:rPr>
          <w:lang w:val="en-US"/>
        </w:rPr>
        <w:t xml:space="preserve"> </w:t>
      </w:r>
    </w:p>
    <w:p w14:paraId="0976E485" w14:textId="7D927157" w:rsidR="00D832A3" w:rsidRPr="003A2A8A" w:rsidRDefault="00D832A3" w:rsidP="0068142C">
      <w:pPr>
        <w:ind w:left="720" w:hanging="720"/>
        <w:rPr>
          <w:lang w:val="en-US"/>
        </w:rPr>
      </w:pPr>
      <w:r w:rsidRPr="003A2A8A">
        <w:rPr>
          <w:lang w:val="en-US"/>
        </w:rPr>
        <w:t xml:space="preserve">Wilson, N., Minnis, H., </w:t>
      </w:r>
      <w:r>
        <w:rPr>
          <w:lang w:val="en-US"/>
        </w:rPr>
        <w:t>McDaid, S. and Pearce, A., 2025</w:t>
      </w:r>
      <w:r w:rsidRPr="003A2A8A">
        <w:rPr>
          <w:lang w:val="en-US"/>
        </w:rPr>
        <w:t xml:space="preserve">. </w:t>
      </w:r>
      <w:r w:rsidRPr="0068142C">
        <w:rPr>
          <w:i/>
          <w:lang w:val="en-US"/>
        </w:rPr>
        <w:t>Household income and children’s mental health outcomes: The mediating role of maternal wellbeing and parent–child relationship quality.</w:t>
      </w:r>
      <w:r w:rsidRPr="003A2A8A">
        <w:rPr>
          <w:lang w:val="en-US"/>
        </w:rPr>
        <w:t xml:space="preserve"> </w:t>
      </w:r>
      <w:r w:rsidRPr="003A2A8A">
        <w:rPr>
          <w:i/>
          <w:iCs/>
          <w:lang w:val="en-US"/>
        </w:rPr>
        <w:t xml:space="preserve">European child </w:t>
      </w:r>
      <w:r>
        <w:rPr>
          <w:i/>
          <w:iCs/>
          <w:lang w:val="en-US"/>
        </w:rPr>
        <w:t>and</w:t>
      </w:r>
      <w:r w:rsidRPr="003A2A8A">
        <w:rPr>
          <w:i/>
          <w:iCs/>
          <w:lang w:val="en-US"/>
        </w:rPr>
        <w:t xml:space="preserve"> adolescent psychiatry</w:t>
      </w:r>
      <w:r w:rsidR="00477334">
        <w:rPr>
          <w:lang w:val="en-US"/>
        </w:rPr>
        <w:t xml:space="preserve">. Available at: </w:t>
      </w:r>
      <w:hyperlink r:id="rId37" w:history="1">
        <w:r w:rsidR="00477334" w:rsidRPr="00175E0B">
          <w:rPr>
            <w:rStyle w:val="Hyperlink"/>
            <w:lang w:val="en-US"/>
          </w:rPr>
          <w:t>https://pubmed.ncbi.nlm.nih.gov/40483307/</w:t>
        </w:r>
      </w:hyperlink>
      <w:r w:rsidR="00477334">
        <w:rPr>
          <w:lang w:val="en-US"/>
        </w:rPr>
        <w:t xml:space="preserve"> </w:t>
      </w:r>
    </w:p>
    <w:p w14:paraId="31296ED3" w14:textId="77777777" w:rsidR="00D832A3" w:rsidRPr="00FD662E" w:rsidRDefault="00D832A3" w:rsidP="0068142C">
      <w:pPr>
        <w:ind w:left="720" w:hanging="720"/>
        <w:rPr>
          <w:lang w:val="en-US"/>
        </w:rPr>
      </w:pPr>
      <w:r>
        <w:rPr>
          <w:lang w:val="en-US"/>
        </w:rPr>
        <w:lastRenderedPageBreak/>
        <w:t>World Bank., 2024</w:t>
      </w:r>
      <w:r w:rsidRPr="00FD662E">
        <w:rPr>
          <w:lang w:val="en-US"/>
        </w:rPr>
        <w:t xml:space="preserve">. </w:t>
      </w:r>
      <w:r w:rsidRPr="00FD662E">
        <w:rPr>
          <w:i/>
          <w:iCs/>
          <w:lang w:val="en-US"/>
        </w:rPr>
        <w:t xml:space="preserve">The </w:t>
      </w:r>
      <w:r>
        <w:rPr>
          <w:i/>
          <w:iCs/>
          <w:lang w:val="en-US"/>
        </w:rPr>
        <w:t>Changing Wealth of Nations 2024</w:t>
      </w:r>
      <w:r w:rsidRPr="00FD662E">
        <w:rPr>
          <w:i/>
          <w:iCs/>
          <w:lang w:val="en-US"/>
        </w:rPr>
        <w:t>: Revisiting the Measurement of Comprehensive Wealth</w:t>
      </w:r>
      <w:r w:rsidRPr="00FD662E">
        <w:rPr>
          <w:lang w:val="en-US"/>
        </w:rPr>
        <w:t xml:space="preserve">. [online] </w:t>
      </w:r>
      <w:r w:rsidRPr="00D832A3">
        <w:rPr>
          <w:i/>
          <w:lang w:val="en-US"/>
        </w:rPr>
        <w:t>World Bank.</w:t>
      </w:r>
      <w:r w:rsidRPr="00FD662E">
        <w:rPr>
          <w:lang w:val="en-US"/>
        </w:rPr>
        <w:t xml:space="preserve"> Available at: </w:t>
      </w:r>
      <w:hyperlink r:id="rId38" w:history="1">
        <w:r w:rsidRPr="008674D4">
          <w:rPr>
            <w:rStyle w:val="Hyperlink"/>
            <w:lang w:val="en-US"/>
          </w:rPr>
          <w:t>https://documents.worldbank.org/en/publication/documents-reports/documentdetail/099100824155021548</w:t>
        </w:r>
      </w:hyperlink>
      <w:r>
        <w:rPr>
          <w:lang w:val="en-US"/>
        </w:rPr>
        <w:t xml:space="preserve"> </w:t>
      </w:r>
    </w:p>
    <w:p w14:paraId="1D8D6A73" w14:textId="0252E360" w:rsidR="00D832A3" w:rsidRPr="00FD662E" w:rsidRDefault="00D832A3" w:rsidP="0068142C">
      <w:pPr>
        <w:ind w:left="720" w:hanging="720"/>
        <w:rPr>
          <w:lang w:val="en-US"/>
        </w:rPr>
      </w:pPr>
      <w:r>
        <w:rPr>
          <w:lang w:val="en-US"/>
        </w:rPr>
        <w:t>World Health Organization., 2025a</w:t>
      </w:r>
      <w:r w:rsidRPr="00FD662E">
        <w:rPr>
          <w:lang w:val="en-US"/>
        </w:rPr>
        <w:t xml:space="preserve">. </w:t>
      </w:r>
      <w:r w:rsidRPr="00FD662E">
        <w:rPr>
          <w:i/>
          <w:iCs/>
          <w:lang w:val="en-US"/>
        </w:rPr>
        <w:t>Framework to implement a life course approach in practice</w:t>
      </w:r>
      <w:r w:rsidRPr="00FD662E">
        <w:rPr>
          <w:lang w:val="en-US"/>
        </w:rPr>
        <w:t xml:space="preserve">. [online] </w:t>
      </w:r>
      <w:r w:rsidRPr="00FD662E">
        <w:rPr>
          <w:i/>
          <w:iCs/>
          <w:lang w:val="en-US"/>
        </w:rPr>
        <w:t>Who.int</w:t>
      </w:r>
      <w:r w:rsidRPr="00FD662E">
        <w:rPr>
          <w:lang w:val="en-US"/>
        </w:rPr>
        <w:t xml:space="preserve">. </w:t>
      </w:r>
      <w:r w:rsidRPr="00D832A3">
        <w:rPr>
          <w:i/>
          <w:lang w:val="en-US"/>
        </w:rPr>
        <w:t>World Health Organization.</w:t>
      </w:r>
      <w:r w:rsidRPr="00FD662E">
        <w:rPr>
          <w:lang w:val="en-US"/>
        </w:rPr>
        <w:t xml:space="preserve"> Available at: </w:t>
      </w:r>
      <w:hyperlink r:id="rId39" w:history="1">
        <w:r w:rsidRPr="008674D4">
          <w:rPr>
            <w:rStyle w:val="Hyperlink"/>
            <w:lang w:val="en-US"/>
          </w:rPr>
          <w:t>https://www.who.int/publications/i/item/9789240112575</w:t>
        </w:r>
      </w:hyperlink>
      <w:r>
        <w:rPr>
          <w:lang w:val="en-US"/>
        </w:rPr>
        <w:t xml:space="preserve"> </w:t>
      </w:r>
    </w:p>
    <w:p w14:paraId="5539706E" w14:textId="7482EE32" w:rsidR="00D832A3" w:rsidRPr="0068142C" w:rsidRDefault="00D832A3" w:rsidP="0068142C">
      <w:pPr>
        <w:ind w:left="720" w:hanging="720"/>
        <w:rPr>
          <w:lang w:val="en-US"/>
        </w:rPr>
      </w:pPr>
      <w:r>
        <w:rPr>
          <w:lang w:val="en-US"/>
        </w:rPr>
        <w:t>World Health Organization., 2025b</w:t>
      </w:r>
      <w:r w:rsidRPr="00FD662E">
        <w:rPr>
          <w:lang w:val="en-US"/>
        </w:rPr>
        <w:t xml:space="preserve">. </w:t>
      </w:r>
      <w:r w:rsidRPr="00FD662E">
        <w:rPr>
          <w:i/>
          <w:iCs/>
          <w:lang w:val="en-US"/>
        </w:rPr>
        <w:t>Noncommunicable Diseases Progress Monitor 2020</w:t>
      </w:r>
      <w:r w:rsidRPr="00FD662E">
        <w:rPr>
          <w:lang w:val="en-US"/>
        </w:rPr>
        <w:t xml:space="preserve">. [online] Who.int. Available at: </w:t>
      </w:r>
      <w:hyperlink r:id="rId40" w:history="1">
        <w:r w:rsidRPr="008674D4">
          <w:rPr>
            <w:rStyle w:val="Hyperlink"/>
            <w:lang w:val="en-US"/>
          </w:rPr>
          <w:t>https://www.who.int/publications-detail-redirect/ncd-progress-monitor-2020</w:t>
        </w:r>
      </w:hyperlink>
      <w:r>
        <w:rPr>
          <w:lang w:val="en-US"/>
        </w:rPr>
        <w:t xml:space="preserve"> </w:t>
      </w:r>
    </w:p>
    <w:sectPr w:rsidR="00D832A3" w:rsidRPr="0068142C" w:rsidSect="00FD662E">
      <w:footerReference w:type="default" r:id="rId4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4D010" w14:textId="77777777" w:rsidR="00B6300B" w:rsidRDefault="00B6300B" w:rsidP="00FD662E">
      <w:pPr>
        <w:spacing w:after="0" w:line="240" w:lineRule="auto"/>
      </w:pPr>
      <w:r>
        <w:separator/>
      </w:r>
    </w:p>
  </w:endnote>
  <w:endnote w:type="continuationSeparator" w:id="0">
    <w:p w14:paraId="3B45C1C5" w14:textId="77777777" w:rsidR="00B6300B" w:rsidRDefault="00B6300B" w:rsidP="00FD66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6681139"/>
      <w:docPartObj>
        <w:docPartGallery w:val="Page Numbers (Bottom of Page)"/>
        <w:docPartUnique/>
      </w:docPartObj>
    </w:sdtPr>
    <w:sdtEndPr>
      <w:rPr>
        <w:noProof/>
      </w:rPr>
    </w:sdtEndPr>
    <w:sdtContent>
      <w:p w14:paraId="0ED7A080" w14:textId="7F8F2C30" w:rsidR="00FD662E" w:rsidRDefault="00FD662E">
        <w:pPr>
          <w:pStyle w:val="Footer"/>
          <w:jc w:val="right"/>
        </w:pPr>
        <w:r>
          <w:fldChar w:fldCharType="begin"/>
        </w:r>
        <w:r>
          <w:instrText xml:space="preserve"> PAGE   \* MERGEFORMAT </w:instrText>
        </w:r>
        <w:r>
          <w:fldChar w:fldCharType="separate"/>
        </w:r>
        <w:r w:rsidR="00477334">
          <w:rPr>
            <w:noProof/>
          </w:rPr>
          <w:t>14</w:t>
        </w:r>
        <w:r>
          <w:rPr>
            <w:noProof/>
          </w:rPr>
          <w:fldChar w:fldCharType="end"/>
        </w:r>
      </w:p>
    </w:sdtContent>
  </w:sdt>
  <w:p w14:paraId="5A48801F" w14:textId="77777777" w:rsidR="00FD662E" w:rsidRDefault="00FD66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15D5F" w14:textId="77777777" w:rsidR="00B6300B" w:rsidRDefault="00B6300B" w:rsidP="00FD662E">
      <w:pPr>
        <w:spacing w:after="0" w:line="240" w:lineRule="auto"/>
      </w:pPr>
      <w:r>
        <w:separator/>
      </w:r>
    </w:p>
  </w:footnote>
  <w:footnote w:type="continuationSeparator" w:id="0">
    <w:p w14:paraId="5BBD8C74" w14:textId="77777777" w:rsidR="00B6300B" w:rsidRDefault="00B6300B" w:rsidP="00FD66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B916F5"/>
    <w:multiLevelType w:val="multilevel"/>
    <w:tmpl w:val="BC4639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4106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696D"/>
    <w:rsid w:val="00010AEE"/>
    <w:rsid w:val="00041168"/>
    <w:rsid w:val="000416E5"/>
    <w:rsid w:val="00045307"/>
    <w:rsid w:val="00047471"/>
    <w:rsid w:val="00064617"/>
    <w:rsid w:val="000647DA"/>
    <w:rsid w:val="00064F61"/>
    <w:rsid w:val="00072283"/>
    <w:rsid w:val="00075A30"/>
    <w:rsid w:val="0007796F"/>
    <w:rsid w:val="00086C71"/>
    <w:rsid w:val="0009237E"/>
    <w:rsid w:val="00092C97"/>
    <w:rsid w:val="00096D97"/>
    <w:rsid w:val="000A2001"/>
    <w:rsid w:val="000A36A4"/>
    <w:rsid w:val="000A3E8D"/>
    <w:rsid w:val="000A6FBB"/>
    <w:rsid w:val="000D17F8"/>
    <w:rsid w:val="000D2542"/>
    <w:rsid w:val="000D4097"/>
    <w:rsid w:val="000E28CB"/>
    <w:rsid w:val="000F1E9F"/>
    <w:rsid w:val="000F627A"/>
    <w:rsid w:val="001004CE"/>
    <w:rsid w:val="00113A1F"/>
    <w:rsid w:val="0012280A"/>
    <w:rsid w:val="00124FFB"/>
    <w:rsid w:val="001273D4"/>
    <w:rsid w:val="00133A96"/>
    <w:rsid w:val="00134B80"/>
    <w:rsid w:val="001379BC"/>
    <w:rsid w:val="00143A34"/>
    <w:rsid w:val="00153F30"/>
    <w:rsid w:val="001610B1"/>
    <w:rsid w:val="00164F56"/>
    <w:rsid w:val="001671AD"/>
    <w:rsid w:val="00173F2A"/>
    <w:rsid w:val="00193AB4"/>
    <w:rsid w:val="001954CE"/>
    <w:rsid w:val="001A02B5"/>
    <w:rsid w:val="001B26E4"/>
    <w:rsid w:val="001B3C93"/>
    <w:rsid w:val="001C394B"/>
    <w:rsid w:val="001D6EB7"/>
    <w:rsid w:val="001E71F6"/>
    <w:rsid w:val="00202450"/>
    <w:rsid w:val="00212ED3"/>
    <w:rsid w:val="00235D74"/>
    <w:rsid w:val="002400D6"/>
    <w:rsid w:val="00250D92"/>
    <w:rsid w:val="00253A50"/>
    <w:rsid w:val="00257FE1"/>
    <w:rsid w:val="00273139"/>
    <w:rsid w:val="0028340D"/>
    <w:rsid w:val="002839CB"/>
    <w:rsid w:val="002A286B"/>
    <w:rsid w:val="002A3058"/>
    <w:rsid w:val="002A32A8"/>
    <w:rsid w:val="002B1B3C"/>
    <w:rsid w:val="002B6838"/>
    <w:rsid w:val="002D74AE"/>
    <w:rsid w:val="002F2940"/>
    <w:rsid w:val="00305213"/>
    <w:rsid w:val="003154C4"/>
    <w:rsid w:val="00323F1C"/>
    <w:rsid w:val="00337634"/>
    <w:rsid w:val="00340F62"/>
    <w:rsid w:val="00342100"/>
    <w:rsid w:val="00342AB8"/>
    <w:rsid w:val="00343B3F"/>
    <w:rsid w:val="003456F6"/>
    <w:rsid w:val="003800AC"/>
    <w:rsid w:val="003802C7"/>
    <w:rsid w:val="00385968"/>
    <w:rsid w:val="00386A91"/>
    <w:rsid w:val="00392F28"/>
    <w:rsid w:val="003A08BB"/>
    <w:rsid w:val="003A2A8A"/>
    <w:rsid w:val="003A6A71"/>
    <w:rsid w:val="003B55C5"/>
    <w:rsid w:val="003B6E2F"/>
    <w:rsid w:val="003B78C6"/>
    <w:rsid w:val="003C3F39"/>
    <w:rsid w:val="003D2F29"/>
    <w:rsid w:val="003D3FD7"/>
    <w:rsid w:val="003D63C0"/>
    <w:rsid w:val="00402031"/>
    <w:rsid w:val="00411A17"/>
    <w:rsid w:val="004165DF"/>
    <w:rsid w:val="004230AF"/>
    <w:rsid w:val="00434832"/>
    <w:rsid w:val="004353A6"/>
    <w:rsid w:val="004377BF"/>
    <w:rsid w:val="00442ED5"/>
    <w:rsid w:val="004462C3"/>
    <w:rsid w:val="004466E1"/>
    <w:rsid w:val="00452BE5"/>
    <w:rsid w:val="00465E14"/>
    <w:rsid w:val="00477334"/>
    <w:rsid w:val="00490F56"/>
    <w:rsid w:val="00493D61"/>
    <w:rsid w:val="004A1A6F"/>
    <w:rsid w:val="004A1A97"/>
    <w:rsid w:val="004A2675"/>
    <w:rsid w:val="004A4646"/>
    <w:rsid w:val="004A55F4"/>
    <w:rsid w:val="004A71F3"/>
    <w:rsid w:val="004B30FE"/>
    <w:rsid w:val="004C7F63"/>
    <w:rsid w:val="004D7E28"/>
    <w:rsid w:val="004E7813"/>
    <w:rsid w:val="004F7DD7"/>
    <w:rsid w:val="00514234"/>
    <w:rsid w:val="005153BA"/>
    <w:rsid w:val="00544FDE"/>
    <w:rsid w:val="00554C73"/>
    <w:rsid w:val="0055721E"/>
    <w:rsid w:val="00586EFB"/>
    <w:rsid w:val="005928C9"/>
    <w:rsid w:val="0059470A"/>
    <w:rsid w:val="005A13BE"/>
    <w:rsid w:val="005B365E"/>
    <w:rsid w:val="005B7FD3"/>
    <w:rsid w:val="005C0D6C"/>
    <w:rsid w:val="005C3ED7"/>
    <w:rsid w:val="005C7767"/>
    <w:rsid w:val="005D0E47"/>
    <w:rsid w:val="005E4294"/>
    <w:rsid w:val="005F3D78"/>
    <w:rsid w:val="00603DCA"/>
    <w:rsid w:val="00604A0D"/>
    <w:rsid w:val="00605D9F"/>
    <w:rsid w:val="00612CD1"/>
    <w:rsid w:val="00621BAE"/>
    <w:rsid w:val="00623AA6"/>
    <w:rsid w:val="00631841"/>
    <w:rsid w:val="00635C7A"/>
    <w:rsid w:val="00650193"/>
    <w:rsid w:val="00666347"/>
    <w:rsid w:val="00666D14"/>
    <w:rsid w:val="00676CB7"/>
    <w:rsid w:val="0068142C"/>
    <w:rsid w:val="006945ED"/>
    <w:rsid w:val="00694859"/>
    <w:rsid w:val="006A594B"/>
    <w:rsid w:val="006B340A"/>
    <w:rsid w:val="006B3D55"/>
    <w:rsid w:val="006B4EDC"/>
    <w:rsid w:val="006D4BD0"/>
    <w:rsid w:val="006F5998"/>
    <w:rsid w:val="00710298"/>
    <w:rsid w:val="007109C4"/>
    <w:rsid w:val="00712747"/>
    <w:rsid w:val="00714529"/>
    <w:rsid w:val="007210D0"/>
    <w:rsid w:val="00743697"/>
    <w:rsid w:val="00762E68"/>
    <w:rsid w:val="007649DF"/>
    <w:rsid w:val="00765197"/>
    <w:rsid w:val="007706E5"/>
    <w:rsid w:val="00773ACB"/>
    <w:rsid w:val="007776AB"/>
    <w:rsid w:val="007841CC"/>
    <w:rsid w:val="00794C0A"/>
    <w:rsid w:val="007A6453"/>
    <w:rsid w:val="007B3839"/>
    <w:rsid w:val="007D36FB"/>
    <w:rsid w:val="007D4791"/>
    <w:rsid w:val="007E1C43"/>
    <w:rsid w:val="007F4573"/>
    <w:rsid w:val="008032C9"/>
    <w:rsid w:val="008058D0"/>
    <w:rsid w:val="008216CE"/>
    <w:rsid w:val="00824237"/>
    <w:rsid w:val="00824E28"/>
    <w:rsid w:val="00825A50"/>
    <w:rsid w:val="008312AC"/>
    <w:rsid w:val="008342D6"/>
    <w:rsid w:val="00845585"/>
    <w:rsid w:val="0085584B"/>
    <w:rsid w:val="008569F0"/>
    <w:rsid w:val="00866F3E"/>
    <w:rsid w:val="00872401"/>
    <w:rsid w:val="008727EB"/>
    <w:rsid w:val="0087438F"/>
    <w:rsid w:val="008744FF"/>
    <w:rsid w:val="00881170"/>
    <w:rsid w:val="00881FDE"/>
    <w:rsid w:val="00886C4B"/>
    <w:rsid w:val="00894B1A"/>
    <w:rsid w:val="008A319C"/>
    <w:rsid w:val="008A7B6D"/>
    <w:rsid w:val="008B38D1"/>
    <w:rsid w:val="008B7D91"/>
    <w:rsid w:val="008C6B10"/>
    <w:rsid w:val="008C6E8C"/>
    <w:rsid w:val="008D4596"/>
    <w:rsid w:val="008F55D5"/>
    <w:rsid w:val="00905075"/>
    <w:rsid w:val="00912127"/>
    <w:rsid w:val="0091676B"/>
    <w:rsid w:val="00934492"/>
    <w:rsid w:val="0093663F"/>
    <w:rsid w:val="00944C74"/>
    <w:rsid w:val="00952715"/>
    <w:rsid w:val="00980F56"/>
    <w:rsid w:val="009859D0"/>
    <w:rsid w:val="009927B3"/>
    <w:rsid w:val="009A23A8"/>
    <w:rsid w:val="009B78A8"/>
    <w:rsid w:val="009C19EB"/>
    <w:rsid w:val="009C5D4F"/>
    <w:rsid w:val="009D1BC1"/>
    <w:rsid w:val="009D6492"/>
    <w:rsid w:val="009D7689"/>
    <w:rsid w:val="009E696D"/>
    <w:rsid w:val="009F0C2A"/>
    <w:rsid w:val="009F4AD2"/>
    <w:rsid w:val="00A259F5"/>
    <w:rsid w:val="00A717D0"/>
    <w:rsid w:val="00A75E63"/>
    <w:rsid w:val="00A800E1"/>
    <w:rsid w:val="00A82365"/>
    <w:rsid w:val="00AA24E6"/>
    <w:rsid w:val="00AF0324"/>
    <w:rsid w:val="00AF1325"/>
    <w:rsid w:val="00AF3C32"/>
    <w:rsid w:val="00AF503D"/>
    <w:rsid w:val="00B15152"/>
    <w:rsid w:val="00B24937"/>
    <w:rsid w:val="00B30766"/>
    <w:rsid w:val="00B405F1"/>
    <w:rsid w:val="00B44931"/>
    <w:rsid w:val="00B503A0"/>
    <w:rsid w:val="00B50DB1"/>
    <w:rsid w:val="00B542A8"/>
    <w:rsid w:val="00B54743"/>
    <w:rsid w:val="00B55BA1"/>
    <w:rsid w:val="00B6300B"/>
    <w:rsid w:val="00B76E15"/>
    <w:rsid w:val="00B841D8"/>
    <w:rsid w:val="00B91F81"/>
    <w:rsid w:val="00BA4627"/>
    <w:rsid w:val="00BA7176"/>
    <w:rsid w:val="00BA7DA3"/>
    <w:rsid w:val="00BB42F2"/>
    <w:rsid w:val="00BB744C"/>
    <w:rsid w:val="00BC3F50"/>
    <w:rsid w:val="00BE0DA6"/>
    <w:rsid w:val="00BE1244"/>
    <w:rsid w:val="00BF1967"/>
    <w:rsid w:val="00C22B79"/>
    <w:rsid w:val="00C24954"/>
    <w:rsid w:val="00C277E1"/>
    <w:rsid w:val="00C37327"/>
    <w:rsid w:val="00C50598"/>
    <w:rsid w:val="00C66B46"/>
    <w:rsid w:val="00C9214E"/>
    <w:rsid w:val="00CC05A9"/>
    <w:rsid w:val="00CC14B5"/>
    <w:rsid w:val="00CC478B"/>
    <w:rsid w:val="00CD6A52"/>
    <w:rsid w:val="00CE2B57"/>
    <w:rsid w:val="00CF250C"/>
    <w:rsid w:val="00CF3763"/>
    <w:rsid w:val="00D160E0"/>
    <w:rsid w:val="00D23CDA"/>
    <w:rsid w:val="00D25974"/>
    <w:rsid w:val="00D273A2"/>
    <w:rsid w:val="00D27E69"/>
    <w:rsid w:val="00D3289A"/>
    <w:rsid w:val="00D44675"/>
    <w:rsid w:val="00D47AFE"/>
    <w:rsid w:val="00D510E8"/>
    <w:rsid w:val="00D54CBA"/>
    <w:rsid w:val="00D700C4"/>
    <w:rsid w:val="00D735D8"/>
    <w:rsid w:val="00D81312"/>
    <w:rsid w:val="00D832A3"/>
    <w:rsid w:val="00D87EAF"/>
    <w:rsid w:val="00DC0CF8"/>
    <w:rsid w:val="00DC65AC"/>
    <w:rsid w:val="00DD7C31"/>
    <w:rsid w:val="00DF1438"/>
    <w:rsid w:val="00DF5559"/>
    <w:rsid w:val="00E01A33"/>
    <w:rsid w:val="00E06A93"/>
    <w:rsid w:val="00E32D31"/>
    <w:rsid w:val="00E414D0"/>
    <w:rsid w:val="00E42ADF"/>
    <w:rsid w:val="00E43568"/>
    <w:rsid w:val="00E47DEB"/>
    <w:rsid w:val="00E5186E"/>
    <w:rsid w:val="00E5520E"/>
    <w:rsid w:val="00E56F6A"/>
    <w:rsid w:val="00E71D9D"/>
    <w:rsid w:val="00EA2AE4"/>
    <w:rsid w:val="00EC5515"/>
    <w:rsid w:val="00ED227A"/>
    <w:rsid w:val="00ED3F8D"/>
    <w:rsid w:val="00F07F7F"/>
    <w:rsid w:val="00F1571E"/>
    <w:rsid w:val="00F1718C"/>
    <w:rsid w:val="00F171E2"/>
    <w:rsid w:val="00F32A64"/>
    <w:rsid w:val="00F34640"/>
    <w:rsid w:val="00F3563B"/>
    <w:rsid w:val="00F431A3"/>
    <w:rsid w:val="00F44349"/>
    <w:rsid w:val="00F521D0"/>
    <w:rsid w:val="00F62DEC"/>
    <w:rsid w:val="00F7002B"/>
    <w:rsid w:val="00F77357"/>
    <w:rsid w:val="00F847EA"/>
    <w:rsid w:val="00F911F2"/>
    <w:rsid w:val="00FA5F6A"/>
    <w:rsid w:val="00FB4A0F"/>
    <w:rsid w:val="00FD662E"/>
    <w:rsid w:val="00FD6FF6"/>
    <w:rsid w:val="00FE5132"/>
    <w:rsid w:val="00FE79EF"/>
    <w:rsid w:val="00FF50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D7638"/>
  <w15:chartTrackingRefBased/>
  <w15:docId w15:val="{A837313D-AB75-4845-B192-8AF0A2D08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7DEB"/>
    <w:pPr>
      <w:spacing w:line="360" w:lineRule="auto"/>
      <w:jc w:val="both"/>
    </w:pPr>
    <w:rPr>
      <w:rFonts w:ascii="Times New Roman" w:hAnsi="Times New Roman"/>
      <w:sz w:val="24"/>
      <w:lang w:val="en-GB"/>
    </w:rPr>
  </w:style>
  <w:style w:type="paragraph" w:styleId="Heading1">
    <w:name w:val="heading 1"/>
    <w:link w:val="Heading1Char"/>
    <w:uiPriority w:val="9"/>
    <w:qFormat/>
    <w:rsid w:val="00C24954"/>
    <w:pPr>
      <w:spacing w:before="360" w:after="180" w:line="360" w:lineRule="auto"/>
      <w:outlineLvl w:val="0"/>
    </w:pPr>
    <w:rPr>
      <w:rFonts w:ascii="Times New Roman" w:eastAsia="Times New Roman" w:hAnsi="Times New Roman" w:cs="Times New Roman"/>
      <w:b/>
      <w:bCs/>
      <w:color w:val="000000" w:themeColor="text1"/>
      <w:kern w:val="0"/>
      <w:sz w:val="24"/>
      <w:szCs w:val="28"/>
      <w14:ligatures w14:val="none"/>
    </w:rPr>
  </w:style>
  <w:style w:type="paragraph" w:styleId="Heading2">
    <w:name w:val="heading 2"/>
    <w:basedOn w:val="Normal"/>
    <w:next w:val="Normal"/>
    <w:link w:val="Heading2Char"/>
    <w:uiPriority w:val="9"/>
    <w:unhideWhenUsed/>
    <w:qFormat/>
    <w:rsid w:val="00944C74"/>
    <w:pPr>
      <w:keepNext/>
      <w:keepLines/>
      <w:spacing w:before="160" w:after="80" w:line="278" w:lineRule="auto"/>
      <w:jc w:val="left"/>
      <w:outlineLvl w:val="1"/>
    </w:pPr>
    <w:rPr>
      <w:rFonts w:eastAsiaTheme="majorEastAsia" w:cstheme="majorBidi"/>
      <w:b/>
      <w:i/>
      <w:noProof/>
      <w:color w:val="000000" w:themeColor="text1"/>
      <w:sz w:val="22"/>
      <w:szCs w:val="32"/>
      <w:lang w:val="en-US"/>
    </w:rPr>
  </w:style>
  <w:style w:type="paragraph" w:styleId="Heading3">
    <w:name w:val="heading 3"/>
    <w:basedOn w:val="Heading2"/>
    <w:next w:val="Normal"/>
    <w:link w:val="Heading3Char"/>
    <w:uiPriority w:val="9"/>
    <w:unhideWhenUsed/>
    <w:qFormat/>
    <w:rsid w:val="00173F2A"/>
    <w:pPr>
      <w:spacing w:before="120"/>
      <w:outlineLvl w:val="2"/>
    </w:pPr>
    <w:rPr>
      <w:rFonts w:eastAsiaTheme="minorHAnsi"/>
      <w:b w:val="0"/>
      <w:iCs/>
      <w:szCs w:val="22"/>
    </w:rPr>
  </w:style>
  <w:style w:type="paragraph" w:styleId="Heading4">
    <w:name w:val="heading 4"/>
    <w:basedOn w:val="Normal"/>
    <w:next w:val="Normal"/>
    <w:link w:val="Heading4Char"/>
    <w:uiPriority w:val="9"/>
    <w:semiHidden/>
    <w:unhideWhenUsed/>
    <w:qFormat/>
    <w:rsid w:val="009E696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E696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E696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E696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E696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E696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954"/>
    <w:rPr>
      <w:rFonts w:ascii="Times New Roman" w:eastAsia="Times New Roman" w:hAnsi="Times New Roman" w:cs="Times New Roman"/>
      <w:b/>
      <w:bCs/>
      <w:color w:val="000000" w:themeColor="text1"/>
      <w:kern w:val="0"/>
      <w:sz w:val="24"/>
      <w:szCs w:val="28"/>
      <w14:ligatures w14:val="none"/>
    </w:rPr>
  </w:style>
  <w:style w:type="character" w:customStyle="1" w:styleId="Heading2Char">
    <w:name w:val="Heading 2 Char"/>
    <w:basedOn w:val="DefaultParagraphFont"/>
    <w:link w:val="Heading2"/>
    <w:uiPriority w:val="9"/>
    <w:rsid w:val="00944C74"/>
    <w:rPr>
      <w:rFonts w:ascii="Times New Roman" w:eastAsiaTheme="majorEastAsia" w:hAnsi="Times New Roman" w:cstheme="majorBidi"/>
      <w:b/>
      <w:i/>
      <w:noProof/>
      <w:color w:val="000000" w:themeColor="text1"/>
      <w:szCs w:val="32"/>
    </w:rPr>
  </w:style>
  <w:style w:type="character" w:customStyle="1" w:styleId="Heading3Char">
    <w:name w:val="Heading 3 Char"/>
    <w:basedOn w:val="DefaultParagraphFont"/>
    <w:link w:val="Heading3"/>
    <w:uiPriority w:val="9"/>
    <w:rsid w:val="00173F2A"/>
    <w:rPr>
      <w:rFonts w:ascii="Times New Roman" w:hAnsi="Times New Roman" w:cs="Times New Roman"/>
      <w:bCs/>
      <w:i/>
      <w:iCs/>
      <w:sz w:val="24"/>
    </w:rPr>
  </w:style>
  <w:style w:type="paragraph" w:styleId="NoSpacing">
    <w:name w:val="No Spacing"/>
    <w:uiPriority w:val="1"/>
    <w:qFormat/>
    <w:rsid w:val="002B6838"/>
    <w:pPr>
      <w:spacing w:after="0" w:line="360" w:lineRule="auto"/>
      <w:jc w:val="both"/>
    </w:pPr>
    <w:rPr>
      <w:b/>
    </w:rPr>
  </w:style>
  <w:style w:type="character" w:customStyle="1" w:styleId="Heading4Char">
    <w:name w:val="Heading 4 Char"/>
    <w:basedOn w:val="DefaultParagraphFont"/>
    <w:link w:val="Heading4"/>
    <w:uiPriority w:val="9"/>
    <w:semiHidden/>
    <w:rsid w:val="009E696D"/>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9E696D"/>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9E696D"/>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9E696D"/>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9E696D"/>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9E696D"/>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9E696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96D"/>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9E696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696D"/>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9E696D"/>
    <w:pPr>
      <w:spacing w:before="160"/>
      <w:jc w:val="center"/>
    </w:pPr>
    <w:rPr>
      <w:i/>
      <w:iCs/>
      <w:color w:val="404040" w:themeColor="text1" w:themeTint="BF"/>
    </w:rPr>
  </w:style>
  <w:style w:type="character" w:customStyle="1" w:styleId="QuoteChar">
    <w:name w:val="Quote Char"/>
    <w:basedOn w:val="DefaultParagraphFont"/>
    <w:link w:val="Quote"/>
    <w:uiPriority w:val="29"/>
    <w:rsid w:val="009E696D"/>
    <w:rPr>
      <w:rFonts w:ascii="Times New Roman" w:hAnsi="Times New Roman"/>
      <w:i/>
      <w:iCs/>
      <w:color w:val="404040" w:themeColor="text1" w:themeTint="BF"/>
      <w:sz w:val="24"/>
      <w:lang w:val="en-GB"/>
    </w:rPr>
  </w:style>
  <w:style w:type="paragraph" w:styleId="ListParagraph">
    <w:name w:val="List Paragraph"/>
    <w:basedOn w:val="Normal"/>
    <w:uiPriority w:val="34"/>
    <w:qFormat/>
    <w:rsid w:val="009E696D"/>
    <w:pPr>
      <w:ind w:left="720"/>
      <w:contextualSpacing/>
    </w:pPr>
  </w:style>
  <w:style w:type="character" w:styleId="IntenseEmphasis">
    <w:name w:val="Intense Emphasis"/>
    <w:basedOn w:val="DefaultParagraphFont"/>
    <w:uiPriority w:val="21"/>
    <w:qFormat/>
    <w:rsid w:val="009E696D"/>
    <w:rPr>
      <w:i/>
      <w:iCs/>
      <w:color w:val="2F5496" w:themeColor="accent1" w:themeShade="BF"/>
    </w:rPr>
  </w:style>
  <w:style w:type="paragraph" w:styleId="IntenseQuote">
    <w:name w:val="Intense Quote"/>
    <w:basedOn w:val="Normal"/>
    <w:next w:val="Normal"/>
    <w:link w:val="IntenseQuoteChar"/>
    <w:uiPriority w:val="30"/>
    <w:qFormat/>
    <w:rsid w:val="009E696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E696D"/>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9E696D"/>
    <w:rPr>
      <w:b/>
      <w:bCs/>
      <w:smallCaps/>
      <w:color w:val="2F5496" w:themeColor="accent1" w:themeShade="BF"/>
      <w:spacing w:val="5"/>
    </w:rPr>
  </w:style>
  <w:style w:type="paragraph" w:styleId="Header">
    <w:name w:val="header"/>
    <w:basedOn w:val="Normal"/>
    <w:link w:val="HeaderChar"/>
    <w:uiPriority w:val="99"/>
    <w:unhideWhenUsed/>
    <w:rsid w:val="00FD662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D662E"/>
    <w:rPr>
      <w:rFonts w:ascii="Times New Roman" w:hAnsi="Times New Roman"/>
      <w:sz w:val="24"/>
      <w:lang w:val="en-GB"/>
    </w:rPr>
  </w:style>
  <w:style w:type="paragraph" w:styleId="Footer">
    <w:name w:val="footer"/>
    <w:basedOn w:val="Normal"/>
    <w:link w:val="FooterChar"/>
    <w:uiPriority w:val="99"/>
    <w:unhideWhenUsed/>
    <w:rsid w:val="00FD662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D662E"/>
    <w:rPr>
      <w:rFonts w:ascii="Times New Roman" w:hAnsi="Times New Roman"/>
      <w:sz w:val="24"/>
      <w:lang w:val="en-GB"/>
    </w:rPr>
  </w:style>
  <w:style w:type="paragraph" w:styleId="TOCHeading">
    <w:name w:val="TOC Heading"/>
    <w:basedOn w:val="Heading1"/>
    <w:next w:val="Normal"/>
    <w:uiPriority w:val="39"/>
    <w:unhideWhenUsed/>
    <w:qFormat/>
    <w:rsid w:val="00A259F5"/>
    <w:pPr>
      <w:keepNext/>
      <w:keepLines/>
      <w:spacing w:before="240" w:after="0" w:line="259" w:lineRule="auto"/>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A259F5"/>
    <w:pPr>
      <w:spacing w:after="100"/>
    </w:pPr>
  </w:style>
  <w:style w:type="character" w:styleId="Hyperlink">
    <w:name w:val="Hyperlink"/>
    <w:basedOn w:val="DefaultParagraphFont"/>
    <w:uiPriority w:val="99"/>
    <w:unhideWhenUsed/>
    <w:rsid w:val="00A259F5"/>
    <w:rPr>
      <w:color w:val="0563C1" w:themeColor="hyperlink"/>
      <w:u w:val="single"/>
    </w:rPr>
  </w:style>
  <w:style w:type="table" w:styleId="TableGrid">
    <w:name w:val="Table Grid"/>
    <w:basedOn w:val="TableNormal"/>
    <w:uiPriority w:val="39"/>
    <w:rsid w:val="003456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3B78C6"/>
    <w:pPr>
      <w:spacing w:after="100"/>
      <w:ind w:left="240"/>
    </w:pPr>
  </w:style>
  <w:style w:type="paragraph" w:styleId="Caption">
    <w:name w:val="caption"/>
    <w:basedOn w:val="Normal"/>
    <w:next w:val="Normal"/>
    <w:uiPriority w:val="35"/>
    <w:unhideWhenUsed/>
    <w:qFormat/>
    <w:rsid w:val="00075A30"/>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235D74"/>
    <w:pPr>
      <w:spacing w:after="0"/>
    </w:pPr>
  </w:style>
  <w:style w:type="table" w:styleId="GridTable4-Accent6">
    <w:name w:val="Grid Table 4 Accent 6"/>
    <w:basedOn w:val="TableNormal"/>
    <w:uiPriority w:val="49"/>
    <w:rsid w:val="0068142C"/>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mc.ncbi.nlm.nih.gov/articles/PMC9115103/" TargetMode="External"/><Relationship Id="rId18" Type="http://schemas.openxmlformats.org/officeDocument/2006/relationships/hyperlink" Target="https://pubmed.ncbi.nlm.nih.gov/37173751/" TargetMode="External"/><Relationship Id="rId26" Type="http://schemas.openxmlformats.org/officeDocument/2006/relationships/hyperlink" Target="https://www.oecd.org/content/dam/oecd/en/publications/reports/2020/03/how-s-life-2020_b547d82c/9870c393-en.pdf" TargetMode="External"/><Relationship Id="rId39" Type="http://schemas.openxmlformats.org/officeDocument/2006/relationships/hyperlink" Target="https://www.who.int/publications/i/item/9789240112575" TargetMode="External"/><Relationship Id="rId21" Type="http://schemas.openxmlformats.org/officeDocument/2006/relationships/hyperlink" Target="https://journals.sagepub.com/doi/10.1177/10497323231191048" TargetMode="External"/><Relationship Id="rId34" Type="http://schemas.openxmlformats.org/officeDocument/2006/relationships/hyperlink" Target="https://link.springer.com/chapter/10.1007/978-3-031-13512-5_1"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wales/well-being-future-generations-wales-act-2015-guidance" TargetMode="External"/><Relationship Id="rId20" Type="http://schemas.openxmlformats.org/officeDocument/2006/relationships/hyperlink" Target="https://pubmed.ncbi.nlm.nih.gov/39096926/" TargetMode="External"/><Relationship Id="rId29" Type="http://schemas.openxmlformats.org/officeDocument/2006/relationships/hyperlink" Target="https://cancerprevention.qmul.ac.uk/index.php/2020/03/18/the-marmot-review-lessons-for-cancer-screening-and-prevention/" TargetMode="External"/><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nk.springer.com/book/10.1007/978-3-031-12224-8" TargetMode="External"/><Relationship Id="rId24" Type="http://schemas.openxmlformats.org/officeDocument/2006/relationships/hyperlink" Target="https://pmc.ncbi.nlm.nih.gov/articles/PMC6072567/" TargetMode="External"/><Relationship Id="rId32" Type="http://schemas.openxmlformats.org/officeDocument/2006/relationships/hyperlink" Target="https://link.springer.com/article/10.1186/s12913-024-11204-8" TargetMode="External"/><Relationship Id="rId37" Type="http://schemas.openxmlformats.org/officeDocument/2006/relationships/hyperlink" Target="https://pubmed.ncbi.nlm.nih.gov/40483307/" TargetMode="External"/><Relationship Id="rId40" Type="http://schemas.openxmlformats.org/officeDocument/2006/relationships/hyperlink" Target="https://www.who.int/publications-detail-redirect/ncd-progress-monitor-2020" TargetMode="External"/><Relationship Id="rId5" Type="http://schemas.openxmlformats.org/officeDocument/2006/relationships/webSettings" Target="webSettings.xml"/><Relationship Id="rId15" Type="http://schemas.openxmlformats.org/officeDocument/2006/relationships/hyperlink" Target="https://pubmed.ncbi.nlm.nih.gov/38444328/" TargetMode="External"/><Relationship Id="rId23" Type="http://schemas.openxmlformats.org/officeDocument/2006/relationships/hyperlink" Target="https://www.health.org.uk/resources-and-toolkits/quick-guides/what-builds-good-health" TargetMode="External"/><Relationship Id="rId28" Type="http://schemas.openxmlformats.org/officeDocument/2006/relationships/hyperlink" Target="https://pubmed.ncbi.nlm.nih.gov/38432237/" TargetMode="External"/><Relationship Id="rId36" Type="http://schemas.openxmlformats.org/officeDocument/2006/relationships/hyperlink" Target="https://senedd.wales/media/0v2exr2k/cr-ld16947-e.pdf" TargetMode="External"/><Relationship Id="rId10" Type="http://schemas.openxmlformats.org/officeDocument/2006/relationships/hyperlink" Target="https://ifs.org.uk/publications/adult-social-care-england-what-next" TargetMode="External"/><Relationship Id="rId19" Type="http://schemas.openxmlformats.org/officeDocument/2006/relationships/hyperlink" Target="https://link.springer.com/article/10.1186/s12889-026-26259-x" TargetMode="External"/><Relationship Id="rId31" Type="http://schemas.openxmlformats.org/officeDocument/2006/relationships/hyperlink" Target="https://educate.elsevier.com/book/details/9780323881869" TargetMode="External"/><Relationship Id="rId4" Type="http://schemas.openxmlformats.org/officeDocument/2006/relationships/settings" Target="settings.xml"/><Relationship Id="rId9" Type="http://schemas.openxmlformats.org/officeDocument/2006/relationships/hyperlink" Target="https://pubmed.ncbi.nlm.nih.gov/35579557/" TargetMode="External"/><Relationship Id="rId14" Type="http://schemas.openxmlformats.org/officeDocument/2006/relationships/hyperlink" Target="https://www.wiley.com/en-us/essential-concepts-in-sociology-4th-edition-p-9781509574179" TargetMode="External"/><Relationship Id="rId22" Type="http://schemas.openxmlformats.org/officeDocument/2006/relationships/hyperlink" Target="https://pubmed.ncbi.nlm.nih.gov/39162373/" TargetMode="External"/><Relationship Id="rId27" Type="http://schemas.openxmlformats.org/officeDocument/2006/relationships/hyperlink" Target="https://www.ons.gov.uk/peoplepopulationandcommunity/populationandmigration/populationprojections/bulletins/nationalpopulationprojections/2020basedinterim" TargetMode="External"/><Relationship Id="rId30" Type="http://schemas.openxmlformats.org/officeDocument/2006/relationships/hyperlink" Target="https://onlinelibrary.wiley.com/doi/full/10.1002/cl2.1316" TargetMode="External"/><Relationship Id="rId35" Type="http://schemas.openxmlformats.org/officeDocument/2006/relationships/hyperlink" Target="https://ifs.org.uk/sites/default/files/2022-12/NHS-funding-resources-and-treatment-volumes-Institute-for-Fiscal-Studies.pdf"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frontiersin.org/journals/public-health/articles/10.3389/fpubh.2025.1611358/full" TargetMode="External"/><Relationship Id="rId17" Type="http://schemas.openxmlformats.org/officeDocument/2006/relationships/hyperlink" Target="https://pubmed.ncbi.nlm.nih.gov/38955463/" TargetMode="External"/><Relationship Id="rId25" Type="http://schemas.openxmlformats.org/officeDocument/2006/relationships/hyperlink" Target="https://www.frontiersin.org/journals/psychiatry/articles/10.3389/fpsyt.2022.892849/full" TargetMode="External"/><Relationship Id="rId33" Type="http://schemas.openxmlformats.org/officeDocument/2006/relationships/hyperlink" Target="https://population.un.org/wpp/assets/Files/WPP2024_Summary-of-Results.pdf" TargetMode="External"/><Relationship Id="rId38" Type="http://schemas.openxmlformats.org/officeDocument/2006/relationships/hyperlink" Target="https://documents.worldbank.org/en/publication/documents-reports/documentdetail/0991008241550215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21E714-EC60-4861-A14A-7BA576CCD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14</Pages>
  <Words>3736</Words>
  <Characters>21300</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HAROON TRADERS</dc:creator>
  <cp:keywords/>
  <dc:description/>
  <cp:lastModifiedBy>Ebrima Njie (2514125)</cp:lastModifiedBy>
  <cp:revision>2</cp:revision>
  <dcterms:created xsi:type="dcterms:W3CDTF">2026-07-23T21:56:00Z</dcterms:created>
  <dcterms:modified xsi:type="dcterms:W3CDTF">2026-07-23T21:56:00Z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42785a84-c634-4882-98bf-da4ea83ad409</vt:lpwstr>
  </property>
</Properties>
</file>